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DB" w:rsidRDefault="009E09DB" w:rsidP="009E09DB">
      <w:pPr>
        <w:pStyle w:val="CILTitle"/>
      </w:pPr>
      <w:r>
        <w:t>1971 CONVENTION REL</w:t>
      </w:r>
      <w:bookmarkStart w:id="0" w:name="_GoBack"/>
      <w:bookmarkEnd w:id="0"/>
      <w:r>
        <w:t>ATING TO CIVIL LIABILITY IN THE FIELD OF MARITIME CARRIAGE OF NUCLEAR MATERIAL</w:t>
      </w:r>
    </w:p>
    <w:p w:rsidR="009E09DB" w:rsidRDefault="009E09DB" w:rsidP="009E09DB">
      <w:pPr>
        <w:pStyle w:val="CILSubtitle"/>
      </w:pPr>
      <w:r>
        <w:t>Adopted in Brussels, Belgium on 1</w:t>
      </w:r>
      <w:r w:rsidR="001871A4">
        <w:t>7</w:t>
      </w:r>
      <w:r>
        <w:t xml:space="preserve"> December 1971 </w:t>
      </w:r>
    </w:p>
    <w:p w:rsidR="009E09DB" w:rsidRDefault="009E09DB" w:rsidP="009E09DB"/>
    <w:p w:rsidR="00DF5BF2" w:rsidRDefault="00DF5BF2" w:rsidP="009E09DB">
      <w:r>
        <w:t>The High Contracting Parties,</w:t>
      </w:r>
    </w:p>
    <w:p w:rsidR="00DF5BF2" w:rsidRDefault="00DF5BF2" w:rsidP="00A71163">
      <w:r>
        <w:t xml:space="preserve">Considering that the Paris Convention of </w:t>
      </w:r>
      <w:r w:rsidR="00A71163">
        <w:t>1960</w:t>
      </w:r>
      <w:r>
        <w:t xml:space="preserve"> on Third Party Liability in the Field of Nuclear Energy and its Additio</w:t>
      </w:r>
      <w:r w:rsidR="00A71163">
        <w:t>nal Protocol of 28 January 1964</w:t>
      </w:r>
      <w:r>
        <w:t xml:space="preserve"> (hereinafter referred to as "the Paris Convention") and the Vienna Convention of 21 May 1963 on Civil Liability for Nuclear Damage (hereinafter referred to as "the Vienna Convention") provide that, in the case of damage caused by a nuclear incident occurring in the course of maritime carriage of nuclear material covered by such Conventions, the operator of a nuclear installation is the person liable for such damage,</w:t>
      </w:r>
    </w:p>
    <w:p w:rsidR="00DF5BF2" w:rsidRDefault="00DF5BF2" w:rsidP="009E09DB">
      <w:r>
        <w:t>Considering that similar provisions exist in the national law in force in certain States,</w:t>
      </w:r>
    </w:p>
    <w:p w:rsidR="00DF5BF2" w:rsidRDefault="00DF5BF2" w:rsidP="009E09DB">
      <w:r>
        <w:t>Considering that the application of any preceding international Convention in the field of maritime transport is however maintained,</w:t>
      </w:r>
    </w:p>
    <w:p w:rsidR="00DF5BF2" w:rsidRDefault="00DF5BF2" w:rsidP="009E09DB">
      <w:r>
        <w:t>Desirous of ensuring that the operator of a nuclear installation will be exclusively liable for damage caused by a nuclear incident occurring in the course of maritime carriage of nuclear material,</w:t>
      </w:r>
    </w:p>
    <w:p w:rsidR="00DF5BF2" w:rsidRDefault="00DF5BF2" w:rsidP="009E09DB">
      <w:r>
        <w:t>Have agreed as follows:</w:t>
      </w:r>
    </w:p>
    <w:p w:rsidR="00DF5BF2" w:rsidRDefault="00AD6C56" w:rsidP="009E09DB">
      <w:pPr>
        <w:pStyle w:val="Heading1"/>
      </w:pPr>
      <w:bookmarkStart w:id="1" w:name="_Toc463872385"/>
      <w:r>
        <w:t>Article 1</w:t>
      </w:r>
      <w:bookmarkEnd w:id="1"/>
      <w:r w:rsidR="00DF5BF2">
        <w:t xml:space="preserve"> </w:t>
      </w:r>
    </w:p>
    <w:p w:rsidR="00DF5BF2" w:rsidRDefault="00DF5BF2" w:rsidP="009E09DB">
      <w:r>
        <w:t>Any person who by virtue of an international convention or national law applicable in the field of maritime transport might be held liable for damage caused by a nuclear incident shall be exonerated from such liability:</w:t>
      </w:r>
    </w:p>
    <w:p w:rsidR="00DF5BF2" w:rsidRDefault="00DF5BF2" w:rsidP="009E09DB">
      <w:pPr>
        <w:pStyle w:val="ListParagraph"/>
        <w:numPr>
          <w:ilvl w:val="0"/>
          <w:numId w:val="1"/>
        </w:numPr>
        <w:contextualSpacing w:val="0"/>
      </w:pPr>
      <w:r>
        <w:t>if the operator of a nuclear installation is liable for such damage under either the Paris or the Vienna Convention, or</w:t>
      </w:r>
    </w:p>
    <w:p w:rsidR="00DF5BF2" w:rsidRDefault="00DF5BF2" w:rsidP="009E09DB">
      <w:pPr>
        <w:pStyle w:val="ListParagraph"/>
        <w:numPr>
          <w:ilvl w:val="0"/>
          <w:numId w:val="1"/>
        </w:numPr>
        <w:contextualSpacing w:val="0"/>
      </w:pPr>
      <w:proofErr w:type="gramStart"/>
      <w:r>
        <w:t>if</w:t>
      </w:r>
      <w:proofErr w:type="gramEnd"/>
      <w:r>
        <w:t xml:space="preserve"> the operator of a nuclear installation is liable for such damage by virtue of a national law governing the liability for such damage, provided that such law is in all respects as favourable to persons who may suffer damage as either the Paris or the Vienna Convention.</w:t>
      </w:r>
    </w:p>
    <w:p w:rsidR="00DF5BF2" w:rsidRDefault="00DF5BF2" w:rsidP="009E09DB">
      <w:pPr>
        <w:pStyle w:val="Heading1"/>
      </w:pPr>
      <w:bookmarkStart w:id="2" w:name="_Toc463872386"/>
      <w:r>
        <w:t>Article 2</w:t>
      </w:r>
      <w:bookmarkEnd w:id="2"/>
      <w:r>
        <w:t xml:space="preserve"> </w:t>
      </w:r>
    </w:p>
    <w:p w:rsidR="00DF5BF2" w:rsidRDefault="00DF5BF2" w:rsidP="009E09DB">
      <w:pPr>
        <w:pStyle w:val="ListParagraph"/>
        <w:numPr>
          <w:ilvl w:val="0"/>
          <w:numId w:val="2"/>
        </w:numPr>
        <w:contextualSpacing w:val="0"/>
      </w:pPr>
      <w:r>
        <w:t>The exoneration provided for in Article 1 shall also apply in respect of damage caused by a nuclear incident:</w:t>
      </w:r>
    </w:p>
    <w:p w:rsidR="00DF5BF2" w:rsidRDefault="00DF5BF2" w:rsidP="009E09DB">
      <w:pPr>
        <w:pStyle w:val="ListParagraph"/>
        <w:numPr>
          <w:ilvl w:val="0"/>
          <w:numId w:val="3"/>
        </w:numPr>
        <w:contextualSpacing w:val="0"/>
      </w:pPr>
      <w:r>
        <w:t xml:space="preserve">to the nuclear installation itself or to any property on the site of that installation which is used or to be used in connexion with that installation, or </w:t>
      </w:r>
    </w:p>
    <w:p w:rsidR="00DF5BF2" w:rsidRDefault="00A71163" w:rsidP="009E09DB">
      <w:pPr>
        <w:pStyle w:val="ListParagraph"/>
        <w:numPr>
          <w:ilvl w:val="0"/>
          <w:numId w:val="3"/>
        </w:numPr>
        <w:contextualSpacing w:val="0"/>
      </w:pPr>
      <w:r>
        <w:br w:type="page"/>
      </w:r>
      <w:r w:rsidR="00DF5BF2">
        <w:lastRenderedPageBreak/>
        <w:t>to the means of transport upon which the nuclear material involved was at the time of the nuclear incident, for which the operator of the nuclear installation is not liable because his liability for such damage has been excluded pursuant to the provisions of either the Paris or the Vienna Convention, or, in cases referred to in Article 1(6), by equivalent provisions of the national law referred to therein.</w:t>
      </w:r>
    </w:p>
    <w:p w:rsidR="00DF5BF2" w:rsidRDefault="00DF5BF2" w:rsidP="009E09DB">
      <w:pPr>
        <w:pStyle w:val="ListParagraph"/>
        <w:numPr>
          <w:ilvl w:val="0"/>
          <w:numId w:val="2"/>
        </w:numPr>
        <w:contextualSpacing w:val="0"/>
      </w:pPr>
      <w:r>
        <w:t>The provisions of paragraph 1 shall not, however, affect the liability of any individual who has caused the damage by an act or omission done with intent to cause damage.</w:t>
      </w:r>
    </w:p>
    <w:p w:rsidR="00DF5BF2" w:rsidRDefault="00DF5BF2" w:rsidP="009E09DB">
      <w:pPr>
        <w:pStyle w:val="Heading1"/>
      </w:pPr>
      <w:bookmarkStart w:id="3" w:name="_Toc463872387"/>
      <w:r>
        <w:t>Article 3</w:t>
      </w:r>
      <w:bookmarkEnd w:id="3"/>
      <w:r>
        <w:t xml:space="preserve"> </w:t>
      </w:r>
    </w:p>
    <w:p w:rsidR="00DF5BF2" w:rsidRDefault="00DF5BF2" w:rsidP="009E09DB">
      <w:r>
        <w:t>No provision of the present Convention shall affect the liability of the operator of a nuclear ship in respect of damage caused by a nuclear incident involving the nuclear fuel of or radioactive products or waste produced in such ship.</w:t>
      </w:r>
    </w:p>
    <w:p w:rsidR="00DF5BF2" w:rsidRDefault="00DF5BF2" w:rsidP="009E09DB">
      <w:pPr>
        <w:pStyle w:val="Heading1"/>
      </w:pPr>
      <w:bookmarkStart w:id="4" w:name="_Toc463872388"/>
      <w:r>
        <w:t>Article 4</w:t>
      </w:r>
      <w:bookmarkEnd w:id="4"/>
      <w:r>
        <w:t xml:space="preserve"> </w:t>
      </w:r>
    </w:p>
    <w:p w:rsidR="00DF5BF2" w:rsidRDefault="00DF5BF2" w:rsidP="009E09DB">
      <w:r>
        <w:t>The present Convention shall supersede any international Conventions in the field of maritime transport which, at the date on which the present Convention is opened for signature, are in force or open for signature, ratification or accession but only to the extent that such Conventions would be in conflict with it; however, nothing in this Article shall affect the obligations of the Contracting Parties to the present Convention to non-Contracting States arising under such international Conventions.</w:t>
      </w:r>
    </w:p>
    <w:p w:rsidR="00DF5BF2" w:rsidRDefault="00DF5BF2" w:rsidP="009E09DB">
      <w:pPr>
        <w:pStyle w:val="Heading1"/>
      </w:pPr>
      <w:bookmarkStart w:id="5" w:name="_Toc463872389"/>
      <w:r>
        <w:t>Article 5</w:t>
      </w:r>
      <w:bookmarkEnd w:id="5"/>
    </w:p>
    <w:p w:rsidR="00DF5BF2" w:rsidRDefault="00DF5BF2" w:rsidP="00A71163">
      <w:pPr>
        <w:pStyle w:val="ListParagraph"/>
        <w:numPr>
          <w:ilvl w:val="0"/>
          <w:numId w:val="4"/>
        </w:numPr>
        <w:ind w:hanging="357"/>
        <w:contextualSpacing w:val="0"/>
      </w:pPr>
      <w:r>
        <w:t>The present Convention shall be opened for signature in Brussels and shall remain open for signature in London at the Headquarters of the Inter-Governmental Maritime Consultative Organization (hereinafter referred to as "the Organization") until 31 December 1972 and shall thereafter remain open for accession.</w:t>
      </w:r>
    </w:p>
    <w:p w:rsidR="00DF5BF2" w:rsidRDefault="00DF5BF2" w:rsidP="00A71163">
      <w:pPr>
        <w:pStyle w:val="ListParagraph"/>
        <w:numPr>
          <w:ilvl w:val="0"/>
          <w:numId w:val="4"/>
        </w:numPr>
        <w:ind w:hanging="357"/>
        <w:contextualSpacing w:val="0"/>
      </w:pPr>
      <w:r>
        <w:t>States Members of the United Nations or any of the Specialized Agencies or of the International Atomic Energy Agency or Parties to the Statute of the International Court of Justice may become Parties to the present Convention by:</w:t>
      </w:r>
    </w:p>
    <w:p w:rsidR="00DF5BF2" w:rsidRDefault="00DF5BF2" w:rsidP="00A71163">
      <w:pPr>
        <w:pStyle w:val="ListParagraph"/>
        <w:numPr>
          <w:ilvl w:val="0"/>
          <w:numId w:val="5"/>
        </w:numPr>
        <w:ind w:hanging="357"/>
        <w:contextualSpacing w:val="0"/>
      </w:pPr>
      <w:r>
        <w:t>signature without reservation as to ratification, acceptance or approval;</w:t>
      </w:r>
    </w:p>
    <w:p w:rsidR="00DF5BF2" w:rsidRDefault="00DF5BF2" w:rsidP="00A71163">
      <w:pPr>
        <w:pStyle w:val="ListParagraph"/>
        <w:numPr>
          <w:ilvl w:val="0"/>
          <w:numId w:val="5"/>
        </w:numPr>
        <w:ind w:hanging="357"/>
        <w:contextualSpacing w:val="0"/>
      </w:pPr>
      <w:r>
        <w:t>signature subject to ratification, acceptance or approval followed by ratification, acceptance or approval; or</w:t>
      </w:r>
    </w:p>
    <w:p w:rsidR="00DF5BF2" w:rsidRDefault="00DF5BF2" w:rsidP="00A71163">
      <w:pPr>
        <w:pStyle w:val="ListParagraph"/>
        <w:numPr>
          <w:ilvl w:val="0"/>
          <w:numId w:val="5"/>
        </w:numPr>
        <w:ind w:hanging="357"/>
        <w:contextualSpacing w:val="0"/>
      </w:pPr>
      <w:proofErr w:type="gramStart"/>
      <w:r>
        <w:t>accession</w:t>
      </w:r>
      <w:proofErr w:type="gramEnd"/>
      <w:r>
        <w:t>.</w:t>
      </w:r>
    </w:p>
    <w:p w:rsidR="00DF5BF2" w:rsidRDefault="00DF5BF2" w:rsidP="00A71163">
      <w:pPr>
        <w:pStyle w:val="ListParagraph"/>
        <w:numPr>
          <w:ilvl w:val="0"/>
          <w:numId w:val="4"/>
        </w:numPr>
        <w:ind w:hanging="357"/>
        <w:contextualSpacing w:val="0"/>
      </w:pPr>
      <w:r>
        <w:t>Ratification, acceptance, approval or accession shall be effected by the deposit of a formal instrument to that effect with the Secretary-General of the Organization.</w:t>
      </w:r>
    </w:p>
    <w:p w:rsidR="00DF5BF2" w:rsidRDefault="00DF5BF2" w:rsidP="009E09DB">
      <w:pPr>
        <w:pStyle w:val="Heading1"/>
      </w:pPr>
      <w:bookmarkStart w:id="6" w:name="_Toc463872390"/>
      <w:r>
        <w:t>Article 6</w:t>
      </w:r>
      <w:bookmarkEnd w:id="6"/>
      <w:r>
        <w:t xml:space="preserve"> </w:t>
      </w:r>
    </w:p>
    <w:p w:rsidR="00DF5BF2" w:rsidRDefault="00DF5BF2" w:rsidP="009E09DB">
      <w:pPr>
        <w:pStyle w:val="ListParagraph"/>
        <w:numPr>
          <w:ilvl w:val="0"/>
          <w:numId w:val="6"/>
        </w:numPr>
        <w:contextualSpacing w:val="0"/>
      </w:pPr>
      <w:r>
        <w:t>The present Convention shall enter into force on the ninetieth day following the date on which five States have either signed it without reservation as to ratification, acceptance or approval or have deposited instruments of ratification, acceptance, approval or accession with the Secretary-General of the Organization.</w:t>
      </w:r>
    </w:p>
    <w:p w:rsidR="00DF5BF2" w:rsidRDefault="00DF5BF2" w:rsidP="009E09DB">
      <w:pPr>
        <w:pStyle w:val="ListParagraph"/>
        <w:numPr>
          <w:ilvl w:val="0"/>
          <w:numId w:val="6"/>
        </w:numPr>
        <w:contextualSpacing w:val="0"/>
      </w:pPr>
      <w:r>
        <w:lastRenderedPageBreak/>
        <w:t>For any State which subsequently signs the present Convention without reservation as to ratification, acceptance or approval, or deposits its instrument of ratification, acceptance, approval or accession, the Convention shall come into force on the ninetieth day after the date of such signature or deposit.</w:t>
      </w:r>
    </w:p>
    <w:p w:rsidR="00DF5BF2" w:rsidRDefault="00DF5BF2" w:rsidP="009E09DB">
      <w:pPr>
        <w:pStyle w:val="Heading1"/>
      </w:pPr>
      <w:bookmarkStart w:id="7" w:name="_Toc463872391"/>
      <w:r>
        <w:t>Article 7</w:t>
      </w:r>
      <w:bookmarkEnd w:id="7"/>
      <w:r>
        <w:t xml:space="preserve"> </w:t>
      </w:r>
    </w:p>
    <w:p w:rsidR="00DF5BF2" w:rsidRDefault="00DF5BF2" w:rsidP="009E09DB">
      <w:pPr>
        <w:pStyle w:val="ListParagraph"/>
        <w:numPr>
          <w:ilvl w:val="0"/>
          <w:numId w:val="7"/>
        </w:numPr>
        <w:contextualSpacing w:val="0"/>
      </w:pPr>
      <w:r>
        <w:t>The present Convention may be denounced by any Contracting Party to it at any time after the date on which the Convention comes into force for that State.</w:t>
      </w:r>
    </w:p>
    <w:p w:rsidR="00DF5BF2" w:rsidRDefault="00DF5BF2" w:rsidP="009E09DB">
      <w:pPr>
        <w:pStyle w:val="ListParagraph"/>
        <w:numPr>
          <w:ilvl w:val="0"/>
          <w:numId w:val="7"/>
        </w:numPr>
        <w:contextualSpacing w:val="0"/>
      </w:pPr>
      <w:r>
        <w:t>Denunciation shall be effected by a notification in writing delivered to the Secretary-General of the Organization.</w:t>
      </w:r>
    </w:p>
    <w:p w:rsidR="00DF5BF2" w:rsidRDefault="00DF5BF2" w:rsidP="009E09DB">
      <w:pPr>
        <w:pStyle w:val="ListParagraph"/>
        <w:numPr>
          <w:ilvl w:val="0"/>
          <w:numId w:val="7"/>
        </w:numPr>
        <w:contextualSpacing w:val="0"/>
      </w:pPr>
      <w:r>
        <w:t>A denunciation shall take effect one year, or such longer period as may be specified in the notification, after its receipt by the Secretary-General of the Organization.</w:t>
      </w:r>
    </w:p>
    <w:p w:rsidR="00DF5BF2" w:rsidRDefault="00DF5BF2" w:rsidP="009E09DB">
      <w:pPr>
        <w:pStyle w:val="ListParagraph"/>
        <w:numPr>
          <w:ilvl w:val="0"/>
          <w:numId w:val="7"/>
        </w:numPr>
        <w:contextualSpacing w:val="0"/>
      </w:pPr>
      <w:r>
        <w:t>Notwithstanding a denunciation by a Contracting Party pursuant to this Article the provisions of the present Convention shall continue to apply to any damage caused by a nuclear incident occurring before the denunciation takes effect.</w:t>
      </w:r>
    </w:p>
    <w:p w:rsidR="00DF5BF2" w:rsidRDefault="00DF5BF2" w:rsidP="009E09DB">
      <w:pPr>
        <w:pStyle w:val="Heading1"/>
      </w:pPr>
      <w:bookmarkStart w:id="8" w:name="_Toc463872392"/>
      <w:r>
        <w:t>Article 8</w:t>
      </w:r>
      <w:bookmarkEnd w:id="8"/>
      <w:r>
        <w:t xml:space="preserve"> </w:t>
      </w:r>
    </w:p>
    <w:p w:rsidR="00DF5BF2" w:rsidRDefault="00DF5BF2" w:rsidP="009E09DB">
      <w:pPr>
        <w:pStyle w:val="ListParagraph"/>
        <w:numPr>
          <w:ilvl w:val="0"/>
          <w:numId w:val="8"/>
        </w:numPr>
        <w:contextualSpacing w:val="0"/>
      </w:pPr>
      <w:r>
        <w:t>The United Nations where it is the administering authority for a territory, or any Contracting Party to the present Convention responsible for the international relations of a territory, may at any time by notification in writing to the Secretary-General of the Organization declare that the present Convention shall extend to such territory.</w:t>
      </w:r>
    </w:p>
    <w:p w:rsidR="00DF5BF2" w:rsidRDefault="00DF5BF2" w:rsidP="009E09DB">
      <w:pPr>
        <w:pStyle w:val="ListParagraph"/>
        <w:numPr>
          <w:ilvl w:val="0"/>
          <w:numId w:val="8"/>
        </w:numPr>
        <w:contextualSpacing w:val="0"/>
      </w:pPr>
      <w:r>
        <w:t>The present Convention shall, from the date of receipt of the notification or from such other date as may be specified in the notification, extend to the territory named therein.</w:t>
      </w:r>
    </w:p>
    <w:p w:rsidR="00DF5BF2" w:rsidRDefault="00DF5BF2" w:rsidP="009E09DB">
      <w:pPr>
        <w:pStyle w:val="ListParagraph"/>
        <w:numPr>
          <w:ilvl w:val="0"/>
          <w:numId w:val="8"/>
        </w:numPr>
        <w:contextualSpacing w:val="0"/>
      </w:pPr>
      <w:r>
        <w:t>The United Nations, or any Contracting Party which had made a declaration under paragraph 1 of this Article may at any time after the date on which the Convention has been so extended to any territory declare by notification in writing to the Secretary-General of the Organization that the present Convention shall cease to extend to any such territory named in the notification.</w:t>
      </w:r>
    </w:p>
    <w:p w:rsidR="00DF5BF2" w:rsidRDefault="00DF5BF2" w:rsidP="009E09DB">
      <w:pPr>
        <w:pStyle w:val="ListParagraph"/>
        <w:numPr>
          <w:ilvl w:val="0"/>
          <w:numId w:val="8"/>
        </w:numPr>
        <w:contextualSpacing w:val="0"/>
      </w:pPr>
      <w:r>
        <w:t>The present Convention shall cease to extend to any territory mentioned in such notification one year, or such longer period as may be specified therein, after the date of receipt of the notification by the Secretary-General of the Organization.</w:t>
      </w:r>
    </w:p>
    <w:p w:rsidR="00DF5BF2" w:rsidRDefault="00DF5BF2" w:rsidP="009E09DB">
      <w:pPr>
        <w:pStyle w:val="Heading1"/>
      </w:pPr>
      <w:bookmarkStart w:id="9" w:name="_Toc463872393"/>
      <w:r>
        <w:t>Article 9</w:t>
      </w:r>
      <w:bookmarkEnd w:id="9"/>
      <w:r>
        <w:t xml:space="preserve"> </w:t>
      </w:r>
    </w:p>
    <w:p w:rsidR="00DF5BF2" w:rsidRDefault="00DF5BF2" w:rsidP="009E09DB">
      <w:pPr>
        <w:pStyle w:val="ListParagraph"/>
        <w:numPr>
          <w:ilvl w:val="0"/>
          <w:numId w:val="9"/>
        </w:numPr>
        <w:contextualSpacing w:val="0"/>
      </w:pPr>
      <w:r>
        <w:t>A Conference for the purpose of revising or amending the present Convention may be convened by the Organization.</w:t>
      </w:r>
    </w:p>
    <w:p w:rsidR="00DF5BF2" w:rsidRDefault="00DF5BF2" w:rsidP="009E09DB">
      <w:pPr>
        <w:pStyle w:val="ListParagraph"/>
        <w:numPr>
          <w:ilvl w:val="0"/>
          <w:numId w:val="9"/>
        </w:numPr>
        <w:contextualSpacing w:val="0"/>
      </w:pPr>
      <w:r>
        <w:t>The Organization shall convene a Conference of the Contracting Parties to the present Convention for revising or amending it at the request of not less than one-third of the Contracting Parties.</w:t>
      </w:r>
    </w:p>
    <w:p w:rsidR="00DF5BF2" w:rsidRDefault="00DF5BF2" w:rsidP="009E09DB">
      <w:pPr>
        <w:pStyle w:val="Heading1"/>
      </w:pPr>
      <w:bookmarkStart w:id="10" w:name="_Toc463872394"/>
      <w:r>
        <w:lastRenderedPageBreak/>
        <w:t>Article 10</w:t>
      </w:r>
      <w:bookmarkEnd w:id="10"/>
      <w:r>
        <w:t xml:space="preserve"> </w:t>
      </w:r>
    </w:p>
    <w:p w:rsidR="00DF5BF2" w:rsidRDefault="00DF5BF2" w:rsidP="009E09DB">
      <w:r>
        <w:t>A Contracting Party may make reservations corresponding to those which it has validly made to the Paris or Vienna Convention. A reservation may be made at the time of signature, ratification, acceptance, approval or accession.</w:t>
      </w:r>
    </w:p>
    <w:p w:rsidR="00DF5BF2" w:rsidRDefault="00DF5BF2" w:rsidP="009E09DB">
      <w:pPr>
        <w:pStyle w:val="Heading1"/>
      </w:pPr>
      <w:bookmarkStart w:id="11" w:name="_Toc463872395"/>
      <w:r>
        <w:t>Article 11</w:t>
      </w:r>
      <w:bookmarkEnd w:id="11"/>
      <w:r>
        <w:t xml:space="preserve"> </w:t>
      </w:r>
    </w:p>
    <w:p w:rsidR="00DF5BF2" w:rsidRDefault="00DF5BF2" w:rsidP="009E09DB">
      <w:pPr>
        <w:pStyle w:val="ListParagraph"/>
        <w:numPr>
          <w:ilvl w:val="0"/>
          <w:numId w:val="10"/>
        </w:numPr>
        <w:contextualSpacing w:val="0"/>
      </w:pPr>
      <w:r>
        <w:t>The present Convention shall be deposited with the Secretary-General of the Organization.</w:t>
      </w:r>
    </w:p>
    <w:p w:rsidR="00DF5BF2" w:rsidRDefault="00DF5BF2" w:rsidP="009E09DB">
      <w:pPr>
        <w:pStyle w:val="ListParagraph"/>
        <w:numPr>
          <w:ilvl w:val="0"/>
          <w:numId w:val="10"/>
        </w:numPr>
        <w:contextualSpacing w:val="0"/>
      </w:pPr>
      <w:r>
        <w:t>The Secretary-General of the Organization shall:</w:t>
      </w:r>
    </w:p>
    <w:p w:rsidR="00DF5BF2" w:rsidRDefault="00DF5BF2" w:rsidP="009E09DB">
      <w:pPr>
        <w:pStyle w:val="ListParagraph"/>
        <w:numPr>
          <w:ilvl w:val="0"/>
          <w:numId w:val="11"/>
        </w:numPr>
        <w:contextualSpacing w:val="0"/>
      </w:pPr>
      <w:r>
        <w:t>inform all Slates which have signed or acceded to the present Convention of:</w:t>
      </w:r>
    </w:p>
    <w:p w:rsidR="00DF5BF2" w:rsidRDefault="00DF5BF2" w:rsidP="009E09DB">
      <w:pPr>
        <w:pStyle w:val="ListParagraph"/>
        <w:numPr>
          <w:ilvl w:val="0"/>
          <w:numId w:val="12"/>
        </w:numPr>
        <w:contextualSpacing w:val="0"/>
      </w:pPr>
      <w:r>
        <w:t>each new signature and each deposit of an instrument together with the date thereof;</w:t>
      </w:r>
    </w:p>
    <w:p w:rsidR="00DF5BF2" w:rsidRDefault="00DF5BF2" w:rsidP="009E09DB">
      <w:pPr>
        <w:pStyle w:val="ListParagraph"/>
        <w:numPr>
          <w:ilvl w:val="0"/>
          <w:numId w:val="12"/>
        </w:numPr>
        <w:contextualSpacing w:val="0"/>
      </w:pPr>
      <w:r>
        <w:t>any reservation made in conformity with the present Convention;</w:t>
      </w:r>
    </w:p>
    <w:p w:rsidR="00DF5BF2" w:rsidRDefault="00DF5BF2" w:rsidP="009E09DB">
      <w:pPr>
        <w:pStyle w:val="ListParagraph"/>
        <w:numPr>
          <w:ilvl w:val="0"/>
          <w:numId w:val="12"/>
        </w:numPr>
        <w:contextualSpacing w:val="0"/>
      </w:pPr>
      <w:r>
        <w:t>the date of entry into force of the present Convention;</w:t>
      </w:r>
    </w:p>
    <w:p w:rsidR="00DF5BF2" w:rsidRDefault="00DF5BF2" w:rsidP="009E09DB">
      <w:pPr>
        <w:pStyle w:val="ListParagraph"/>
        <w:numPr>
          <w:ilvl w:val="0"/>
          <w:numId w:val="12"/>
        </w:numPr>
        <w:contextualSpacing w:val="0"/>
      </w:pPr>
      <w:r>
        <w:t>any denunciation of the present Convention and the date on which it takes effect;</w:t>
      </w:r>
    </w:p>
    <w:p w:rsidR="00DF5BF2" w:rsidRDefault="00DF5BF2" w:rsidP="00A71163">
      <w:pPr>
        <w:pStyle w:val="ListParagraph"/>
        <w:numPr>
          <w:ilvl w:val="0"/>
          <w:numId w:val="12"/>
        </w:numPr>
        <w:ind w:left="1418" w:hanging="338"/>
        <w:contextualSpacing w:val="0"/>
      </w:pPr>
      <w:r>
        <w:t>the extension of the present Convention to any territory under paragraph 1 of Article 8 and of the termination of any such extension under the provisions of paragraph 4 of that Article stating in each case the date on which the present Convention has been or will cease to be so extended;</w:t>
      </w:r>
    </w:p>
    <w:p w:rsidR="00DF5BF2" w:rsidRDefault="00DF5BF2" w:rsidP="009E09DB">
      <w:pPr>
        <w:pStyle w:val="ListParagraph"/>
        <w:numPr>
          <w:ilvl w:val="0"/>
          <w:numId w:val="11"/>
        </w:numPr>
        <w:contextualSpacing w:val="0"/>
      </w:pPr>
      <w:proofErr w:type="gramStart"/>
      <w:r>
        <w:t>transmit</w:t>
      </w:r>
      <w:proofErr w:type="gramEnd"/>
      <w:r>
        <w:t xml:space="preserve"> certified true copies of the present Convention to all Signatory States and to all States which have acceded to the present Convention.</w:t>
      </w:r>
    </w:p>
    <w:p w:rsidR="00DF5BF2" w:rsidRDefault="00DF5BF2" w:rsidP="009E09DB">
      <w:pPr>
        <w:pStyle w:val="ListParagraph"/>
        <w:numPr>
          <w:ilvl w:val="0"/>
          <w:numId w:val="10"/>
        </w:numPr>
        <w:contextualSpacing w:val="0"/>
      </w:pPr>
      <w:r>
        <w:t>As soon as the present Convention comes into force, a certified true copy thereof shall be transmitted by the Secretary-General of the Organization to the Secretariat of the United Nations for registration and publication in accordance with Article 102 of the Charter of the United Nations.</w:t>
      </w:r>
    </w:p>
    <w:p w:rsidR="00DF5BF2" w:rsidRDefault="00DF5BF2" w:rsidP="009E09DB">
      <w:pPr>
        <w:pStyle w:val="Heading1"/>
      </w:pPr>
      <w:bookmarkStart w:id="12" w:name="_Toc463872396"/>
      <w:r>
        <w:t>Article 12</w:t>
      </w:r>
      <w:bookmarkEnd w:id="12"/>
      <w:r>
        <w:t xml:space="preserve"> </w:t>
      </w:r>
    </w:p>
    <w:p w:rsidR="00DF5BF2" w:rsidRDefault="00DF5BF2" w:rsidP="009E09DB">
      <w:r>
        <w:t>The present Convention is established in a single original in the English and French languages, both texts being equally authentic. Official translations in the Russian and Spanish languages shall be prepared by the Secretariat of the Organization and depo</w:t>
      </w:r>
      <w:r w:rsidR="008A7795">
        <w:t>sited with the signed original.</w:t>
      </w:r>
    </w:p>
    <w:p w:rsidR="00DF5BF2" w:rsidRDefault="00DF5BF2" w:rsidP="009E09DB">
      <w:r>
        <w:t>IN WITNESS WHEREOF the undersigned being duly authorized by their respective Governments for that purpose have signed the present Convention.</w:t>
      </w:r>
    </w:p>
    <w:p w:rsidR="00F61B4F" w:rsidRDefault="00DF5BF2" w:rsidP="009E09DB">
      <w:r>
        <w:t>DONE at Brussels this seventeenth day of December 1971.</w:t>
      </w:r>
    </w:p>
    <w:p w:rsidR="00DF5BF2" w:rsidRDefault="00DF5BF2" w:rsidP="009E09DB"/>
    <w:sectPr w:rsidR="00DF5BF2"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AC" w:rsidRDefault="00094CAC" w:rsidP="00F61B4F">
      <w:pPr>
        <w:spacing w:before="0" w:after="0" w:line="240" w:lineRule="auto"/>
      </w:pPr>
      <w:r>
        <w:separator/>
      </w:r>
    </w:p>
  </w:endnote>
  <w:endnote w:type="continuationSeparator" w:id="0">
    <w:p w:rsidR="00094CAC" w:rsidRDefault="00094CA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1631F">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1631F">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Default="00F61B4F" w:rsidP="00F61B4F">
    <w:pPr>
      <w:pStyle w:val="Footer"/>
      <w:tabs>
        <w:tab w:val="clear" w:pos="9360"/>
        <w:tab w:val="right" w:pos="8931"/>
      </w:tabs>
      <w:jc w:val="right"/>
    </w:pPr>
  </w:p>
  <w:p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AC" w:rsidRDefault="00094CAC" w:rsidP="00F61B4F">
      <w:pPr>
        <w:spacing w:before="0" w:after="0" w:line="240" w:lineRule="auto"/>
      </w:pPr>
      <w:r>
        <w:separator/>
      </w:r>
    </w:p>
  </w:footnote>
  <w:footnote w:type="continuationSeparator" w:id="0">
    <w:p w:rsidR="00094CAC" w:rsidRDefault="00094CAC"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B4F" w:rsidRPr="009E09DB" w:rsidRDefault="009E09DB" w:rsidP="009E09DB">
    <w:pPr>
      <w:pStyle w:val="Header"/>
      <w:pBdr>
        <w:bottom w:val="single" w:sz="4" w:space="1" w:color="auto"/>
      </w:pBdr>
    </w:pPr>
    <w:r w:rsidRPr="009E09DB">
      <w:rPr>
        <w:rFonts w:cs="Arial"/>
        <w:caps/>
        <w:color w:val="808080"/>
        <w:sz w:val="16"/>
        <w:szCs w:val="16"/>
      </w:rPr>
      <w:t>1971 CONVENTION RELATING TO CIVIL LIABILITY IN THE FIELD OF MARITIME CARRIAGE OF NUCLEAR MATERIAL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2984"/>
    <w:multiLevelType w:val="hybridMultilevel"/>
    <w:tmpl w:val="E818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E7B56"/>
    <w:multiLevelType w:val="hybridMultilevel"/>
    <w:tmpl w:val="B6F8C5A0"/>
    <w:lvl w:ilvl="0" w:tplc="78640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011C1"/>
    <w:multiLevelType w:val="hybridMultilevel"/>
    <w:tmpl w:val="B69875A6"/>
    <w:lvl w:ilvl="0" w:tplc="7778A2E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86CE2"/>
    <w:multiLevelType w:val="hybridMultilevel"/>
    <w:tmpl w:val="2608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C7721"/>
    <w:multiLevelType w:val="hybridMultilevel"/>
    <w:tmpl w:val="480C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B7E8B"/>
    <w:multiLevelType w:val="hybridMultilevel"/>
    <w:tmpl w:val="762E1FC4"/>
    <w:lvl w:ilvl="0" w:tplc="78640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BC4790"/>
    <w:multiLevelType w:val="hybridMultilevel"/>
    <w:tmpl w:val="D94C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577D8"/>
    <w:multiLevelType w:val="hybridMultilevel"/>
    <w:tmpl w:val="A5E277EE"/>
    <w:lvl w:ilvl="0" w:tplc="78640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BC4DCF"/>
    <w:multiLevelType w:val="hybridMultilevel"/>
    <w:tmpl w:val="FAEE18AC"/>
    <w:lvl w:ilvl="0" w:tplc="C3448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B06C3"/>
    <w:multiLevelType w:val="hybridMultilevel"/>
    <w:tmpl w:val="7294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63FEA"/>
    <w:multiLevelType w:val="hybridMultilevel"/>
    <w:tmpl w:val="E93A06C4"/>
    <w:lvl w:ilvl="0" w:tplc="7778A2E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876C53"/>
    <w:multiLevelType w:val="hybridMultilevel"/>
    <w:tmpl w:val="44EA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1093E"/>
    <w:multiLevelType w:val="hybridMultilevel"/>
    <w:tmpl w:val="63DC56E2"/>
    <w:lvl w:ilvl="0" w:tplc="7778A2E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F122E5"/>
    <w:multiLevelType w:val="hybridMultilevel"/>
    <w:tmpl w:val="EDC40552"/>
    <w:lvl w:ilvl="0" w:tplc="9766C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247EAF"/>
    <w:multiLevelType w:val="hybridMultilevel"/>
    <w:tmpl w:val="BDEC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B1CD6"/>
    <w:multiLevelType w:val="hybridMultilevel"/>
    <w:tmpl w:val="32985984"/>
    <w:lvl w:ilvl="0" w:tplc="7778A2E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F63300"/>
    <w:multiLevelType w:val="hybridMultilevel"/>
    <w:tmpl w:val="C8EA5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B572A"/>
    <w:multiLevelType w:val="hybridMultilevel"/>
    <w:tmpl w:val="4E1E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C5BD1"/>
    <w:multiLevelType w:val="hybridMultilevel"/>
    <w:tmpl w:val="43F4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1"/>
  </w:num>
  <w:num w:numId="6">
    <w:abstractNumId w:val="14"/>
  </w:num>
  <w:num w:numId="7">
    <w:abstractNumId w:val="3"/>
  </w:num>
  <w:num w:numId="8">
    <w:abstractNumId w:val="9"/>
  </w:num>
  <w:num w:numId="9">
    <w:abstractNumId w:val="4"/>
  </w:num>
  <w:num w:numId="10">
    <w:abstractNumId w:val="11"/>
  </w:num>
  <w:num w:numId="11">
    <w:abstractNumId w:val="5"/>
  </w:num>
  <w:num w:numId="12">
    <w:abstractNumId w:val="13"/>
  </w:num>
  <w:num w:numId="13">
    <w:abstractNumId w:val="16"/>
  </w:num>
  <w:num w:numId="14">
    <w:abstractNumId w:val="2"/>
  </w:num>
  <w:num w:numId="15">
    <w:abstractNumId w:val="12"/>
  </w:num>
  <w:num w:numId="16">
    <w:abstractNumId w:val="17"/>
  </w:num>
  <w:num w:numId="17">
    <w:abstractNumId w:val="1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F2"/>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4CAC"/>
    <w:rsid w:val="0009558E"/>
    <w:rsid w:val="00097F77"/>
    <w:rsid w:val="000A329C"/>
    <w:rsid w:val="000B02EF"/>
    <w:rsid w:val="000B197F"/>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648EA"/>
    <w:rsid w:val="001669E3"/>
    <w:rsid w:val="001728AB"/>
    <w:rsid w:val="00172E71"/>
    <w:rsid w:val="00176298"/>
    <w:rsid w:val="0018065C"/>
    <w:rsid w:val="00183009"/>
    <w:rsid w:val="001871A4"/>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1B04"/>
    <w:rsid w:val="002E6283"/>
    <w:rsid w:val="002F1577"/>
    <w:rsid w:val="002F7DA0"/>
    <w:rsid w:val="0030037C"/>
    <w:rsid w:val="003035FA"/>
    <w:rsid w:val="003071F6"/>
    <w:rsid w:val="00311F81"/>
    <w:rsid w:val="00311F88"/>
    <w:rsid w:val="00312FB5"/>
    <w:rsid w:val="00315409"/>
    <w:rsid w:val="0031631F"/>
    <w:rsid w:val="00321387"/>
    <w:rsid w:val="0032159B"/>
    <w:rsid w:val="00321890"/>
    <w:rsid w:val="00325A2D"/>
    <w:rsid w:val="00326D39"/>
    <w:rsid w:val="003316EF"/>
    <w:rsid w:val="0033544F"/>
    <w:rsid w:val="00336CA3"/>
    <w:rsid w:val="003374CC"/>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409"/>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23D73"/>
    <w:rsid w:val="005325F9"/>
    <w:rsid w:val="00534217"/>
    <w:rsid w:val="00535BF3"/>
    <w:rsid w:val="00537A67"/>
    <w:rsid w:val="00537D81"/>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EF"/>
    <w:rsid w:val="008262AF"/>
    <w:rsid w:val="008419D9"/>
    <w:rsid w:val="0084289A"/>
    <w:rsid w:val="00863AA4"/>
    <w:rsid w:val="00871D6D"/>
    <w:rsid w:val="00875863"/>
    <w:rsid w:val="008761FC"/>
    <w:rsid w:val="008A2C17"/>
    <w:rsid w:val="008A3A39"/>
    <w:rsid w:val="008A7795"/>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3725"/>
    <w:rsid w:val="009C42E9"/>
    <w:rsid w:val="009C4737"/>
    <w:rsid w:val="009C4D4C"/>
    <w:rsid w:val="009C6AFB"/>
    <w:rsid w:val="009C7121"/>
    <w:rsid w:val="009D1B8A"/>
    <w:rsid w:val="009E09DB"/>
    <w:rsid w:val="009E21A2"/>
    <w:rsid w:val="009E2828"/>
    <w:rsid w:val="009E4818"/>
    <w:rsid w:val="009E6790"/>
    <w:rsid w:val="009E6EB7"/>
    <w:rsid w:val="00A0085A"/>
    <w:rsid w:val="00A03EE4"/>
    <w:rsid w:val="00A04D76"/>
    <w:rsid w:val="00A05490"/>
    <w:rsid w:val="00A05CF4"/>
    <w:rsid w:val="00A05E32"/>
    <w:rsid w:val="00A07327"/>
    <w:rsid w:val="00A12E87"/>
    <w:rsid w:val="00A14655"/>
    <w:rsid w:val="00A149F0"/>
    <w:rsid w:val="00A152B4"/>
    <w:rsid w:val="00A1553E"/>
    <w:rsid w:val="00A16CEA"/>
    <w:rsid w:val="00A21ED9"/>
    <w:rsid w:val="00A25765"/>
    <w:rsid w:val="00A302FE"/>
    <w:rsid w:val="00A32891"/>
    <w:rsid w:val="00A3329A"/>
    <w:rsid w:val="00A359D5"/>
    <w:rsid w:val="00A36EF4"/>
    <w:rsid w:val="00A5006A"/>
    <w:rsid w:val="00A551D1"/>
    <w:rsid w:val="00A60DBB"/>
    <w:rsid w:val="00A60F35"/>
    <w:rsid w:val="00A61CFF"/>
    <w:rsid w:val="00A62871"/>
    <w:rsid w:val="00A638C5"/>
    <w:rsid w:val="00A646B8"/>
    <w:rsid w:val="00A71163"/>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D6C56"/>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2659"/>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31C8"/>
    <w:rsid w:val="00CE4330"/>
    <w:rsid w:val="00CE567F"/>
    <w:rsid w:val="00CE59E6"/>
    <w:rsid w:val="00CE7679"/>
    <w:rsid w:val="00CF277F"/>
    <w:rsid w:val="00CF4CBB"/>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5BF2"/>
    <w:rsid w:val="00DF64FF"/>
    <w:rsid w:val="00DF72C5"/>
    <w:rsid w:val="00E005B9"/>
    <w:rsid w:val="00E13279"/>
    <w:rsid w:val="00E15214"/>
    <w:rsid w:val="00E171CF"/>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2FAE"/>
    <w:rsid w:val="00EC57B1"/>
    <w:rsid w:val="00ED01F1"/>
    <w:rsid w:val="00ED61BD"/>
    <w:rsid w:val="00ED6DF2"/>
    <w:rsid w:val="00EE207B"/>
    <w:rsid w:val="00EF1001"/>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1F21"/>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7469A-2A82-4C48-A0B7-69C0F614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unhideWhenUsed/>
    <w:rsid w:val="00A71163"/>
    <w:pPr>
      <w:spacing w:before="60" w:after="60"/>
      <w:ind w:left="198"/>
    </w:pPr>
    <w:rPr>
      <w:caps/>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Normal"/>
    <w:next w:val="Normal"/>
    <w:autoRedefine/>
    <w:uiPriority w:val="39"/>
    <w:unhideWhenUsed/>
    <w:rsid w:val="00A71163"/>
    <w:pPr>
      <w:spacing w:before="60" w:after="60"/>
      <w:ind w:left="403"/>
    </w:pPr>
    <w:rPr>
      <w:caps/>
    </w:rPr>
  </w:style>
  <w:style w:type="paragraph" w:styleId="ListParagraph">
    <w:name w:val="List Paragraph"/>
    <w:basedOn w:val="Normal"/>
    <w:uiPriority w:val="34"/>
    <w:qFormat/>
    <w:rsid w:val="009E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ownloads\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18B79-71DE-4945-94F9-7CF9570B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2016-10-10T06:28:00Z</cp:lastPrinted>
  <dcterms:created xsi:type="dcterms:W3CDTF">2018-07-04T04:07:00Z</dcterms:created>
  <dcterms:modified xsi:type="dcterms:W3CDTF">2018-07-04T04:07:00Z</dcterms:modified>
</cp:coreProperties>
</file>