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84" w:rsidRDefault="00CA7984" w:rsidP="00CA7984">
      <w:pPr>
        <w:pStyle w:val="CILTitle"/>
      </w:pPr>
      <w:r>
        <w:t>1972 CONVENTION ON THE PREVENTION OF MARINE POLLUTION BY DUMPING OF WASTES AND OTHER MATTER</w:t>
      </w:r>
    </w:p>
    <w:p w:rsidR="00F5206B" w:rsidRDefault="00F5206B" w:rsidP="00CA7984">
      <w:pPr>
        <w:pStyle w:val="CILTitle"/>
      </w:pPr>
      <w:r>
        <w:t>(LONDON CONVENTION)</w:t>
      </w:r>
    </w:p>
    <w:p w:rsidR="00CA7984" w:rsidRDefault="00CA7984" w:rsidP="00CA7984">
      <w:pPr>
        <w:pStyle w:val="CILSubtitle"/>
      </w:pPr>
      <w:r>
        <w:t xml:space="preserve">Adopted on 29 December 1972 </w:t>
      </w:r>
    </w:p>
    <w:p w:rsidR="009C0F8B" w:rsidRDefault="009C0F8B">
      <w:pPr>
        <w:pStyle w:val="TOCHeading"/>
      </w:pPr>
    </w:p>
    <w:p w:rsidR="009C0F8B" w:rsidRPr="009C0F8B" w:rsidRDefault="009C0F8B" w:rsidP="009C0F8B">
      <w:pPr>
        <w:pStyle w:val="TOC1"/>
        <w:spacing w:before="60" w:after="60"/>
        <w:contextualSpacing w:val="0"/>
        <w:rPr>
          <w:rFonts w:ascii="Calibri" w:eastAsia="Times New Roman" w:hAnsi="Calibri"/>
          <w:caps w:val="0"/>
          <w:noProof/>
          <w:sz w:val="22"/>
          <w:szCs w:val="22"/>
        </w:rPr>
      </w:pPr>
      <w:r>
        <w:fldChar w:fldCharType="begin"/>
      </w:r>
      <w:r>
        <w:instrText xml:space="preserve"> TOC \o "1-3" \h \z \u </w:instrText>
      </w:r>
      <w:r>
        <w:fldChar w:fldCharType="separate"/>
      </w:r>
      <w:hyperlink w:anchor="_Toc463129420" w:history="1">
        <w:r w:rsidRPr="00820225">
          <w:rPr>
            <w:rStyle w:val="Hyperlink"/>
            <w:noProof/>
          </w:rPr>
          <w:t>ARTICLE I</w:t>
        </w:r>
        <w:r>
          <w:rPr>
            <w:noProof/>
            <w:webHidden/>
          </w:rPr>
          <w:tab/>
        </w:r>
        <w:r>
          <w:rPr>
            <w:noProof/>
            <w:webHidden/>
          </w:rPr>
          <w:fldChar w:fldCharType="begin"/>
        </w:r>
        <w:r>
          <w:rPr>
            <w:noProof/>
            <w:webHidden/>
          </w:rPr>
          <w:instrText xml:space="preserve"> PAGEREF _Toc463129420 \h </w:instrText>
        </w:r>
        <w:r>
          <w:rPr>
            <w:noProof/>
            <w:webHidden/>
          </w:rPr>
        </w:r>
        <w:r>
          <w:rPr>
            <w:noProof/>
            <w:webHidden/>
          </w:rPr>
          <w:fldChar w:fldCharType="separate"/>
        </w:r>
        <w:r w:rsidR="00F72BD4">
          <w:rPr>
            <w:noProof/>
            <w:webHidden/>
          </w:rPr>
          <w:t>2</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21" w:history="1">
        <w:r w:rsidRPr="00820225">
          <w:rPr>
            <w:rStyle w:val="Hyperlink"/>
            <w:noProof/>
          </w:rPr>
          <w:t>ARTICLE II</w:t>
        </w:r>
        <w:r>
          <w:rPr>
            <w:noProof/>
            <w:webHidden/>
          </w:rPr>
          <w:tab/>
        </w:r>
        <w:r>
          <w:rPr>
            <w:noProof/>
            <w:webHidden/>
          </w:rPr>
          <w:fldChar w:fldCharType="begin"/>
        </w:r>
        <w:r>
          <w:rPr>
            <w:noProof/>
            <w:webHidden/>
          </w:rPr>
          <w:instrText xml:space="preserve"> PAGEREF _Toc463129421 \h </w:instrText>
        </w:r>
        <w:r>
          <w:rPr>
            <w:noProof/>
            <w:webHidden/>
          </w:rPr>
        </w:r>
        <w:r>
          <w:rPr>
            <w:noProof/>
            <w:webHidden/>
          </w:rPr>
          <w:fldChar w:fldCharType="separate"/>
        </w:r>
        <w:r w:rsidR="00F72BD4">
          <w:rPr>
            <w:noProof/>
            <w:webHidden/>
          </w:rPr>
          <w:t>3</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22" w:history="1">
        <w:r w:rsidRPr="00820225">
          <w:rPr>
            <w:rStyle w:val="Hyperlink"/>
            <w:noProof/>
          </w:rPr>
          <w:t>ARTICLE III</w:t>
        </w:r>
        <w:r>
          <w:rPr>
            <w:noProof/>
            <w:webHidden/>
          </w:rPr>
          <w:tab/>
        </w:r>
        <w:r>
          <w:rPr>
            <w:noProof/>
            <w:webHidden/>
          </w:rPr>
          <w:fldChar w:fldCharType="begin"/>
        </w:r>
        <w:r>
          <w:rPr>
            <w:noProof/>
            <w:webHidden/>
          </w:rPr>
          <w:instrText xml:space="preserve"> PAGEREF _Toc463129422 \h </w:instrText>
        </w:r>
        <w:r>
          <w:rPr>
            <w:noProof/>
            <w:webHidden/>
          </w:rPr>
        </w:r>
        <w:r>
          <w:rPr>
            <w:noProof/>
            <w:webHidden/>
          </w:rPr>
          <w:fldChar w:fldCharType="separate"/>
        </w:r>
        <w:r w:rsidR="00F72BD4">
          <w:rPr>
            <w:noProof/>
            <w:webHidden/>
          </w:rPr>
          <w:t>3</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23" w:history="1">
        <w:r w:rsidRPr="00820225">
          <w:rPr>
            <w:rStyle w:val="Hyperlink"/>
            <w:noProof/>
          </w:rPr>
          <w:t>ARTICLE IV</w:t>
        </w:r>
        <w:r>
          <w:rPr>
            <w:noProof/>
            <w:webHidden/>
          </w:rPr>
          <w:tab/>
        </w:r>
        <w:r>
          <w:rPr>
            <w:noProof/>
            <w:webHidden/>
          </w:rPr>
          <w:fldChar w:fldCharType="begin"/>
        </w:r>
        <w:r>
          <w:rPr>
            <w:noProof/>
            <w:webHidden/>
          </w:rPr>
          <w:instrText xml:space="preserve"> PAGEREF _Toc463129423 \h </w:instrText>
        </w:r>
        <w:r>
          <w:rPr>
            <w:noProof/>
            <w:webHidden/>
          </w:rPr>
        </w:r>
        <w:r>
          <w:rPr>
            <w:noProof/>
            <w:webHidden/>
          </w:rPr>
          <w:fldChar w:fldCharType="separate"/>
        </w:r>
        <w:r w:rsidR="00F72BD4">
          <w:rPr>
            <w:noProof/>
            <w:webHidden/>
          </w:rPr>
          <w:t>4</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24" w:history="1">
        <w:r w:rsidRPr="00820225">
          <w:rPr>
            <w:rStyle w:val="Hyperlink"/>
            <w:noProof/>
          </w:rPr>
          <w:t>ARTICLE V</w:t>
        </w:r>
        <w:r>
          <w:rPr>
            <w:noProof/>
            <w:webHidden/>
          </w:rPr>
          <w:tab/>
        </w:r>
        <w:r>
          <w:rPr>
            <w:noProof/>
            <w:webHidden/>
          </w:rPr>
          <w:fldChar w:fldCharType="begin"/>
        </w:r>
        <w:r>
          <w:rPr>
            <w:noProof/>
            <w:webHidden/>
          </w:rPr>
          <w:instrText xml:space="preserve"> PAGEREF _Toc463129424 \h </w:instrText>
        </w:r>
        <w:r>
          <w:rPr>
            <w:noProof/>
            <w:webHidden/>
          </w:rPr>
        </w:r>
        <w:r>
          <w:rPr>
            <w:noProof/>
            <w:webHidden/>
          </w:rPr>
          <w:fldChar w:fldCharType="separate"/>
        </w:r>
        <w:r w:rsidR="00F72BD4">
          <w:rPr>
            <w:noProof/>
            <w:webHidden/>
          </w:rPr>
          <w:t>4</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25" w:history="1">
        <w:r w:rsidRPr="00820225">
          <w:rPr>
            <w:rStyle w:val="Hyperlink"/>
            <w:noProof/>
          </w:rPr>
          <w:t>ARTICLE VI</w:t>
        </w:r>
        <w:r>
          <w:rPr>
            <w:noProof/>
            <w:webHidden/>
          </w:rPr>
          <w:tab/>
        </w:r>
        <w:r>
          <w:rPr>
            <w:noProof/>
            <w:webHidden/>
          </w:rPr>
          <w:fldChar w:fldCharType="begin"/>
        </w:r>
        <w:r>
          <w:rPr>
            <w:noProof/>
            <w:webHidden/>
          </w:rPr>
          <w:instrText xml:space="preserve"> PAGEREF _Toc463129425 \h </w:instrText>
        </w:r>
        <w:r>
          <w:rPr>
            <w:noProof/>
            <w:webHidden/>
          </w:rPr>
        </w:r>
        <w:r>
          <w:rPr>
            <w:noProof/>
            <w:webHidden/>
          </w:rPr>
          <w:fldChar w:fldCharType="separate"/>
        </w:r>
        <w:r w:rsidR="00F72BD4">
          <w:rPr>
            <w:noProof/>
            <w:webHidden/>
          </w:rPr>
          <w:t>4</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26" w:history="1">
        <w:r w:rsidRPr="00820225">
          <w:rPr>
            <w:rStyle w:val="Hyperlink"/>
            <w:noProof/>
          </w:rPr>
          <w:t>ARTICLE VII</w:t>
        </w:r>
        <w:r>
          <w:rPr>
            <w:noProof/>
            <w:webHidden/>
          </w:rPr>
          <w:tab/>
        </w:r>
        <w:r>
          <w:rPr>
            <w:noProof/>
            <w:webHidden/>
          </w:rPr>
          <w:fldChar w:fldCharType="begin"/>
        </w:r>
        <w:r>
          <w:rPr>
            <w:noProof/>
            <w:webHidden/>
          </w:rPr>
          <w:instrText xml:space="preserve"> PAGEREF _Toc463129426 \h </w:instrText>
        </w:r>
        <w:r>
          <w:rPr>
            <w:noProof/>
            <w:webHidden/>
          </w:rPr>
        </w:r>
        <w:r>
          <w:rPr>
            <w:noProof/>
            <w:webHidden/>
          </w:rPr>
          <w:fldChar w:fldCharType="separate"/>
        </w:r>
        <w:r w:rsidR="00F72BD4">
          <w:rPr>
            <w:noProof/>
            <w:webHidden/>
          </w:rPr>
          <w:t>5</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27" w:history="1">
        <w:r w:rsidRPr="00820225">
          <w:rPr>
            <w:rStyle w:val="Hyperlink"/>
            <w:noProof/>
          </w:rPr>
          <w:t>ARTICLE VIII</w:t>
        </w:r>
        <w:r>
          <w:rPr>
            <w:noProof/>
            <w:webHidden/>
          </w:rPr>
          <w:tab/>
        </w:r>
        <w:r>
          <w:rPr>
            <w:noProof/>
            <w:webHidden/>
          </w:rPr>
          <w:fldChar w:fldCharType="begin"/>
        </w:r>
        <w:r>
          <w:rPr>
            <w:noProof/>
            <w:webHidden/>
          </w:rPr>
          <w:instrText xml:space="preserve"> PAGEREF _Toc463129427 \h </w:instrText>
        </w:r>
        <w:r>
          <w:rPr>
            <w:noProof/>
            <w:webHidden/>
          </w:rPr>
        </w:r>
        <w:r>
          <w:rPr>
            <w:noProof/>
            <w:webHidden/>
          </w:rPr>
          <w:fldChar w:fldCharType="separate"/>
        </w:r>
        <w:r w:rsidR="00F72BD4">
          <w:rPr>
            <w:noProof/>
            <w:webHidden/>
          </w:rPr>
          <w:t>6</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28" w:history="1">
        <w:r w:rsidRPr="00820225">
          <w:rPr>
            <w:rStyle w:val="Hyperlink"/>
            <w:noProof/>
          </w:rPr>
          <w:t>ARTICLE IX</w:t>
        </w:r>
        <w:r>
          <w:rPr>
            <w:noProof/>
            <w:webHidden/>
          </w:rPr>
          <w:tab/>
        </w:r>
        <w:r>
          <w:rPr>
            <w:noProof/>
            <w:webHidden/>
          </w:rPr>
          <w:fldChar w:fldCharType="begin"/>
        </w:r>
        <w:r>
          <w:rPr>
            <w:noProof/>
            <w:webHidden/>
          </w:rPr>
          <w:instrText xml:space="preserve"> PAGEREF _Toc463129428 \h </w:instrText>
        </w:r>
        <w:r>
          <w:rPr>
            <w:noProof/>
            <w:webHidden/>
          </w:rPr>
        </w:r>
        <w:r>
          <w:rPr>
            <w:noProof/>
            <w:webHidden/>
          </w:rPr>
          <w:fldChar w:fldCharType="separate"/>
        </w:r>
        <w:r w:rsidR="00F72BD4">
          <w:rPr>
            <w:noProof/>
            <w:webHidden/>
          </w:rPr>
          <w:t>6</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29" w:history="1">
        <w:r w:rsidRPr="00820225">
          <w:rPr>
            <w:rStyle w:val="Hyperlink"/>
            <w:noProof/>
          </w:rPr>
          <w:t>Article X</w:t>
        </w:r>
        <w:r>
          <w:rPr>
            <w:noProof/>
            <w:webHidden/>
          </w:rPr>
          <w:tab/>
        </w:r>
        <w:r>
          <w:rPr>
            <w:noProof/>
            <w:webHidden/>
          </w:rPr>
          <w:fldChar w:fldCharType="begin"/>
        </w:r>
        <w:r>
          <w:rPr>
            <w:noProof/>
            <w:webHidden/>
          </w:rPr>
          <w:instrText xml:space="preserve"> PAGEREF _Toc463129429 \h </w:instrText>
        </w:r>
        <w:r>
          <w:rPr>
            <w:noProof/>
            <w:webHidden/>
          </w:rPr>
        </w:r>
        <w:r>
          <w:rPr>
            <w:noProof/>
            <w:webHidden/>
          </w:rPr>
          <w:fldChar w:fldCharType="separate"/>
        </w:r>
        <w:r w:rsidR="00F72BD4">
          <w:rPr>
            <w:noProof/>
            <w:webHidden/>
          </w:rPr>
          <w:t>6</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30" w:history="1">
        <w:r w:rsidRPr="00820225">
          <w:rPr>
            <w:rStyle w:val="Hyperlink"/>
            <w:noProof/>
          </w:rPr>
          <w:t>ARTICLE XI</w:t>
        </w:r>
        <w:r>
          <w:rPr>
            <w:noProof/>
            <w:webHidden/>
          </w:rPr>
          <w:tab/>
        </w:r>
        <w:r>
          <w:rPr>
            <w:noProof/>
            <w:webHidden/>
          </w:rPr>
          <w:fldChar w:fldCharType="begin"/>
        </w:r>
        <w:r>
          <w:rPr>
            <w:noProof/>
            <w:webHidden/>
          </w:rPr>
          <w:instrText xml:space="preserve"> PAGEREF _Toc463129430 \h </w:instrText>
        </w:r>
        <w:r>
          <w:rPr>
            <w:noProof/>
            <w:webHidden/>
          </w:rPr>
        </w:r>
        <w:r>
          <w:rPr>
            <w:noProof/>
            <w:webHidden/>
          </w:rPr>
          <w:fldChar w:fldCharType="separate"/>
        </w:r>
        <w:r w:rsidR="00F72BD4">
          <w:rPr>
            <w:noProof/>
            <w:webHidden/>
          </w:rPr>
          <w:t>6</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31" w:history="1">
        <w:r w:rsidRPr="00820225">
          <w:rPr>
            <w:rStyle w:val="Hyperlink"/>
            <w:noProof/>
          </w:rPr>
          <w:t>ARTICLE XII</w:t>
        </w:r>
        <w:r>
          <w:rPr>
            <w:noProof/>
            <w:webHidden/>
          </w:rPr>
          <w:tab/>
        </w:r>
        <w:r>
          <w:rPr>
            <w:noProof/>
            <w:webHidden/>
          </w:rPr>
          <w:fldChar w:fldCharType="begin"/>
        </w:r>
        <w:r>
          <w:rPr>
            <w:noProof/>
            <w:webHidden/>
          </w:rPr>
          <w:instrText xml:space="preserve"> PAGEREF _Toc463129431 \h </w:instrText>
        </w:r>
        <w:r>
          <w:rPr>
            <w:noProof/>
            <w:webHidden/>
          </w:rPr>
        </w:r>
        <w:r>
          <w:rPr>
            <w:noProof/>
            <w:webHidden/>
          </w:rPr>
          <w:fldChar w:fldCharType="separate"/>
        </w:r>
        <w:r w:rsidR="00F72BD4">
          <w:rPr>
            <w:noProof/>
            <w:webHidden/>
          </w:rPr>
          <w:t>6</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32" w:history="1">
        <w:r w:rsidRPr="00820225">
          <w:rPr>
            <w:rStyle w:val="Hyperlink"/>
            <w:noProof/>
          </w:rPr>
          <w:t>ARTICLE XIII</w:t>
        </w:r>
        <w:r>
          <w:rPr>
            <w:noProof/>
            <w:webHidden/>
          </w:rPr>
          <w:tab/>
        </w:r>
        <w:r>
          <w:rPr>
            <w:noProof/>
            <w:webHidden/>
          </w:rPr>
          <w:fldChar w:fldCharType="begin"/>
        </w:r>
        <w:r>
          <w:rPr>
            <w:noProof/>
            <w:webHidden/>
          </w:rPr>
          <w:instrText xml:space="preserve"> PAGEREF _Toc463129432 \h </w:instrText>
        </w:r>
        <w:r>
          <w:rPr>
            <w:noProof/>
            <w:webHidden/>
          </w:rPr>
        </w:r>
        <w:r>
          <w:rPr>
            <w:noProof/>
            <w:webHidden/>
          </w:rPr>
          <w:fldChar w:fldCharType="separate"/>
        </w:r>
        <w:r w:rsidR="00F72BD4">
          <w:rPr>
            <w:noProof/>
            <w:webHidden/>
          </w:rPr>
          <w:t>7</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33" w:history="1">
        <w:r w:rsidRPr="00820225">
          <w:rPr>
            <w:rStyle w:val="Hyperlink"/>
            <w:noProof/>
          </w:rPr>
          <w:t>ARTICLE XIV</w:t>
        </w:r>
        <w:r>
          <w:rPr>
            <w:noProof/>
            <w:webHidden/>
          </w:rPr>
          <w:tab/>
        </w:r>
        <w:r>
          <w:rPr>
            <w:noProof/>
            <w:webHidden/>
          </w:rPr>
          <w:fldChar w:fldCharType="begin"/>
        </w:r>
        <w:r>
          <w:rPr>
            <w:noProof/>
            <w:webHidden/>
          </w:rPr>
          <w:instrText xml:space="preserve"> PAGEREF _Toc463129433 \h </w:instrText>
        </w:r>
        <w:r>
          <w:rPr>
            <w:noProof/>
            <w:webHidden/>
          </w:rPr>
        </w:r>
        <w:r>
          <w:rPr>
            <w:noProof/>
            <w:webHidden/>
          </w:rPr>
          <w:fldChar w:fldCharType="separate"/>
        </w:r>
        <w:r w:rsidR="00F72BD4">
          <w:rPr>
            <w:noProof/>
            <w:webHidden/>
          </w:rPr>
          <w:t>7</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34" w:history="1">
        <w:r w:rsidRPr="00820225">
          <w:rPr>
            <w:rStyle w:val="Hyperlink"/>
            <w:noProof/>
          </w:rPr>
          <w:t>ARTICLE XV</w:t>
        </w:r>
        <w:r>
          <w:rPr>
            <w:noProof/>
            <w:webHidden/>
          </w:rPr>
          <w:tab/>
        </w:r>
        <w:r>
          <w:rPr>
            <w:noProof/>
            <w:webHidden/>
          </w:rPr>
          <w:fldChar w:fldCharType="begin"/>
        </w:r>
        <w:r>
          <w:rPr>
            <w:noProof/>
            <w:webHidden/>
          </w:rPr>
          <w:instrText xml:space="preserve"> PAGEREF _Toc463129434 \h </w:instrText>
        </w:r>
        <w:r>
          <w:rPr>
            <w:noProof/>
            <w:webHidden/>
          </w:rPr>
        </w:r>
        <w:r>
          <w:rPr>
            <w:noProof/>
            <w:webHidden/>
          </w:rPr>
          <w:fldChar w:fldCharType="separate"/>
        </w:r>
        <w:r w:rsidR="00F72BD4">
          <w:rPr>
            <w:noProof/>
            <w:webHidden/>
          </w:rPr>
          <w:t>8</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35" w:history="1">
        <w:r w:rsidRPr="00820225">
          <w:rPr>
            <w:rStyle w:val="Hyperlink"/>
            <w:noProof/>
          </w:rPr>
          <w:t>ARTICLE XVI</w:t>
        </w:r>
        <w:r>
          <w:rPr>
            <w:noProof/>
            <w:webHidden/>
          </w:rPr>
          <w:tab/>
        </w:r>
        <w:r>
          <w:rPr>
            <w:noProof/>
            <w:webHidden/>
          </w:rPr>
          <w:fldChar w:fldCharType="begin"/>
        </w:r>
        <w:r>
          <w:rPr>
            <w:noProof/>
            <w:webHidden/>
          </w:rPr>
          <w:instrText xml:space="preserve"> PAGEREF _Toc463129435 \h </w:instrText>
        </w:r>
        <w:r>
          <w:rPr>
            <w:noProof/>
            <w:webHidden/>
          </w:rPr>
        </w:r>
        <w:r>
          <w:rPr>
            <w:noProof/>
            <w:webHidden/>
          </w:rPr>
          <w:fldChar w:fldCharType="separate"/>
        </w:r>
        <w:r w:rsidR="00F72BD4">
          <w:rPr>
            <w:noProof/>
            <w:webHidden/>
          </w:rPr>
          <w:t>9</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36" w:history="1">
        <w:r w:rsidRPr="00820225">
          <w:rPr>
            <w:rStyle w:val="Hyperlink"/>
            <w:noProof/>
          </w:rPr>
          <w:t>ARTICLE XVII</w:t>
        </w:r>
        <w:r>
          <w:rPr>
            <w:noProof/>
            <w:webHidden/>
          </w:rPr>
          <w:tab/>
        </w:r>
        <w:r>
          <w:rPr>
            <w:noProof/>
            <w:webHidden/>
          </w:rPr>
          <w:fldChar w:fldCharType="begin"/>
        </w:r>
        <w:r>
          <w:rPr>
            <w:noProof/>
            <w:webHidden/>
          </w:rPr>
          <w:instrText xml:space="preserve"> PAGEREF _Toc463129436 \h </w:instrText>
        </w:r>
        <w:r>
          <w:rPr>
            <w:noProof/>
            <w:webHidden/>
          </w:rPr>
        </w:r>
        <w:r>
          <w:rPr>
            <w:noProof/>
            <w:webHidden/>
          </w:rPr>
          <w:fldChar w:fldCharType="separate"/>
        </w:r>
        <w:r w:rsidR="00F72BD4">
          <w:rPr>
            <w:noProof/>
            <w:webHidden/>
          </w:rPr>
          <w:t>9</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37" w:history="1">
        <w:r w:rsidRPr="00820225">
          <w:rPr>
            <w:rStyle w:val="Hyperlink"/>
            <w:noProof/>
          </w:rPr>
          <w:t>ARTICLE XVIII</w:t>
        </w:r>
        <w:r>
          <w:rPr>
            <w:noProof/>
            <w:webHidden/>
          </w:rPr>
          <w:tab/>
        </w:r>
        <w:r>
          <w:rPr>
            <w:noProof/>
            <w:webHidden/>
          </w:rPr>
          <w:fldChar w:fldCharType="begin"/>
        </w:r>
        <w:r>
          <w:rPr>
            <w:noProof/>
            <w:webHidden/>
          </w:rPr>
          <w:instrText xml:space="preserve"> PAGEREF _Toc463129437 \h </w:instrText>
        </w:r>
        <w:r>
          <w:rPr>
            <w:noProof/>
            <w:webHidden/>
          </w:rPr>
        </w:r>
        <w:r>
          <w:rPr>
            <w:noProof/>
            <w:webHidden/>
          </w:rPr>
          <w:fldChar w:fldCharType="separate"/>
        </w:r>
        <w:r w:rsidR="00F72BD4">
          <w:rPr>
            <w:noProof/>
            <w:webHidden/>
          </w:rPr>
          <w:t>9</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38" w:history="1">
        <w:r w:rsidRPr="00820225">
          <w:rPr>
            <w:rStyle w:val="Hyperlink"/>
            <w:noProof/>
          </w:rPr>
          <w:t>ARTICLE XIX</w:t>
        </w:r>
        <w:r>
          <w:rPr>
            <w:noProof/>
            <w:webHidden/>
          </w:rPr>
          <w:tab/>
        </w:r>
        <w:r>
          <w:rPr>
            <w:noProof/>
            <w:webHidden/>
          </w:rPr>
          <w:fldChar w:fldCharType="begin"/>
        </w:r>
        <w:r>
          <w:rPr>
            <w:noProof/>
            <w:webHidden/>
          </w:rPr>
          <w:instrText xml:space="preserve"> PAGEREF _Toc463129438 \h </w:instrText>
        </w:r>
        <w:r>
          <w:rPr>
            <w:noProof/>
            <w:webHidden/>
          </w:rPr>
        </w:r>
        <w:r>
          <w:rPr>
            <w:noProof/>
            <w:webHidden/>
          </w:rPr>
          <w:fldChar w:fldCharType="separate"/>
        </w:r>
        <w:r w:rsidR="00F72BD4">
          <w:rPr>
            <w:noProof/>
            <w:webHidden/>
          </w:rPr>
          <w:t>9</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39" w:history="1">
        <w:r w:rsidRPr="00820225">
          <w:rPr>
            <w:rStyle w:val="Hyperlink"/>
            <w:noProof/>
          </w:rPr>
          <w:t>ARTICLE XX</w:t>
        </w:r>
        <w:r>
          <w:rPr>
            <w:noProof/>
            <w:webHidden/>
          </w:rPr>
          <w:tab/>
        </w:r>
        <w:r>
          <w:rPr>
            <w:noProof/>
            <w:webHidden/>
          </w:rPr>
          <w:fldChar w:fldCharType="begin"/>
        </w:r>
        <w:r>
          <w:rPr>
            <w:noProof/>
            <w:webHidden/>
          </w:rPr>
          <w:instrText xml:space="preserve"> PAGEREF _Toc463129439 \h </w:instrText>
        </w:r>
        <w:r>
          <w:rPr>
            <w:noProof/>
            <w:webHidden/>
          </w:rPr>
        </w:r>
        <w:r>
          <w:rPr>
            <w:noProof/>
            <w:webHidden/>
          </w:rPr>
          <w:fldChar w:fldCharType="separate"/>
        </w:r>
        <w:r w:rsidR="00F72BD4">
          <w:rPr>
            <w:noProof/>
            <w:webHidden/>
          </w:rPr>
          <w:t>9</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40" w:history="1">
        <w:r w:rsidRPr="00820225">
          <w:rPr>
            <w:rStyle w:val="Hyperlink"/>
            <w:noProof/>
          </w:rPr>
          <w:t>ARTICLE XXI</w:t>
        </w:r>
        <w:r>
          <w:rPr>
            <w:noProof/>
            <w:webHidden/>
          </w:rPr>
          <w:tab/>
        </w:r>
        <w:r>
          <w:rPr>
            <w:noProof/>
            <w:webHidden/>
          </w:rPr>
          <w:fldChar w:fldCharType="begin"/>
        </w:r>
        <w:r>
          <w:rPr>
            <w:noProof/>
            <w:webHidden/>
          </w:rPr>
          <w:instrText xml:space="preserve"> PAGEREF _Toc463129440 \h </w:instrText>
        </w:r>
        <w:r>
          <w:rPr>
            <w:noProof/>
            <w:webHidden/>
          </w:rPr>
        </w:r>
        <w:r>
          <w:rPr>
            <w:noProof/>
            <w:webHidden/>
          </w:rPr>
          <w:fldChar w:fldCharType="separate"/>
        </w:r>
        <w:r w:rsidR="00F72BD4">
          <w:rPr>
            <w:noProof/>
            <w:webHidden/>
          </w:rPr>
          <w:t>9</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41" w:history="1">
        <w:r w:rsidRPr="00820225">
          <w:rPr>
            <w:rStyle w:val="Hyperlink"/>
            <w:noProof/>
          </w:rPr>
          <w:t>ARTICLE XXII</w:t>
        </w:r>
        <w:r>
          <w:rPr>
            <w:noProof/>
            <w:webHidden/>
          </w:rPr>
          <w:tab/>
        </w:r>
        <w:r>
          <w:rPr>
            <w:noProof/>
            <w:webHidden/>
          </w:rPr>
          <w:fldChar w:fldCharType="begin"/>
        </w:r>
        <w:r>
          <w:rPr>
            <w:noProof/>
            <w:webHidden/>
          </w:rPr>
          <w:instrText xml:space="preserve"> PAGEREF _Toc463129441 \h </w:instrText>
        </w:r>
        <w:r>
          <w:rPr>
            <w:noProof/>
            <w:webHidden/>
          </w:rPr>
        </w:r>
        <w:r>
          <w:rPr>
            <w:noProof/>
            <w:webHidden/>
          </w:rPr>
          <w:fldChar w:fldCharType="separate"/>
        </w:r>
        <w:r w:rsidR="00F72BD4">
          <w:rPr>
            <w:noProof/>
            <w:webHidden/>
          </w:rPr>
          <w:t>10</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42" w:history="1">
        <w:r w:rsidRPr="00820225">
          <w:rPr>
            <w:rStyle w:val="Hyperlink"/>
            <w:noProof/>
          </w:rPr>
          <w:t>ANNEX I</w:t>
        </w:r>
        <w:r>
          <w:rPr>
            <w:noProof/>
            <w:webHidden/>
          </w:rPr>
          <w:tab/>
        </w:r>
        <w:r>
          <w:rPr>
            <w:noProof/>
            <w:webHidden/>
          </w:rPr>
          <w:fldChar w:fldCharType="begin"/>
        </w:r>
        <w:r>
          <w:rPr>
            <w:noProof/>
            <w:webHidden/>
          </w:rPr>
          <w:instrText xml:space="preserve"> PAGEREF _Toc463129442 \h </w:instrText>
        </w:r>
        <w:r>
          <w:rPr>
            <w:noProof/>
            <w:webHidden/>
          </w:rPr>
        </w:r>
        <w:r>
          <w:rPr>
            <w:noProof/>
            <w:webHidden/>
          </w:rPr>
          <w:fldChar w:fldCharType="separate"/>
        </w:r>
        <w:r w:rsidR="00F72BD4">
          <w:rPr>
            <w:noProof/>
            <w:webHidden/>
          </w:rPr>
          <w:t>11</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43" w:history="1">
        <w:r w:rsidRPr="00820225">
          <w:rPr>
            <w:rStyle w:val="Hyperlink"/>
            <w:noProof/>
          </w:rPr>
          <w:t>ANNEX II</w:t>
        </w:r>
        <w:r>
          <w:rPr>
            <w:noProof/>
            <w:webHidden/>
          </w:rPr>
          <w:tab/>
        </w:r>
        <w:r>
          <w:rPr>
            <w:noProof/>
            <w:webHidden/>
          </w:rPr>
          <w:fldChar w:fldCharType="begin"/>
        </w:r>
        <w:r>
          <w:rPr>
            <w:noProof/>
            <w:webHidden/>
          </w:rPr>
          <w:instrText xml:space="preserve"> PAGEREF _Toc463129443 \h </w:instrText>
        </w:r>
        <w:r>
          <w:rPr>
            <w:noProof/>
            <w:webHidden/>
          </w:rPr>
        </w:r>
        <w:r>
          <w:rPr>
            <w:noProof/>
            <w:webHidden/>
          </w:rPr>
          <w:fldChar w:fldCharType="separate"/>
        </w:r>
        <w:r w:rsidR="00F72BD4">
          <w:rPr>
            <w:noProof/>
            <w:webHidden/>
          </w:rPr>
          <w:t>13</w:t>
        </w:r>
        <w:r>
          <w:rPr>
            <w:noProof/>
            <w:webHidden/>
          </w:rPr>
          <w:fldChar w:fldCharType="end"/>
        </w:r>
      </w:hyperlink>
    </w:p>
    <w:p w:rsidR="009C0F8B" w:rsidRPr="009C0F8B" w:rsidRDefault="009C0F8B" w:rsidP="009C0F8B">
      <w:pPr>
        <w:pStyle w:val="TOC1"/>
        <w:spacing w:before="60" w:after="60"/>
        <w:contextualSpacing w:val="0"/>
        <w:rPr>
          <w:rFonts w:ascii="Calibri" w:eastAsia="Times New Roman" w:hAnsi="Calibri"/>
          <w:caps w:val="0"/>
          <w:noProof/>
          <w:sz w:val="22"/>
          <w:szCs w:val="22"/>
        </w:rPr>
      </w:pPr>
      <w:hyperlink w:anchor="_Toc463129444" w:history="1">
        <w:r w:rsidRPr="00820225">
          <w:rPr>
            <w:rStyle w:val="Hyperlink"/>
            <w:noProof/>
          </w:rPr>
          <w:t>ANNEX III</w:t>
        </w:r>
        <w:r>
          <w:rPr>
            <w:noProof/>
            <w:webHidden/>
          </w:rPr>
          <w:tab/>
        </w:r>
        <w:r>
          <w:rPr>
            <w:noProof/>
            <w:webHidden/>
          </w:rPr>
          <w:fldChar w:fldCharType="begin"/>
        </w:r>
        <w:r>
          <w:rPr>
            <w:noProof/>
            <w:webHidden/>
          </w:rPr>
          <w:instrText xml:space="preserve"> PAGEREF _Toc463129444 \h </w:instrText>
        </w:r>
        <w:r>
          <w:rPr>
            <w:noProof/>
            <w:webHidden/>
          </w:rPr>
        </w:r>
        <w:r>
          <w:rPr>
            <w:noProof/>
            <w:webHidden/>
          </w:rPr>
          <w:fldChar w:fldCharType="separate"/>
        </w:r>
        <w:r w:rsidR="00F72BD4">
          <w:rPr>
            <w:noProof/>
            <w:webHidden/>
          </w:rPr>
          <w:t>15</w:t>
        </w:r>
        <w:r>
          <w:rPr>
            <w:noProof/>
            <w:webHidden/>
          </w:rPr>
          <w:fldChar w:fldCharType="end"/>
        </w:r>
      </w:hyperlink>
    </w:p>
    <w:p w:rsidR="009C0F8B" w:rsidRDefault="009C0F8B" w:rsidP="009C0F8B">
      <w:r>
        <w:rPr>
          <w:b/>
          <w:bCs/>
          <w:noProof/>
        </w:rPr>
        <w:fldChar w:fldCharType="end"/>
      </w:r>
    </w:p>
    <w:p w:rsidR="00CA7984" w:rsidRDefault="00CA7984" w:rsidP="00CA7984"/>
    <w:p w:rsidR="009C0F8B" w:rsidRDefault="009C0F8B" w:rsidP="00F72BD4">
      <w:pPr>
        <w:pStyle w:val="CILTitle"/>
        <w:outlineLvl w:val="0"/>
      </w:pPr>
      <w:r>
        <w:br w:type="page"/>
      </w:r>
      <w:r>
        <w:lastRenderedPageBreak/>
        <w:t>1972 CONVENTION ON THE PREVENTION OF MARINE POLLUTION BY DUMPING OF WASTES AND OTHER MATTER</w:t>
      </w:r>
    </w:p>
    <w:p w:rsidR="00F5206B" w:rsidRDefault="00F5206B" w:rsidP="009C0F8B">
      <w:pPr>
        <w:pStyle w:val="CILTitle"/>
      </w:pPr>
      <w:r>
        <w:t>(LONDON CONVENTION)</w:t>
      </w:r>
    </w:p>
    <w:p w:rsidR="009C0F8B" w:rsidRDefault="009C0F8B" w:rsidP="009C0F8B">
      <w:pPr>
        <w:pStyle w:val="CILSubtitle"/>
      </w:pPr>
      <w:r>
        <w:t xml:space="preserve">Adopted on 29 December 1972 </w:t>
      </w:r>
    </w:p>
    <w:p w:rsidR="009C0F8B" w:rsidRDefault="009C0F8B" w:rsidP="00CA7984"/>
    <w:p w:rsidR="00CA7984" w:rsidRDefault="00CA7984" w:rsidP="00CA7984">
      <w:r>
        <w:t>THE CONTRACTING PARTIES TO THIS CONVENTION,</w:t>
      </w:r>
    </w:p>
    <w:p w:rsidR="00CA7984" w:rsidRDefault="00CA7984" w:rsidP="00CA7984">
      <w:r>
        <w:t>RECOGNIZING that the marine environment and the living organisms which it supports are of vital importance to humanity, and all people have an interest in assuring that it is so managed that its quality and resources are not impaired;</w:t>
      </w:r>
    </w:p>
    <w:p w:rsidR="00CA7984" w:rsidRDefault="00CA7984" w:rsidP="00CA7984">
      <w:r>
        <w:t>RECOGNIZING that the capacity of the sea to assimilate wastes and render them harmless, and its ability to regenerate natural resources, is not unlimited;</w:t>
      </w:r>
    </w:p>
    <w:p w:rsidR="00CA7984" w:rsidRDefault="00CA7984" w:rsidP="00CA7984">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rsidR="00CA7984" w:rsidRDefault="00CA7984" w:rsidP="00CA7984">
      <w:r>
        <w:t>RECALLING resolution 2749(XXV) of the General Assembly of the United Nations on the principles governing the sea-bed and the ocean floor and the subsoil thereof, beyond the limits of national jurisdiction;</w:t>
      </w:r>
    </w:p>
    <w:p w:rsidR="00CA7984" w:rsidRDefault="00CA7984" w:rsidP="00CA7984">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rsidR="00CA7984" w:rsidRDefault="00CA7984" w:rsidP="00CA7984">
      <w:r>
        <w:t>BEING CONVINCED that international action to control the pollution of the sea by dumping can and must be taken without delay but that this action should not preclude discussion of measures to control other source</w:t>
      </w:r>
      <w:bookmarkStart w:id="0" w:name="_GoBack"/>
      <w:bookmarkEnd w:id="0"/>
      <w:r>
        <w:t>s of marine pollution as soon as possible; and</w:t>
      </w:r>
    </w:p>
    <w:p w:rsidR="00CA7984" w:rsidRDefault="00CA7984" w:rsidP="00CA7984">
      <w:r>
        <w:t>WISHING to improve protection of the marine environment by encouraging States with a common interest in particular geographical areas to enter into appropriate agreements supplementary to this Convention;</w:t>
      </w:r>
    </w:p>
    <w:p w:rsidR="00CA7984" w:rsidRDefault="00CA7984" w:rsidP="00CA7984">
      <w:r>
        <w:t>HAVE AGREED as follows:</w:t>
      </w:r>
    </w:p>
    <w:p w:rsidR="00CA7984" w:rsidRDefault="00CA7984" w:rsidP="00CA7984">
      <w:pPr>
        <w:pStyle w:val="Heading1"/>
      </w:pPr>
      <w:bookmarkStart w:id="1" w:name="_Toc463129420"/>
      <w:r>
        <w:t>ARTICLE I</w:t>
      </w:r>
      <w:bookmarkEnd w:id="1"/>
    </w:p>
    <w:p w:rsidR="00CA7984" w:rsidRDefault="00CA7984" w:rsidP="00CA7984">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rsidR="00CA7984" w:rsidRDefault="00CA7984" w:rsidP="00CA7984">
      <w:pPr>
        <w:pStyle w:val="Heading1"/>
      </w:pPr>
      <w:bookmarkStart w:id="2" w:name="_Toc463129421"/>
      <w:r>
        <w:lastRenderedPageBreak/>
        <w:t>ARTICLE II</w:t>
      </w:r>
      <w:bookmarkEnd w:id="2"/>
    </w:p>
    <w:p w:rsidR="00CA7984" w:rsidRDefault="00CA7984" w:rsidP="00CA7984">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rsidR="00CA7984" w:rsidRDefault="00CA7984" w:rsidP="00CA7984">
      <w:pPr>
        <w:pStyle w:val="Heading1"/>
      </w:pPr>
      <w:bookmarkStart w:id="3" w:name="_Toc463129422"/>
      <w:r>
        <w:t>ARTICLE III</w:t>
      </w:r>
      <w:bookmarkEnd w:id="3"/>
    </w:p>
    <w:p w:rsidR="00CA7984" w:rsidRDefault="00CA7984" w:rsidP="00CA7984">
      <w:r>
        <w:t>For the purposes of this Convention:</w:t>
      </w:r>
    </w:p>
    <w:p w:rsidR="00CA7984" w:rsidRDefault="00CA7984" w:rsidP="00020A79">
      <w:pPr>
        <w:numPr>
          <w:ilvl w:val="0"/>
          <w:numId w:val="1"/>
        </w:numPr>
      </w:pPr>
      <w:r>
        <w:t>(a) "Dumping" means:</w:t>
      </w:r>
    </w:p>
    <w:p w:rsidR="00CA7984" w:rsidRDefault="00CA7984" w:rsidP="00020A79">
      <w:pPr>
        <w:numPr>
          <w:ilvl w:val="0"/>
          <w:numId w:val="2"/>
        </w:numPr>
      </w:pPr>
      <w:r>
        <w:t>any deliberate disposal at sea of wastes or other matter from vessels, aircraft, platforms or other man-made structures at sea;</w:t>
      </w:r>
    </w:p>
    <w:p w:rsidR="00CA7984" w:rsidRDefault="00CA7984" w:rsidP="00020A79">
      <w:pPr>
        <w:numPr>
          <w:ilvl w:val="0"/>
          <w:numId w:val="2"/>
        </w:numPr>
      </w:pPr>
      <w:proofErr w:type="gramStart"/>
      <w:r>
        <w:t>any</w:t>
      </w:r>
      <w:proofErr w:type="gramEnd"/>
      <w:r>
        <w:t xml:space="preserve"> deliberate disposal at sea of vessels, aircraft, platforms or other manmade structures at sea.</w:t>
      </w:r>
    </w:p>
    <w:p w:rsidR="00CA7984" w:rsidRDefault="00CA7984" w:rsidP="00CA7984">
      <w:pPr>
        <w:ind w:left="720"/>
      </w:pPr>
      <w:r>
        <w:t>(b) "Dumping" does not include:</w:t>
      </w:r>
    </w:p>
    <w:p w:rsidR="00CA7984" w:rsidRDefault="00CA7984" w:rsidP="00020A79">
      <w:pPr>
        <w:numPr>
          <w:ilvl w:val="0"/>
          <w:numId w:val="3"/>
        </w:numPr>
      </w:pPr>
      <w:r>
        <w:t>the disposal at sea of wastes or other matter incidental to, or derived from the normal operations of vessels, aircraft, platforms or other man-made structures at sea and their equipment, other than wastes or other matter transported by or to vessels, aircraft, platforms or other man-made structures at sea, operating for the purpose of disposal of such matter or derived from the treatment of such wastes or other matter on such vessels, aircraft, platforms or structures;</w:t>
      </w:r>
    </w:p>
    <w:p w:rsidR="00CA7984" w:rsidRDefault="00CA7984" w:rsidP="00020A79">
      <w:pPr>
        <w:numPr>
          <w:ilvl w:val="0"/>
          <w:numId w:val="3"/>
        </w:numPr>
      </w:pPr>
      <w:proofErr w:type="gramStart"/>
      <w:r>
        <w:t>placement</w:t>
      </w:r>
      <w:proofErr w:type="gramEnd"/>
      <w:r>
        <w:t xml:space="preserve"> of matter for a purpose other than the mere disposal thereof, provided that such placement is not contrary to the aims of this Convention.</w:t>
      </w:r>
    </w:p>
    <w:p w:rsidR="00CA7984" w:rsidRDefault="00CA7984" w:rsidP="00CA7984">
      <w:pPr>
        <w:ind w:left="990" w:hanging="270"/>
      </w:pPr>
      <w:r>
        <w:t>(c) The disposal of wastes or other matter directly arising from, or related to the exploration, exploitation and associated off-shore processing of sea-bed mineral resources will not be covered by the provisions of this Convention.</w:t>
      </w:r>
    </w:p>
    <w:p w:rsidR="00CA7984" w:rsidRDefault="00CA7984" w:rsidP="00020A79">
      <w:pPr>
        <w:numPr>
          <w:ilvl w:val="0"/>
          <w:numId w:val="1"/>
        </w:numPr>
      </w:pPr>
      <w:r>
        <w:t>"Vessels and aircraft" means waterborne or airborne craft of any type whatsoever. This expression includes air cushioned craft and floating craft, whether self-propelled or not.</w:t>
      </w:r>
    </w:p>
    <w:p w:rsidR="00CA7984" w:rsidRDefault="00CA7984" w:rsidP="00020A79">
      <w:pPr>
        <w:numPr>
          <w:ilvl w:val="0"/>
          <w:numId w:val="1"/>
        </w:numPr>
      </w:pPr>
      <w:r>
        <w:t>"Sea" means all marine waters other than the internal waters of States.</w:t>
      </w:r>
    </w:p>
    <w:p w:rsidR="00CA7984" w:rsidRDefault="00CA7984" w:rsidP="00020A79">
      <w:pPr>
        <w:numPr>
          <w:ilvl w:val="0"/>
          <w:numId w:val="1"/>
        </w:numPr>
      </w:pPr>
      <w:r>
        <w:t>"Wastes or other matter" means material and substance of any kind, form or description.</w:t>
      </w:r>
    </w:p>
    <w:p w:rsidR="00CA7984" w:rsidRDefault="00CA7984" w:rsidP="00020A79">
      <w:pPr>
        <w:numPr>
          <w:ilvl w:val="0"/>
          <w:numId w:val="1"/>
        </w:numPr>
      </w:pPr>
      <w:r>
        <w:t>"Special permit" means permission granted specifically on application in advance and in accordance with Annex II and Annex III.</w:t>
      </w:r>
    </w:p>
    <w:p w:rsidR="00CA7984" w:rsidRDefault="00CA7984" w:rsidP="00020A79">
      <w:pPr>
        <w:numPr>
          <w:ilvl w:val="0"/>
          <w:numId w:val="1"/>
        </w:numPr>
      </w:pPr>
      <w:r>
        <w:t>"General permit" means permission granted in advance and in accordance with Annex III.</w:t>
      </w:r>
    </w:p>
    <w:p w:rsidR="00CA7984" w:rsidRDefault="00CA7984" w:rsidP="00020A79">
      <w:pPr>
        <w:numPr>
          <w:ilvl w:val="0"/>
          <w:numId w:val="1"/>
        </w:numPr>
      </w:pPr>
      <w:r>
        <w:t xml:space="preserve">"The Organization" means the Organization designated by the Contracting Parties in accordance with article </w:t>
      </w:r>
      <w:proofErr w:type="gramStart"/>
      <w:r>
        <w:t>XIV(</w:t>
      </w:r>
      <w:proofErr w:type="gramEnd"/>
      <w:r>
        <w:t>2).</w:t>
      </w:r>
    </w:p>
    <w:p w:rsidR="00CA7984" w:rsidRDefault="00CA7984" w:rsidP="00CA7984">
      <w:pPr>
        <w:pStyle w:val="Heading1"/>
      </w:pPr>
      <w:bookmarkStart w:id="4" w:name="_Toc463129423"/>
      <w:r>
        <w:lastRenderedPageBreak/>
        <w:t>ARTICLE IV</w:t>
      </w:r>
      <w:bookmarkEnd w:id="4"/>
    </w:p>
    <w:p w:rsidR="00CA7984" w:rsidRDefault="00CA7984" w:rsidP="00020A79">
      <w:pPr>
        <w:numPr>
          <w:ilvl w:val="0"/>
          <w:numId w:val="4"/>
        </w:numPr>
      </w:pPr>
      <w:r>
        <w:t>In accordance with the provisions of this Convention Contracting Parties shall prohibit the dumping of any wastes or other matter in whatever form or condition except as otherwise specified below:</w:t>
      </w:r>
    </w:p>
    <w:p w:rsidR="00CA7984" w:rsidRDefault="00CA7984" w:rsidP="00020A79">
      <w:pPr>
        <w:numPr>
          <w:ilvl w:val="0"/>
          <w:numId w:val="5"/>
        </w:numPr>
      </w:pPr>
      <w:r>
        <w:t>the dumping of wastes or other matter listed in Annex I is prohibited;</w:t>
      </w:r>
    </w:p>
    <w:p w:rsidR="00CA7984" w:rsidRDefault="00CA7984" w:rsidP="00020A79">
      <w:pPr>
        <w:numPr>
          <w:ilvl w:val="0"/>
          <w:numId w:val="5"/>
        </w:numPr>
      </w:pPr>
      <w:r>
        <w:t>the dumping of wastes or other matter listed in Annex II requires a prior special permit;</w:t>
      </w:r>
    </w:p>
    <w:p w:rsidR="00CA7984" w:rsidRDefault="00CA7984" w:rsidP="00020A79">
      <w:pPr>
        <w:numPr>
          <w:ilvl w:val="0"/>
          <w:numId w:val="5"/>
        </w:numPr>
      </w:pPr>
      <w:proofErr w:type="gramStart"/>
      <w:r>
        <w:t>the</w:t>
      </w:r>
      <w:proofErr w:type="gramEnd"/>
      <w:r>
        <w:t xml:space="preserve"> dumping of all other wastes or matter requires a prior general permit.</w:t>
      </w:r>
    </w:p>
    <w:p w:rsidR="00CA7984" w:rsidRDefault="00CA7984" w:rsidP="00020A79">
      <w:pPr>
        <w:numPr>
          <w:ilvl w:val="0"/>
          <w:numId w:val="4"/>
        </w:numPr>
      </w:pPr>
      <w:r>
        <w:t>Any permit shall be issued only after careful consideration of all the factors set forth in Annex III, including prior studies of the characteristics of the dumping site, as set forth in sections B and C of that Annex.</w:t>
      </w:r>
    </w:p>
    <w:p w:rsidR="00CA7984" w:rsidRDefault="00CA7984" w:rsidP="00020A79">
      <w:pPr>
        <w:numPr>
          <w:ilvl w:val="0"/>
          <w:numId w:val="4"/>
        </w:numPr>
      </w:pPr>
      <w:r>
        <w:t>No provision of this Convention is to be interpreted as preventing a Contracting Party from prohibiting, insofar as that Party is concerned, the dumping of wastes or other matter not mentioned in Annex I. That Party shall notify such measures to the Organization.</w:t>
      </w:r>
    </w:p>
    <w:p w:rsidR="00CA7984" w:rsidRDefault="00CA7984" w:rsidP="00CA7984">
      <w:pPr>
        <w:pStyle w:val="Heading1"/>
      </w:pPr>
      <w:bookmarkStart w:id="5" w:name="_Toc463129424"/>
      <w:r>
        <w:t>ARTICLE V</w:t>
      </w:r>
      <w:bookmarkEnd w:id="5"/>
    </w:p>
    <w:p w:rsidR="00CA7984" w:rsidRDefault="00CA7984" w:rsidP="00020A79">
      <w:pPr>
        <w:numPr>
          <w:ilvl w:val="0"/>
          <w:numId w:val="6"/>
        </w:numPr>
      </w:pPr>
      <w:r>
        <w:t>The provisions of article IV shall not apply when it is necessary to secure the safety of human life or of vessels, aircraft, platforms or other man-made structures at sea in cases of force majeure caused by stress of weather, or in any case which constitutes a danger to human life or a real threat to vessels, aircraft, platforms or other man-made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rsidR="00CA7984" w:rsidRDefault="00CA7984" w:rsidP="00020A79">
      <w:pPr>
        <w:numPr>
          <w:ilvl w:val="0"/>
          <w:numId w:val="6"/>
        </w:numPr>
      </w:pPr>
      <w:r>
        <w:t>A Contracting Party may issue a special permi</w:t>
      </w:r>
      <w:r w:rsidR="00881EA6">
        <w:t xml:space="preserve">t as an exception to article </w:t>
      </w:r>
      <w:proofErr w:type="gramStart"/>
      <w:r w:rsidR="00881EA6">
        <w:t>IV</w:t>
      </w:r>
      <w:r>
        <w:t>(</w:t>
      </w:r>
      <w:proofErr w:type="gramEnd"/>
      <w:r>
        <w:t>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rsidR="00CA7984" w:rsidRDefault="00CA7984" w:rsidP="00020A79">
      <w:pPr>
        <w:numPr>
          <w:ilvl w:val="0"/>
          <w:numId w:val="6"/>
        </w:numPr>
      </w:pPr>
      <w:r>
        <w:t>Any Contracting Party may waive its rights under paragraph (2) at the time of, or subsequent to ratification of, or accession to this Convention.</w:t>
      </w:r>
    </w:p>
    <w:p w:rsidR="00CA7984" w:rsidRDefault="00CA7984" w:rsidP="00CA7984">
      <w:pPr>
        <w:pStyle w:val="Heading1"/>
      </w:pPr>
      <w:bookmarkStart w:id="6" w:name="_Toc463129425"/>
      <w:r>
        <w:t>ARTICLE VI</w:t>
      </w:r>
      <w:bookmarkEnd w:id="6"/>
    </w:p>
    <w:p w:rsidR="00CA7984" w:rsidRDefault="00CA7984" w:rsidP="00020A79">
      <w:pPr>
        <w:numPr>
          <w:ilvl w:val="0"/>
          <w:numId w:val="7"/>
        </w:numPr>
      </w:pPr>
      <w:r>
        <w:t>Each Contracting Party shall designate an appropriate authority or authorities to:</w:t>
      </w:r>
    </w:p>
    <w:p w:rsidR="00CA7984" w:rsidRDefault="00CA7984" w:rsidP="00020A79">
      <w:pPr>
        <w:numPr>
          <w:ilvl w:val="0"/>
          <w:numId w:val="8"/>
        </w:numPr>
      </w:pPr>
      <w:r>
        <w:t>issue special permits which shall be required prior to, and for, the dumping of matter listed in Annex II and in the circumstances provided for in article V(2);</w:t>
      </w:r>
    </w:p>
    <w:p w:rsidR="00CA7984" w:rsidRDefault="00CA7984" w:rsidP="00020A79">
      <w:pPr>
        <w:numPr>
          <w:ilvl w:val="0"/>
          <w:numId w:val="8"/>
        </w:numPr>
      </w:pPr>
      <w:r>
        <w:lastRenderedPageBreak/>
        <w:t>issue general permits which shall be required prior to, and for, the dumping of all other matter;</w:t>
      </w:r>
    </w:p>
    <w:p w:rsidR="00CA7984" w:rsidRDefault="00CA7984" w:rsidP="00020A79">
      <w:pPr>
        <w:numPr>
          <w:ilvl w:val="0"/>
          <w:numId w:val="8"/>
        </w:numPr>
      </w:pPr>
      <w:r>
        <w:t>keep records of the nature and quantities of all matter permitted to be dumped and the location, time and method of dumping;</w:t>
      </w:r>
    </w:p>
    <w:p w:rsidR="00CA7984" w:rsidRDefault="00CA7984" w:rsidP="00020A79">
      <w:pPr>
        <w:numPr>
          <w:ilvl w:val="0"/>
          <w:numId w:val="8"/>
        </w:numPr>
      </w:pPr>
      <w:proofErr w:type="gramStart"/>
      <w:r>
        <w:t>monitor</w:t>
      </w:r>
      <w:proofErr w:type="gramEnd"/>
      <w:r>
        <w:t xml:space="preserve"> individually, or in collaboration with other Parties and competent international organizations, the condition of the seas for the purposes of this Convention.</w:t>
      </w:r>
    </w:p>
    <w:p w:rsidR="00CA7984" w:rsidRDefault="00CA7984" w:rsidP="00020A79">
      <w:pPr>
        <w:numPr>
          <w:ilvl w:val="0"/>
          <w:numId w:val="7"/>
        </w:numPr>
      </w:pPr>
      <w:r>
        <w:t>The appropriate authority or authorities of a contracting Party shall issue prior special or general permits in accordance with paragraph (1) in respect of matter intended for dumping:</w:t>
      </w:r>
    </w:p>
    <w:p w:rsidR="00CA7984" w:rsidRDefault="00CA7984" w:rsidP="00020A79">
      <w:pPr>
        <w:numPr>
          <w:ilvl w:val="0"/>
          <w:numId w:val="9"/>
        </w:numPr>
      </w:pPr>
      <w:r>
        <w:t>loaded in its territory;</w:t>
      </w:r>
    </w:p>
    <w:p w:rsidR="00CA7984" w:rsidRDefault="00CA7984" w:rsidP="00020A79">
      <w:pPr>
        <w:numPr>
          <w:ilvl w:val="0"/>
          <w:numId w:val="9"/>
        </w:numPr>
      </w:pPr>
      <w:proofErr w:type="gramStart"/>
      <w:r>
        <w:t>loaded</w:t>
      </w:r>
      <w:proofErr w:type="gramEnd"/>
      <w:r>
        <w:t xml:space="preserve"> by a vessel or aircraft registered in its territory or flying its flag, when the loading occurs in the territory of a State not party to this Convention.</w:t>
      </w:r>
    </w:p>
    <w:p w:rsidR="00CA7984" w:rsidRDefault="00CA7984" w:rsidP="00020A79">
      <w:pPr>
        <w:numPr>
          <w:ilvl w:val="0"/>
          <w:numId w:val="7"/>
        </w:numPr>
      </w:pPr>
      <w:r>
        <w:t>In issuing permits under sub-paragraphs (1)(a) and (b) above, the appropriate authority or authorities shall comply with Annex III, together with such additional criteria, measures and requirements as they may consider relevant.</w:t>
      </w:r>
    </w:p>
    <w:p w:rsidR="00CA7984" w:rsidRDefault="00CA7984" w:rsidP="00020A79">
      <w:pPr>
        <w:numPr>
          <w:ilvl w:val="0"/>
          <w:numId w:val="7"/>
        </w:numPr>
      </w:pPr>
      <w:r>
        <w:t>Each Contracting Party, directly or through a Secretariat established under a regional agreement, shall report to the Organization, and where appropriate to other Parties, the information specified in sub-paragraphs</w:t>
      </w:r>
      <w:r w:rsidR="00881EA6">
        <w:t xml:space="preserve"> </w:t>
      </w:r>
      <w:r>
        <w:t>(c) and (d) of paragraph (1) above, and the criteria, measures and requirements it adopts in accordance with paragraph (3) above. The procedure to be followed and the nature of such reports shall be agreed by the Parties in consultation.</w:t>
      </w:r>
    </w:p>
    <w:p w:rsidR="00CA7984" w:rsidRDefault="00CA7984" w:rsidP="00CA7984">
      <w:pPr>
        <w:pStyle w:val="Heading1"/>
      </w:pPr>
      <w:bookmarkStart w:id="7" w:name="_Toc463129426"/>
      <w:r>
        <w:t>ARTICLE VII</w:t>
      </w:r>
      <w:bookmarkEnd w:id="7"/>
    </w:p>
    <w:p w:rsidR="00CA7984" w:rsidRDefault="00CA7984" w:rsidP="00020A79">
      <w:pPr>
        <w:numPr>
          <w:ilvl w:val="0"/>
          <w:numId w:val="10"/>
        </w:numPr>
      </w:pPr>
      <w:r>
        <w:t>Each Contracting Party shall apply the measures required to implement the present Convention to all:</w:t>
      </w:r>
    </w:p>
    <w:p w:rsidR="00CA7984" w:rsidRDefault="00CA7984" w:rsidP="00020A79">
      <w:pPr>
        <w:numPr>
          <w:ilvl w:val="0"/>
          <w:numId w:val="11"/>
        </w:numPr>
      </w:pPr>
      <w:r>
        <w:t>vessels and aircraft registered in its territory or flying its flag;</w:t>
      </w:r>
    </w:p>
    <w:p w:rsidR="00CA7984" w:rsidRDefault="00CA7984" w:rsidP="00020A79">
      <w:pPr>
        <w:numPr>
          <w:ilvl w:val="0"/>
          <w:numId w:val="11"/>
        </w:numPr>
      </w:pPr>
      <w:r>
        <w:t>vessels and aircraft loading in its territory or territorial seas matter which is to be dumped;</w:t>
      </w:r>
    </w:p>
    <w:p w:rsidR="00CA7984" w:rsidRDefault="00CA7984" w:rsidP="00020A79">
      <w:pPr>
        <w:numPr>
          <w:ilvl w:val="0"/>
          <w:numId w:val="11"/>
        </w:numPr>
      </w:pPr>
      <w:proofErr w:type="gramStart"/>
      <w:r>
        <w:t>vessels</w:t>
      </w:r>
      <w:proofErr w:type="gramEnd"/>
      <w:r>
        <w:t xml:space="preserve"> and aircraft and fixed or floating platforms under its jurisdiction believed to be engaged in dumping.</w:t>
      </w:r>
    </w:p>
    <w:p w:rsidR="00CA7984" w:rsidRDefault="00CA7984" w:rsidP="00020A79">
      <w:pPr>
        <w:numPr>
          <w:ilvl w:val="0"/>
          <w:numId w:val="10"/>
        </w:numPr>
      </w:pPr>
      <w:r>
        <w:t>Each Party shall take in its territory appropriate measures to prevent and punish conduct in contravention of the provisions of this Convention.</w:t>
      </w:r>
    </w:p>
    <w:p w:rsidR="00CA7984" w:rsidRDefault="00CA7984" w:rsidP="00020A79">
      <w:pPr>
        <w:numPr>
          <w:ilvl w:val="0"/>
          <w:numId w:val="10"/>
        </w:numPr>
      </w:pPr>
      <w:r>
        <w:t>The Parties agree to co-operate in the development of procedures for the effective application of this Convention particularly on the high seas, including procedures for the reporting of vessels and aircraft observed dumping in contravention of the Convention.</w:t>
      </w:r>
    </w:p>
    <w:p w:rsidR="00CA7984" w:rsidRDefault="00CA7984" w:rsidP="00020A79">
      <w:pPr>
        <w:numPr>
          <w:ilvl w:val="0"/>
          <w:numId w:val="10"/>
        </w:numPr>
      </w:pPr>
      <w:r>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rsidR="00CA7984" w:rsidRDefault="00CA7984" w:rsidP="00020A79">
      <w:pPr>
        <w:numPr>
          <w:ilvl w:val="0"/>
          <w:numId w:val="10"/>
        </w:numPr>
      </w:pPr>
      <w:r>
        <w:t>Nothing in this Convention shall affect the right of each Party to adopt other measures, in accordance with the principles of international law, to prevent dumping at sea.</w:t>
      </w:r>
    </w:p>
    <w:p w:rsidR="00CA7984" w:rsidRDefault="00CA7984" w:rsidP="00CA7984">
      <w:pPr>
        <w:pStyle w:val="Heading1"/>
      </w:pPr>
      <w:bookmarkStart w:id="8" w:name="_Toc463129427"/>
      <w:r>
        <w:lastRenderedPageBreak/>
        <w:t>ARTICLE VIII</w:t>
      </w:r>
      <w:bookmarkEnd w:id="8"/>
    </w:p>
    <w:p w:rsidR="00CA7984" w:rsidRDefault="00CA7984" w:rsidP="00CA7984">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co-operate with the Parties to regional agreements in order to develop harmonized procedures to be followed by Contracting Parties to the different conventions concerned. Special attention shall be given to co-operation in the field of monitoring and scientific research.</w:t>
      </w:r>
    </w:p>
    <w:p w:rsidR="00CA7984" w:rsidRDefault="00CA7984" w:rsidP="00CA7984">
      <w:pPr>
        <w:pStyle w:val="Heading1"/>
      </w:pPr>
      <w:bookmarkStart w:id="9" w:name="_Toc463129428"/>
      <w:r>
        <w:t>ARTICLE IX</w:t>
      </w:r>
      <w:bookmarkEnd w:id="9"/>
    </w:p>
    <w:p w:rsidR="00CA7984" w:rsidRDefault="00CA7984" w:rsidP="00CA7984">
      <w:r>
        <w:t>The Contracting Parties shall promote, through collaboration within the Organization and other international bodies, support for those Parties which request it for:</w:t>
      </w:r>
    </w:p>
    <w:p w:rsidR="00CA7984" w:rsidRDefault="00CA7984" w:rsidP="00020A79">
      <w:pPr>
        <w:numPr>
          <w:ilvl w:val="0"/>
          <w:numId w:val="12"/>
        </w:numPr>
      </w:pPr>
      <w:r>
        <w:t>the training of scientific and technical personnel;</w:t>
      </w:r>
    </w:p>
    <w:p w:rsidR="00CA7984" w:rsidRDefault="00CA7984" w:rsidP="00020A79">
      <w:pPr>
        <w:numPr>
          <w:ilvl w:val="0"/>
          <w:numId w:val="12"/>
        </w:numPr>
      </w:pPr>
      <w:r>
        <w:t>the supply of necessary equipment and facilities for research and monitoring;</w:t>
      </w:r>
    </w:p>
    <w:p w:rsidR="003329F7" w:rsidRDefault="00CA7984" w:rsidP="00020A79">
      <w:pPr>
        <w:numPr>
          <w:ilvl w:val="0"/>
          <w:numId w:val="12"/>
        </w:numPr>
      </w:pPr>
      <w:r>
        <w:t xml:space="preserve">the disposal and treatment of waste and other measures to prevent or mitigate pollution caused by dumping; </w:t>
      </w:r>
    </w:p>
    <w:p w:rsidR="00CA7984" w:rsidRDefault="00CA7984" w:rsidP="003329F7">
      <w:proofErr w:type="gramStart"/>
      <w:r>
        <w:t>preferably</w:t>
      </w:r>
      <w:proofErr w:type="gramEnd"/>
      <w:r>
        <w:t xml:space="preserve"> within the countries concerned, so furthering the aims and purposes of this Convention.</w:t>
      </w:r>
    </w:p>
    <w:p w:rsidR="00CA7984" w:rsidRDefault="00F72BD4" w:rsidP="00CA7984">
      <w:pPr>
        <w:pStyle w:val="Heading1"/>
      </w:pPr>
      <w:bookmarkStart w:id="10" w:name="_Toc463129429"/>
      <w:r>
        <w:rPr>
          <w:caps w:val="0"/>
        </w:rPr>
        <w:t>ARTICLE X</w:t>
      </w:r>
      <w:bookmarkEnd w:id="10"/>
    </w:p>
    <w:p w:rsidR="00CA7984" w:rsidRDefault="00CA7984" w:rsidP="00CA7984">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rsidR="00CA7984" w:rsidRDefault="00CA7984" w:rsidP="00CA7984">
      <w:pPr>
        <w:pStyle w:val="Heading1"/>
      </w:pPr>
      <w:bookmarkStart w:id="11" w:name="_Toc463129430"/>
      <w:r>
        <w:t>ARTICLE XI</w:t>
      </w:r>
      <w:bookmarkEnd w:id="11"/>
    </w:p>
    <w:p w:rsidR="00CA7984" w:rsidRDefault="00CA7984" w:rsidP="00CA7984">
      <w:r>
        <w:t>The Contracting Parties shall at their first consultative meeting consider procedures for the settlement of disputes concerning the interpretation and application of this Convention.</w:t>
      </w:r>
    </w:p>
    <w:p w:rsidR="00CA7984" w:rsidRDefault="00CA7984" w:rsidP="00CA7984">
      <w:pPr>
        <w:pStyle w:val="Heading1"/>
      </w:pPr>
      <w:bookmarkStart w:id="12" w:name="_Toc463129431"/>
      <w:r>
        <w:t>ARTICLE XII</w:t>
      </w:r>
      <w:bookmarkEnd w:id="12"/>
    </w:p>
    <w:p w:rsidR="00CA7984" w:rsidRDefault="00CA7984" w:rsidP="00CA7984">
      <w:r>
        <w:t>The Contracting Parties pledge themselves to promote, within the competent specialized agencies and other international bodies, measures to protect the marine environment against pollution caused by:</w:t>
      </w:r>
    </w:p>
    <w:p w:rsidR="00CA7984" w:rsidRDefault="00CA7984" w:rsidP="00020A79">
      <w:pPr>
        <w:numPr>
          <w:ilvl w:val="0"/>
          <w:numId w:val="13"/>
        </w:numPr>
      </w:pPr>
      <w:r>
        <w:t>hydrocarbons, including oil and their wastes;</w:t>
      </w:r>
    </w:p>
    <w:p w:rsidR="00CA7984" w:rsidRDefault="00CA7984" w:rsidP="00020A79">
      <w:pPr>
        <w:numPr>
          <w:ilvl w:val="0"/>
          <w:numId w:val="13"/>
        </w:numPr>
      </w:pPr>
      <w:r>
        <w:t>other noxious or hazardous matter transported by vessels for purposes other than dumping;</w:t>
      </w:r>
    </w:p>
    <w:p w:rsidR="00CA7984" w:rsidRDefault="00CA7984" w:rsidP="00020A79">
      <w:pPr>
        <w:numPr>
          <w:ilvl w:val="0"/>
          <w:numId w:val="13"/>
        </w:numPr>
      </w:pPr>
      <w:r>
        <w:t>wastes generated in the course of operation of vessels, aircraft, platforms and other man-made structures at sea;</w:t>
      </w:r>
    </w:p>
    <w:p w:rsidR="00CA7984" w:rsidRDefault="00CA7984" w:rsidP="00020A79">
      <w:pPr>
        <w:numPr>
          <w:ilvl w:val="0"/>
          <w:numId w:val="13"/>
        </w:numPr>
      </w:pPr>
      <w:r>
        <w:t>radio-active pollutants from all sources, including vessels;</w:t>
      </w:r>
    </w:p>
    <w:p w:rsidR="00CA7984" w:rsidRDefault="00CA7984" w:rsidP="00020A79">
      <w:pPr>
        <w:numPr>
          <w:ilvl w:val="0"/>
          <w:numId w:val="13"/>
        </w:numPr>
      </w:pPr>
      <w:r>
        <w:lastRenderedPageBreak/>
        <w:t>agents of chemical and biological warfare;</w:t>
      </w:r>
    </w:p>
    <w:p w:rsidR="00CA7984" w:rsidRDefault="00CA7984" w:rsidP="00020A79">
      <w:pPr>
        <w:numPr>
          <w:ilvl w:val="0"/>
          <w:numId w:val="13"/>
        </w:numPr>
      </w:pPr>
      <w:proofErr w:type="gramStart"/>
      <w:r>
        <w:t>wastes</w:t>
      </w:r>
      <w:proofErr w:type="gramEnd"/>
      <w:r>
        <w:t xml:space="preserve"> or other matter directly arising from, or related to the exploration, exploitation and associated off-shore processing of sea-bed mineral resources. </w:t>
      </w:r>
    </w:p>
    <w:p w:rsidR="00CA7984" w:rsidRDefault="00CA7984" w:rsidP="00881EA6">
      <w:r>
        <w:t>The Parties will also promote, within the appropriate international organization, the codification of signals to be used by vessels engaged in dumping.</w:t>
      </w:r>
    </w:p>
    <w:p w:rsidR="00CA7984" w:rsidRDefault="00CA7984" w:rsidP="00881EA6">
      <w:pPr>
        <w:pStyle w:val="Heading1"/>
        <w:spacing w:after="120"/>
      </w:pPr>
      <w:bookmarkStart w:id="13" w:name="_Toc463129432"/>
      <w:r>
        <w:t>ARTICLE XIII</w:t>
      </w:r>
      <w:bookmarkEnd w:id="13"/>
    </w:p>
    <w:p w:rsidR="00CA7984" w:rsidRDefault="00CA7984" w:rsidP="00881EA6">
      <w:r>
        <w:t xml:space="preserve">Nothing in this Convention shall prejudice the codification and development of the law of the sea by the United Nations Conference on the Law of the Sea convened pursuant to resolution </w:t>
      </w:r>
      <w:proofErr w:type="gramStart"/>
      <w:r>
        <w:t>2750C(</w:t>
      </w:r>
      <w:proofErr w:type="gramEnd"/>
      <w:r>
        <w:t>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rsidR="00CA7984" w:rsidRDefault="00CA7984" w:rsidP="00CA7984">
      <w:pPr>
        <w:pStyle w:val="Heading1"/>
      </w:pPr>
      <w:bookmarkStart w:id="14" w:name="_Toc463129433"/>
      <w:r>
        <w:t>ARTICLE XIV</w:t>
      </w:r>
      <w:bookmarkEnd w:id="14"/>
    </w:p>
    <w:p w:rsidR="00CA7984" w:rsidRDefault="00CA7984" w:rsidP="00020A79">
      <w:pPr>
        <w:numPr>
          <w:ilvl w:val="0"/>
          <w:numId w:val="14"/>
        </w:numPr>
      </w:pPr>
      <w:r>
        <w:t>The Government of the United Kingdom of Great Britain and Northern Ireland as a depositary shall call a meeting of the Contracting Parties not later than three months after the entry into force of this Convention to decide on organizational matters.</w:t>
      </w:r>
    </w:p>
    <w:p w:rsidR="00CA7984" w:rsidRDefault="00CA7984" w:rsidP="00020A79">
      <w:pPr>
        <w:numPr>
          <w:ilvl w:val="0"/>
          <w:numId w:val="14"/>
        </w:numPr>
      </w:pPr>
      <w:r>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rsidR="00CA7984" w:rsidRDefault="00CA7984" w:rsidP="00020A79">
      <w:pPr>
        <w:numPr>
          <w:ilvl w:val="0"/>
          <w:numId w:val="14"/>
        </w:numPr>
      </w:pPr>
      <w:r>
        <w:t>The Secretariat duties of the Organization shall include:</w:t>
      </w:r>
    </w:p>
    <w:p w:rsidR="00CA7984" w:rsidRDefault="00CA7984" w:rsidP="00020A79">
      <w:pPr>
        <w:numPr>
          <w:ilvl w:val="0"/>
          <w:numId w:val="15"/>
        </w:numPr>
      </w:pPr>
      <w:r>
        <w:t>the convening of consultative meetings of the Contracting Parties not less frequently than once every two years and of special meetings of the Parties at any time on the request of two thirds of the Parties;</w:t>
      </w:r>
    </w:p>
    <w:p w:rsidR="00CA7984" w:rsidRDefault="00CA7984" w:rsidP="00020A79">
      <w:pPr>
        <w:numPr>
          <w:ilvl w:val="0"/>
          <w:numId w:val="15"/>
        </w:numPr>
      </w:pPr>
      <w:r>
        <w:t>preparing and assisting, in consultation with the Contracting Parties and appropriate International Organizations, in the development and implementation of procedures referred to in sub-paragraph (4)(e) of this article;</w:t>
      </w:r>
    </w:p>
    <w:p w:rsidR="00CA7984" w:rsidRDefault="00CA7984" w:rsidP="00020A79">
      <w:pPr>
        <w:numPr>
          <w:ilvl w:val="0"/>
          <w:numId w:val="15"/>
        </w:numPr>
      </w:pPr>
      <w:r>
        <w:t>considering enquiries by, and information from the Contracting Parties, consulting with them and with the appropriate International Organizations, and providing recommendations to the Parties on questions related to, but not specifically covered by the Convention;</w:t>
      </w:r>
    </w:p>
    <w:p w:rsidR="003329F7" w:rsidRDefault="00CA7984" w:rsidP="00020A79">
      <w:pPr>
        <w:numPr>
          <w:ilvl w:val="0"/>
          <w:numId w:val="15"/>
        </w:numPr>
      </w:pPr>
      <w:proofErr w:type="gramStart"/>
      <w:r>
        <w:t>conveying</w:t>
      </w:r>
      <w:proofErr w:type="gramEnd"/>
      <w:r>
        <w:t xml:space="preserve"> to the Parties concerned all notifications received by the Organization in accordance with articles IV(3), V(1) and (2), VI(4), XV, XX and XXI. </w:t>
      </w:r>
    </w:p>
    <w:p w:rsidR="00CA7984" w:rsidRDefault="00CA7984" w:rsidP="003329F7">
      <w:r>
        <w:t>Prior to the designation of the Organization these functions shall, as necessary, be performed by the depositary, who for this purpose shall be the Government of the United Kingdom of Great Britain and Northern Ireland.</w:t>
      </w:r>
    </w:p>
    <w:p w:rsidR="00CA7984" w:rsidRDefault="00CA7984" w:rsidP="00020A79">
      <w:pPr>
        <w:numPr>
          <w:ilvl w:val="0"/>
          <w:numId w:val="14"/>
        </w:numPr>
      </w:pPr>
      <w:r>
        <w:lastRenderedPageBreak/>
        <w:t>Consultative or special meetings of the Contracting Parties shall keep under continuing review the implementation of this Convention and may, inter alia:</w:t>
      </w:r>
    </w:p>
    <w:p w:rsidR="00CA7984" w:rsidRDefault="00CA7984" w:rsidP="00020A79">
      <w:pPr>
        <w:numPr>
          <w:ilvl w:val="0"/>
          <w:numId w:val="16"/>
        </w:numPr>
      </w:pPr>
      <w:r>
        <w:t>review and adopt amendments to this Convention and its Annexes in accordance with article XV;</w:t>
      </w:r>
    </w:p>
    <w:p w:rsidR="00CA7984" w:rsidRDefault="00CA7984" w:rsidP="00020A79">
      <w:pPr>
        <w:numPr>
          <w:ilvl w:val="0"/>
          <w:numId w:val="16"/>
        </w:numPr>
      </w:pPr>
      <w:r>
        <w:t>invite the appropriate scientific body or bodies to collaborate with and to advise the Parties or the Organization on any scientific or technical aspect relevant to this Convention, including particularly the content of the Annexes;</w:t>
      </w:r>
    </w:p>
    <w:p w:rsidR="00CA7984" w:rsidRDefault="00CA7984" w:rsidP="00020A79">
      <w:pPr>
        <w:numPr>
          <w:ilvl w:val="0"/>
          <w:numId w:val="16"/>
        </w:numPr>
      </w:pPr>
      <w:r>
        <w:t>receive and consider reports made pursuant to article VI(4);</w:t>
      </w:r>
    </w:p>
    <w:p w:rsidR="00CA7984" w:rsidRDefault="00CA7984" w:rsidP="00020A79">
      <w:pPr>
        <w:numPr>
          <w:ilvl w:val="0"/>
          <w:numId w:val="16"/>
        </w:numPr>
      </w:pPr>
      <w:r>
        <w:t>promote co-operation with and between regional organizations concerned with the prevention of marine pollution;</w:t>
      </w:r>
    </w:p>
    <w:p w:rsidR="00CA7984" w:rsidRDefault="00CA7984" w:rsidP="00020A79">
      <w:pPr>
        <w:numPr>
          <w:ilvl w:val="0"/>
          <w:numId w:val="16"/>
        </w:numPr>
      </w:pPr>
      <w:r>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rsidR="00CA7984" w:rsidRDefault="00CA7984" w:rsidP="00020A79">
      <w:pPr>
        <w:numPr>
          <w:ilvl w:val="0"/>
          <w:numId w:val="16"/>
        </w:numPr>
      </w:pPr>
      <w:proofErr w:type="gramStart"/>
      <w:r>
        <w:t>consider</w:t>
      </w:r>
      <w:proofErr w:type="gramEnd"/>
      <w:r>
        <w:t xml:space="preserve"> any additional action that may be required.</w:t>
      </w:r>
    </w:p>
    <w:p w:rsidR="00CA7984" w:rsidRDefault="00CA7984" w:rsidP="00020A79">
      <w:pPr>
        <w:numPr>
          <w:ilvl w:val="0"/>
          <w:numId w:val="14"/>
        </w:numPr>
      </w:pPr>
      <w:r>
        <w:t>The Contracting Parties at their first consultative meeting shall establish rules of procedure as necessary.</w:t>
      </w:r>
    </w:p>
    <w:p w:rsidR="00CA7984" w:rsidRDefault="00CA7984" w:rsidP="00CA7984">
      <w:pPr>
        <w:pStyle w:val="Heading1"/>
      </w:pPr>
      <w:bookmarkStart w:id="15" w:name="_Toc463129434"/>
      <w:r>
        <w:t>ARTICLE XV</w:t>
      </w:r>
      <w:bookmarkEnd w:id="15"/>
    </w:p>
    <w:p w:rsidR="00CA7984" w:rsidRDefault="00CA7984" w:rsidP="00020A79">
      <w:pPr>
        <w:numPr>
          <w:ilvl w:val="0"/>
          <w:numId w:val="17"/>
        </w:numPr>
        <w:ind w:left="990" w:hanging="630"/>
      </w:pPr>
      <w:r>
        <w:t>(a) At meetings of the Contracting Parties called in accordance with article XIV amendments to this Convention may be adopted by a two-thirds majority of those present. An amendment shall enter into force for the Parties which have accepted it on the sixtieth day after two thirds of the Parties shall have deposited an instrument of acceptance of the amendment with the Organization. Thereafter the amendment shall enter into force for any other Party 30 days after that Party deposits its instrument of acceptance of the amendment.</w:t>
      </w:r>
    </w:p>
    <w:p w:rsidR="00CA7984" w:rsidRDefault="00CA7984" w:rsidP="00020A79">
      <w:pPr>
        <w:numPr>
          <w:ilvl w:val="0"/>
          <w:numId w:val="18"/>
        </w:numPr>
      </w:pPr>
      <w:r>
        <w:t>The Organization shall inform all Contracting Parties of any request made for a special meeting under article XIV and of any amendments adopted at meetings of the Parties and of the date on which each such amendment enters into force for each Party.</w:t>
      </w:r>
    </w:p>
    <w:p w:rsidR="00CA7984" w:rsidRDefault="00CA7984" w:rsidP="00020A79">
      <w:pPr>
        <w:numPr>
          <w:ilvl w:val="0"/>
          <w:numId w:val="17"/>
        </w:numPr>
      </w:pPr>
      <w:r>
        <w:t>Amendments to the Annexes will be based on scientific or technical considerations. Amendments to the annexes approved by a two-thirds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rsidR="00CA7984" w:rsidRDefault="00CA7984" w:rsidP="00020A79">
      <w:pPr>
        <w:numPr>
          <w:ilvl w:val="0"/>
          <w:numId w:val="17"/>
        </w:numPr>
      </w:pPr>
      <w:r>
        <w:lastRenderedPageBreak/>
        <w:t>An acceptance or declaration of objection under this article shall be made by the deposit of an instrument with the Organization. The Organization shall notify all Contracting Parties of the receipt of such instruments.</w:t>
      </w:r>
    </w:p>
    <w:p w:rsidR="00CA7984" w:rsidRDefault="00CA7984" w:rsidP="00020A79">
      <w:pPr>
        <w:numPr>
          <w:ilvl w:val="0"/>
          <w:numId w:val="17"/>
        </w:numPr>
      </w:pPr>
      <w:r>
        <w:t>Prior to the designation of the Organization, the Secretarial functions herein attributed to it shall be performed temporarily by the Government of the United Kingdom of Great Britain and Northern Ireland, as one of the depositaries of this Convention.</w:t>
      </w:r>
      <w:r>
        <w:cr/>
      </w:r>
    </w:p>
    <w:p w:rsidR="00CA7984" w:rsidRDefault="00CA7984" w:rsidP="00CA7984">
      <w:pPr>
        <w:pStyle w:val="Heading1"/>
      </w:pPr>
      <w:bookmarkStart w:id="16" w:name="_Toc463129435"/>
      <w:r>
        <w:t>ARTICLE XVI</w:t>
      </w:r>
      <w:bookmarkEnd w:id="16"/>
    </w:p>
    <w:p w:rsidR="00CA7984" w:rsidRDefault="00CA7984" w:rsidP="00CA7984">
      <w:r>
        <w:t>This Convention shall be open for signature by any State at London, Mexico City, Moscow and Washington from 29 December 1972 until 31 December 1973.</w:t>
      </w:r>
    </w:p>
    <w:p w:rsidR="00CA7984" w:rsidRDefault="00CA7984" w:rsidP="00CA7984">
      <w:pPr>
        <w:pStyle w:val="Heading1"/>
      </w:pPr>
      <w:bookmarkStart w:id="17" w:name="_Toc463129436"/>
      <w:r>
        <w:t>ARTICLE XVII</w:t>
      </w:r>
      <w:bookmarkEnd w:id="17"/>
    </w:p>
    <w:p w:rsidR="00CA7984" w:rsidRDefault="00CA7984" w:rsidP="00CA7984">
      <w:r>
        <w:t>This Convention shall be subject to ratification. The instruments of ratification shall be deposited with the Governments of Mexico, the Union of Soviet Socialist Republics, the United Kingdom of Great Britain and Northern Ireland, and the United States of America.</w:t>
      </w:r>
    </w:p>
    <w:p w:rsidR="00CA7984" w:rsidRDefault="00CA7984" w:rsidP="00CA7984">
      <w:pPr>
        <w:pStyle w:val="Heading1"/>
      </w:pPr>
      <w:bookmarkStart w:id="18" w:name="_Toc463129437"/>
      <w:r>
        <w:t>ARTICLE XVIII</w:t>
      </w:r>
      <w:bookmarkEnd w:id="18"/>
    </w:p>
    <w:p w:rsidR="00CA7984" w:rsidRDefault="00CA7984" w:rsidP="00CA7984">
      <w:r>
        <w:t>After 31 December 1973, this Convention shall be open for accession by any State. The instruments of accession shall be deposited with the Governments of Mexico, the Union of Soviet Socialist Republics, the United Kingdom of Great Britain and Northern Ireland, and the United States of America.</w:t>
      </w:r>
    </w:p>
    <w:p w:rsidR="00CA7984" w:rsidRDefault="00CA7984" w:rsidP="00CA7984">
      <w:pPr>
        <w:pStyle w:val="Heading1"/>
      </w:pPr>
      <w:bookmarkStart w:id="19" w:name="_Toc463129438"/>
      <w:r>
        <w:t>ARTICLE XIX</w:t>
      </w:r>
      <w:bookmarkEnd w:id="19"/>
    </w:p>
    <w:p w:rsidR="00CA7984" w:rsidRDefault="00CA7984" w:rsidP="00020A79">
      <w:pPr>
        <w:numPr>
          <w:ilvl w:val="0"/>
          <w:numId w:val="19"/>
        </w:numPr>
      </w:pPr>
      <w:r>
        <w:t>This Convention shall enter into force on the thirtieth day following the date of deposit of the fifteenth instrument of ratification or accession.</w:t>
      </w:r>
    </w:p>
    <w:p w:rsidR="00CA7984" w:rsidRDefault="00CA7984" w:rsidP="00020A79">
      <w:pPr>
        <w:numPr>
          <w:ilvl w:val="0"/>
          <w:numId w:val="19"/>
        </w:numPr>
      </w:pPr>
      <w:r>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rsidR="00CA7984" w:rsidRDefault="00CA7984" w:rsidP="00CA7984">
      <w:pPr>
        <w:pStyle w:val="Heading1"/>
      </w:pPr>
      <w:bookmarkStart w:id="20" w:name="_Toc463129439"/>
      <w:r>
        <w:t>ARTICLE XX</w:t>
      </w:r>
      <w:bookmarkEnd w:id="20"/>
    </w:p>
    <w:p w:rsidR="00CA7984" w:rsidRDefault="00CA7984" w:rsidP="00CA7984">
      <w:r>
        <w:t>The depositaries shall inform Contracting Parties:</w:t>
      </w:r>
    </w:p>
    <w:p w:rsidR="00CA7984" w:rsidRDefault="00CA7984" w:rsidP="00020A79">
      <w:pPr>
        <w:numPr>
          <w:ilvl w:val="0"/>
          <w:numId w:val="20"/>
        </w:numPr>
      </w:pPr>
      <w:r>
        <w:t>of signatures to this Convention and of the deposit of instruments of ratification, accession or withdrawal, in accordance with articles XVI, XVII, XVIII and XXI, and</w:t>
      </w:r>
    </w:p>
    <w:p w:rsidR="00CA7984" w:rsidRDefault="00CA7984" w:rsidP="00020A79">
      <w:pPr>
        <w:numPr>
          <w:ilvl w:val="0"/>
          <w:numId w:val="20"/>
        </w:numPr>
      </w:pPr>
      <w:proofErr w:type="gramStart"/>
      <w:r>
        <w:t>of</w:t>
      </w:r>
      <w:proofErr w:type="gramEnd"/>
      <w:r>
        <w:t xml:space="preserve"> the date on which this Convention will enter into force, in accordance with article XIX.</w:t>
      </w:r>
    </w:p>
    <w:p w:rsidR="00CA7984" w:rsidRDefault="00CA7984" w:rsidP="00CA7984">
      <w:pPr>
        <w:pStyle w:val="Heading1"/>
      </w:pPr>
      <w:bookmarkStart w:id="21" w:name="_Toc463129440"/>
      <w:r>
        <w:t>ARTICLE XXI</w:t>
      </w:r>
      <w:bookmarkEnd w:id="21"/>
    </w:p>
    <w:p w:rsidR="00CA7984" w:rsidRDefault="00CA7984" w:rsidP="00CA7984">
      <w:r>
        <w:t>Any Contracting Party may withdraw from this Convention by giving six months' notice in writing to a depositary, which shall promptly inform all Parties of such notice.</w:t>
      </w:r>
    </w:p>
    <w:p w:rsidR="00CA7984" w:rsidRDefault="00881EA6" w:rsidP="00CA7984">
      <w:pPr>
        <w:pStyle w:val="Heading1"/>
      </w:pPr>
      <w:bookmarkStart w:id="22" w:name="_Toc463129441"/>
      <w:r>
        <w:br w:type="page"/>
      </w:r>
      <w:r w:rsidR="00CA7984">
        <w:lastRenderedPageBreak/>
        <w:t>ARTICLE XXII</w:t>
      </w:r>
      <w:bookmarkEnd w:id="22"/>
    </w:p>
    <w:p w:rsidR="00CA7984" w:rsidRDefault="00CA7984" w:rsidP="00CA7984">
      <w:r>
        <w:t xml:space="preserve">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 </w:t>
      </w:r>
    </w:p>
    <w:p w:rsidR="00CA7984" w:rsidRDefault="00CA7984" w:rsidP="00CA7984"/>
    <w:p w:rsidR="00CA7984" w:rsidRDefault="00CA7984" w:rsidP="00CA7984">
      <w:r>
        <w:t>IN WITNESS WHEREOF the undersigned Plenipotentiaries, being duly authorized thereto by their respective Governments, have signed the present Convention1.</w:t>
      </w:r>
    </w:p>
    <w:p w:rsidR="003329F7" w:rsidRDefault="00CA7984" w:rsidP="003329F7">
      <w:r>
        <w:t>DONE in quadruplicate at London, Mexico City, Moscow and Washington, this twenty ninth day of December, 1972.</w:t>
      </w:r>
    </w:p>
    <w:p w:rsidR="00CA7984" w:rsidRDefault="00CA7984" w:rsidP="00F72BD4">
      <w:pPr>
        <w:pStyle w:val="CIL1Heading"/>
        <w:outlineLvl w:val="0"/>
      </w:pPr>
      <w:r>
        <w:br w:type="page"/>
      </w:r>
      <w:bookmarkStart w:id="23" w:name="_Toc463129442"/>
      <w:r w:rsidRPr="00F72BD4">
        <w:lastRenderedPageBreak/>
        <w:t>ANNEX</w:t>
      </w:r>
      <w:r>
        <w:t xml:space="preserve"> I</w:t>
      </w:r>
      <w:bookmarkEnd w:id="23"/>
    </w:p>
    <w:p w:rsidR="00CA7984" w:rsidRDefault="00CA7984" w:rsidP="00020A79">
      <w:pPr>
        <w:numPr>
          <w:ilvl w:val="0"/>
          <w:numId w:val="21"/>
        </w:numPr>
      </w:pPr>
      <w:r>
        <w:t>Organohalogen compounds.</w:t>
      </w:r>
    </w:p>
    <w:p w:rsidR="00CA7984" w:rsidRDefault="00CA7984" w:rsidP="00020A79">
      <w:pPr>
        <w:numPr>
          <w:ilvl w:val="0"/>
          <w:numId w:val="21"/>
        </w:numPr>
      </w:pPr>
      <w:r>
        <w:t>Mercury and mercury compounds.</w:t>
      </w:r>
    </w:p>
    <w:p w:rsidR="00CA7984" w:rsidRDefault="00CA7984" w:rsidP="00020A79">
      <w:pPr>
        <w:numPr>
          <w:ilvl w:val="0"/>
          <w:numId w:val="21"/>
        </w:numPr>
      </w:pPr>
      <w:r>
        <w:t>Cadmium and cadmium compounds.</w:t>
      </w:r>
    </w:p>
    <w:p w:rsidR="00CA7984" w:rsidRDefault="00CA7984" w:rsidP="00020A79">
      <w:pPr>
        <w:numPr>
          <w:ilvl w:val="0"/>
          <w:numId w:val="21"/>
        </w:numPr>
      </w:pPr>
      <w:r>
        <w:t>Persistent plastics and other persistent synthetic materials, for example, netting and ropes, which may float or may remain in suspension in the sea in such a manner as to interfere materially with fishing, navigation or other legitimate uses of the sea.</w:t>
      </w:r>
    </w:p>
    <w:p w:rsidR="00CA7984" w:rsidRDefault="00CA7984" w:rsidP="00020A79">
      <w:pPr>
        <w:numPr>
          <w:ilvl w:val="0"/>
          <w:numId w:val="21"/>
        </w:numPr>
      </w:pPr>
      <w:r>
        <w:t>Crude oil and its wastes, refined petroleum products, petroleum, distillate residues, and any mixtures containing any of these, taken on board for the purpose of dumping.</w:t>
      </w:r>
    </w:p>
    <w:p w:rsidR="00CA7984" w:rsidRDefault="00CA7984" w:rsidP="00020A79">
      <w:pPr>
        <w:numPr>
          <w:ilvl w:val="0"/>
          <w:numId w:val="21"/>
        </w:numPr>
      </w:pPr>
      <w:r>
        <w:t>Radioactive wastes or other radioactive matter.</w:t>
      </w:r>
    </w:p>
    <w:p w:rsidR="00CA7984" w:rsidRDefault="00CA7984" w:rsidP="00020A79">
      <w:pPr>
        <w:numPr>
          <w:ilvl w:val="0"/>
          <w:numId w:val="21"/>
        </w:numPr>
      </w:pPr>
      <w:r>
        <w:t>Materials in whatever form (e.g. solids, liquids, semi-liquids, gases or in a living state) produced for biological and chemical warfare.</w:t>
      </w:r>
    </w:p>
    <w:p w:rsidR="00CA7984" w:rsidRDefault="00CA7984" w:rsidP="00020A79">
      <w:pPr>
        <w:numPr>
          <w:ilvl w:val="0"/>
          <w:numId w:val="21"/>
        </w:numPr>
      </w:pPr>
      <w:r>
        <w:t>With the exception of paragraph 6 above, the preceding paragraphs of this Annex do not apply to substances which are rapidly rendered harmless by physical, chemical or biological processes in the sea provided they do not:</w:t>
      </w:r>
    </w:p>
    <w:p w:rsidR="00CA7984" w:rsidRDefault="00CA7984" w:rsidP="00020A79">
      <w:pPr>
        <w:numPr>
          <w:ilvl w:val="1"/>
          <w:numId w:val="1"/>
        </w:numPr>
      </w:pPr>
      <w:r>
        <w:t>make edible marine organisms unpalatable, or</w:t>
      </w:r>
    </w:p>
    <w:p w:rsidR="00CA7984" w:rsidRDefault="00CA7984" w:rsidP="00020A79">
      <w:pPr>
        <w:numPr>
          <w:ilvl w:val="1"/>
          <w:numId w:val="1"/>
        </w:numPr>
      </w:pPr>
      <w:proofErr w:type="gramStart"/>
      <w:r>
        <w:t>endanger</w:t>
      </w:r>
      <w:proofErr w:type="gramEnd"/>
      <w:r>
        <w:t xml:space="preserve"> human health or that of domestic animals.</w:t>
      </w:r>
    </w:p>
    <w:p w:rsidR="00CA7984" w:rsidRDefault="00CA7984" w:rsidP="00CA7984">
      <w:r>
        <w:t>The consultative procedure provided for under article XIV should be followed by a Party if there is doubt about the harmlessness of the substance.</w:t>
      </w:r>
    </w:p>
    <w:p w:rsidR="00CA7984" w:rsidRDefault="00CA7984" w:rsidP="00020A79">
      <w:pPr>
        <w:numPr>
          <w:ilvl w:val="0"/>
          <w:numId w:val="21"/>
        </w:numPr>
      </w:pPr>
      <w:r>
        <w:t>Except for industrial waste as defined in paragraph 11 below, this Annex does not apply to wastes or other materials (e.g. sewage sludge and dredged material) containing the matters referred to in paragraphs 1 - 5 above as trace contaminants. Such wastes shall be subject to the provisions of Annexes II and III as appropriate.</w:t>
      </w:r>
    </w:p>
    <w:p w:rsidR="00CA7984" w:rsidRDefault="00CA7984" w:rsidP="00CA7984">
      <w:r>
        <w:t>Paragraph 6 does not apply to wastes or other materials (e.g. sewage sludge and dredged material) containing de minimis (exempt) levels of radioactivity as defined by the IAEA and adopted by the Contracting Parties. Unless otherwise prohibited by Annex I, such wastes shall be subject to the provisions of Annexes II and III as appropriate.</w:t>
      </w:r>
    </w:p>
    <w:p w:rsidR="00CA7984" w:rsidRDefault="00CA7984" w:rsidP="00020A79">
      <w:pPr>
        <w:numPr>
          <w:ilvl w:val="0"/>
          <w:numId w:val="21"/>
        </w:numPr>
        <w:ind w:left="1080" w:hanging="720"/>
      </w:pPr>
      <w:r>
        <w:t>(a) Incineration at sea of industrial waste, as defined in paragraph 11 below, and sewage sludge is prohibited.</w:t>
      </w:r>
    </w:p>
    <w:p w:rsidR="00CA7984" w:rsidRDefault="00CA7984" w:rsidP="00020A79">
      <w:pPr>
        <w:numPr>
          <w:ilvl w:val="0"/>
          <w:numId w:val="22"/>
        </w:numPr>
      </w:pPr>
      <w:r>
        <w:t>The incineration at sea of any other wastes or other matter requires the issue of a special permit.</w:t>
      </w:r>
    </w:p>
    <w:p w:rsidR="00CA7984" w:rsidRDefault="00CA7984" w:rsidP="00020A79">
      <w:pPr>
        <w:numPr>
          <w:ilvl w:val="0"/>
          <w:numId w:val="22"/>
        </w:numPr>
      </w:pPr>
      <w:r>
        <w:t>In the issue of special permits for incineration at sea Contracting Parties shall apply regulations as are developed under this Convention2.</w:t>
      </w:r>
    </w:p>
    <w:p w:rsidR="00CA7984" w:rsidRDefault="00CA7984" w:rsidP="00020A79">
      <w:pPr>
        <w:numPr>
          <w:ilvl w:val="0"/>
          <w:numId w:val="22"/>
        </w:numPr>
      </w:pPr>
      <w:r>
        <w:t>For the purpose of this Annex:</w:t>
      </w:r>
    </w:p>
    <w:p w:rsidR="00CA7984" w:rsidRDefault="00CA7984" w:rsidP="00020A79">
      <w:pPr>
        <w:numPr>
          <w:ilvl w:val="0"/>
          <w:numId w:val="23"/>
        </w:numPr>
      </w:pPr>
      <w:r>
        <w:lastRenderedPageBreak/>
        <w:t>"Marine incineration facility" means a vessel, platform, or other man-made structure operating for the purpose of incineration at sea.</w:t>
      </w:r>
    </w:p>
    <w:p w:rsidR="00CA7984" w:rsidRDefault="00CA7984" w:rsidP="00020A79">
      <w:pPr>
        <w:numPr>
          <w:ilvl w:val="0"/>
          <w:numId w:val="23"/>
        </w:numPr>
      </w:pPr>
      <w:r>
        <w:t>"Incineration at sea" means the deliberate combustion of wastes or other matter on marine incineration facilities for the purpose of their thermal destruction. Activities incidental to the normal operation of vessels, platforms or other man-made structures are excluded from the scope of this definition.</w:t>
      </w:r>
    </w:p>
    <w:p w:rsidR="00CA7984" w:rsidRDefault="00CA7984" w:rsidP="00020A79">
      <w:pPr>
        <w:numPr>
          <w:ilvl w:val="0"/>
          <w:numId w:val="21"/>
        </w:numPr>
      </w:pPr>
      <w:r>
        <w:t>Industrial waste as from 1 January 1996.</w:t>
      </w:r>
    </w:p>
    <w:p w:rsidR="00CA7984" w:rsidRDefault="00CA7984" w:rsidP="00CA7984">
      <w:r>
        <w:t>For the purposes of this Annex:</w:t>
      </w:r>
    </w:p>
    <w:p w:rsidR="00CA7984" w:rsidRDefault="00CA7984" w:rsidP="00CA7984">
      <w:r>
        <w:t>"Industrial waste" means waste materials generated by manufacturing or processing operations and does not apply to:</w:t>
      </w:r>
    </w:p>
    <w:p w:rsidR="00CA7984" w:rsidRDefault="00CA7984" w:rsidP="00020A79">
      <w:pPr>
        <w:numPr>
          <w:ilvl w:val="0"/>
          <w:numId w:val="24"/>
        </w:numPr>
      </w:pPr>
      <w:r>
        <w:t>dredged material;</w:t>
      </w:r>
    </w:p>
    <w:p w:rsidR="00CA7984" w:rsidRDefault="00CA7984" w:rsidP="00020A79">
      <w:pPr>
        <w:numPr>
          <w:ilvl w:val="0"/>
          <w:numId w:val="24"/>
        </w:numPr>
      </w:pPr>
      <w:r>
        <w:t>sewage sludge;</w:t>
      </w:r>
    </w:p>
    <w:p w:rsidR="00CA7984" w:rsidRDefault="00CA7984" w:rsidP="00020A79">
      <w:pPr>
        <w:numPr>
          <w:ilvl w:val="0"/>
          <w:numId w:val="24"/>
        </w:numPr>
      </w:pPr>
      <w:r>
        <w:t>fish waste, or organic materials resulting from industrial fish processing operations;</w:t>
      </w:r>
    </w:p>
    <w:p w:rsidR="00CA7984" w:rsidRDefault="00CA7984" w:rsidP="00020A79">
      <w:pPr>
        <w:numPr>
          <w:ilvl w:val="0"/>
          <w:numId w:val="24"/>
        </w:numPr>
      </w:pPr>
      <w:r>
        <w:t>vessels and platforms or other man-made structures at sea, provided that material capable of creating floating debris or otherwise contributing to pollution of the marine environment has been removed to the maximum extent;</w:t>
      </w:r>
    </w:p>
    <w:p w:rsidR="00CA7984" w:rsidRDefault="00CA7984" w:rsidP="00020A79">
      <w:pPr>
        <w:numPr>
          <w:ilvl w:val="0"/>
          <w:numId w:val="24"/>
        </w:numPr>
      </w:pPr>
      <w:r>
        <w:t>uncontaminated inert geological materials the chemical constituents of which are unlikely to be released into the marine environment;</w:t>
      </w:r>
    </w:p>
    <w:p w:rsidR="00CA7984" w:rsidRDefault="00CA7984" w:rsidP="00020A79">
      <w:pPr>
        <w:numPr>
          <w:ilvl w:val="0"/>
          <w:numId w:val="24"/>
        </w:numPr>
      </w:pPr>
      <w:proofErr w:type="gramStart"/>
      <w:r>
        <w:t>uncontaminated</w:t>
      </w:r>
      <w:proofErr w:type="gramEnd"/>
      <w:r>
        <w:t xml:space="preserve"> organic materials of natural origin.</w:t>
      </w:r>
    </w:p>
    <w:p w:rsidR="00CA7984" w:rsidRDefault="00CA7984" w:rsidP="00CA7984">
      <w:r>
        <w:t>Regulations for the Control of Incineration of Wastes and Other Matter at Sea, as adopted in 1978, have not been reproduced in this document.</w:t>
      </w:r>
    </w:p>
    <w:p w:rsidR="00CA7984" w:rsidRDefault="00CA7984" w:rsidP="00CA7984">
      <w:r>
        <w:t>Dumping of wastes and other matter specified in subparagraphs (a) - (f) above shall be subject to all other provisions of Annex I, and to the provisions of Annexes II and III. This paragraph shall not apply to the radioactive wastes or any other radioactive matter referred to in paragraph 6 of this Annex.</w:t>
      </w:r>
    </w:p>
    <w:p w:rsidR="00CA7984" w:rsidRDefault="00CA7984" w:rsidP="00020A79">
      <w:pPr>
        <w:numPr>
          <w:ilvl w:val="0"/>
          <w:numId w:val="21"/>
        </w:numPr>
      </w:pPr>
      <w:r>
        <w:t>Within 25 years from the date on which the amendment to paragraph 6 enters into force and at each 25 year interval thereafter, the Contracting Parties shall complete a scientific study relating to all radioactive wastes and other radioactive matter other than high level wastes or matter, taking into account such other factors as the Contracting Parties consider appropriate, and shall review them position of such substances on Annex I in accordance with the procedures set forth in article XV.</w:t>
      </w:r>
    </w:p>
    <w:p w:rsidR="00CA7984" w:rsidRDefault="00CA7984" w:rsidP="00CA7984">
      <w:pPr>
        <w:pStyle w:val="Heading1"/>
      </w:pPr>
      <w:r>
        <w:br w:type="page"/>
      </w:r>
      <w:bookmarkStart w:id="24" w:name="_Toc463129443"/>
      <w:r>
        <w:lastRenderedPageBreak/>
        <w:t>ANNEX II</w:t>
      </w:r>
      <w:bookmarkEnd w:id="24"/>
    </w:p>
    <w:p w:rsidR="00CA7984" w:rsidRDefault="00CA7984" w:rsidP="00CA7984">
      <w:r>
        <w:t xml:space="preserve">The following substances and materials requiring special care are listed for the purposes of article </w:t>
      </w:r>
      <w:proofErr w:type="gramStart"/>
      <w:r>
        <w:t>VI(</w:t>
      </w:r>
      <w:proofErr w:type="gramEnd"/>
      <w:r>
        <w:t>1)(a).</w:t>
      </w:r>
    </w:p>
    <w:p w:rsidR="00CA7984" w:rsidRDefault="00CA7984" w:rsidP="00020A79">
      <w:pPr>
        <w:numPr>
          <w:ilvl w:val="0"/>
          <w:numId w:val="25"/>
        </w:numPr>
      </w:pPr>
      <w:r>
        <w:t>Wastes containing significant amounts of the matters listed below:</w:t>
      </w:r>
    </w:p>
    <w:p w:rsidR="00CA7984" w:rsidRDefault="00CA7984" w:rsidP="00020A79">
      <w:pPr>
        <w:numPr>
          <w:ilvl w:val="0"/>
          <w:numId w:val="30"/>
        </w:numPr>
      </w:pPr>
      <w:r>
        <w:t xml:space="preserve">arsenic </w:t>
      </w:r>
    </w:p>
    <w:p w:rsidR="00CA7984" w:rsidRDefault="00CA7984" w:rsidP="00020A79">
      <w:pPr>
        <w:numPr>
          <w:ilvl w:val="0"/>
          <w:numId w:val="30"/>
        </w:numPr>
      </w:pPr>
      <w:r>
        <w:t xml:space="preserve">beryllium </w:t>
      </w:r>
    </w:p>
    <w:p w:rsidR="00CA7984" w:rsidRDefault="00CA7984" w:rsidP="00020A79">
      <w:pPr>
        <w:numPr>
          <w:ilvl w:val="0"/>
          <w:numId w:val="30"/>
        </w:numPr>
      </w:pPr>
      <w:r>
        <w:t xml:space="preserve">chromium </w:t>
      </w:r>
    </w:p>
    <w:p w:rsidR="009C0F8B" w:rsidRDefault="00CA7984" w:rsidP="00020A79">
      <w:pPr>
        <w:numPr>
          <w:ilvl w:val="0"/>
          <w:numId w:val="30"/>
        </w:numPr>
      </w:pPr>
      <w:r>
        <w:t xml:space="preserve">copper  </w:t>
      </w:r>
    </w:p>
    <w:p w:rsidR="00CA7984" w:rsidRDefault="00CA7984" w:rsidP="009C0F8B">
      <w:pPr>
        <w:ind w:firstLine="360"/>
      </w:pPr>
      <w:proofErr w:type="gramStart"/>
      <w:r>
        <w:t>and</w:t>
      </w:r>
      <w:proofErr w:type="gramEnd"/>
      <w:r>
        <w:t xml:space="preserve"> their compounds</w:t>
      </w:r>
    </w:p>
    <w:p w:rsidR="00CA7984" w:rsidRDefault="00CA7984" w:rsidP="00020A79">
      <w:pPr>
        <w:numPr>
          <w:ilvl w:val="0"/>
          <w:numId w:val="31"/>
        </w:numPr>
      </w:pPr>
      <w:r>
        <w:t>lead</w:t>
      </w:r>
    </w:p>
    <w:p w:rsidR="00CA7984" w:rsidRDefault="00CA7984" w:rsidP="00020A79">
      <w:pPr>
        <w:numPr>
          <w:ilvl w:val="0"/>
          <w:numId w:val="31"/>
        </w:numPr>
      </w:pPr>
      <w:r>
        <w:t xml:space="preserve">nickel </w:t>
      </w:r>
    </w:p>
    <w:p w:rsidR="00CA7984" w:rsidRDefault="00CA7984" w:rsidP="00020A79">
      <w:pPr>
        <w:numPr>
          <w:ilvl w:val="0"/>
          <w:numId w:val="31"/>
        </w:numPr>
      </w:pPr>
      <w:r>
        <w:t xml:space="preserve">vanadium </w:t>
      </w:r>
    </w:p>
    <w:p w:rsidR="00CA7984" w:rsidRDefault="00CA7984" w:rsidP="00020A79">
      <w:pPr>
        <w:numPr>
          <w:ilvl w:val="0"/>
          <w:numId w:val="31"/>
        </w:numPr>
      </w:pPr>
      <w:r>
        <w:t>zinc</w:t>
      </w:r>
    </w:p>
    <w:p w:rsidR="00CA7984" w:rsidRDefault="00CA7984" w:rsidP="00020A79">
      <w:pPr>
        <w:numPr>
          <w:ilvl w:val="0"/>
          <w:numId w:val="31"/>
        </w:numPr>
      </w:pPr>
      <w:r>
        <w:t>organosilicon compounds</w:t>
      </w:r>
    </w:p>
    <w:p w:rsidR="00CA7984" w:rsidRDefault="00CA7984" w:rsidP="00020A79">
      <w:pPr>
        <w:numPr>
          <w:ilvl w:val="0"/>
          <w:numId w:val="31"/>
        </w:numPr>
      </w:pPr>
      <w:r>
        <w:t>cyanides</w:t>
      </w:r>
    </w:p>
    <w:p w:rsidR="00CA7984" w:rsidRDefault="00CA7984" w:rsidP="00020A79">
      <w:pPr>
        <w:numPr>
          <w:ilvl w:val="0"/>
          <w:numId w:val="31"/>
        </w:numPr>
      </w:pPr>
      <w:r>
        <w:t>fluorides</w:t>
      </w:r>
    </w:p>
    <w:p w:rsidR="00CA7984" w:rsidRDefault="00CA7984" w:rsidP="00020A79">
      <w:pPr>
        <w:numPr>
          <w:ilvl w:val="0"/>
          <w:numId w:val="31"/>
        </w:numPr>
      </w:pPr>
      <w:proofErr w:type="gramStart"/>
      <w:r>
        <w:t>pesticides</w:t>
      </w:r>
      <w:proofErr w:type="gramEnd"/>
      <w:r>
        <w:t xml:space="preserve"> and their by-products not covered in Annex I.</w:t>
      </w:r>
    </w:p>
    <w:p w:rsidR="00CA7984" w:rsidRDefault="00CA7984" w:rsidP="00020A79">
      <w:pPr>
        <w:numPr>
          <w:ilvl w:val="0"/>
          <w:numId w:val="25"/>
        </w:numPr>
      </w:pPr>
      <w:r>
        <w:t>Containers, scrap metal and other bulky wastes liable to sink to the sea bottom which may present a serious obstacle to fishing or navigation.</w:t>
      </w:r>
    </w:p>
    <w:p w:rsidR="009C0F8B" w:rsidRDefault="009C0F8B" w:rsidP="00020A79">
      <w:pPr>
        <w:numPr>
          <w:ilvl w:val="0"/>
          <w:numId w:val="32"/>
        </w:numPr>
      </w:pPr>
      <w:r>
        <w:t xml:space="preserve">beryllium </w:t>
      </w:r>
    </w:p>
    <w:p w:rsidR="009C0F8B" w:rsidRDefault="009C0F8B" w:rsidP="00020A79">
      <w:pPr>
        <w:numPr>
          <w:ilvl w:val="0"/>
          <w:numId w:val="32"/>
        </w:numPr>
      </w:pPr>
      <w:r>
        <w:t xml:space="preserve">chromium </w:t>
      </w:r>
    </w:p>
    <w:p w:rsidR="009C0F8B" w:rsidRDefault="009C0F8B" w:rsidP="00020A79">
      <w:pPr>
        <w:numPr>
          <w:ilvl w:val="0"/>
          <w:numId w:val="32"/>
        </w:numPr>
      </w:pPr>
      <w:r>
        <w:t xml:space="preserve">nickel </w:t>
      </w:r>
    </w:p>
    <w:p w:rsidR="009C0F8B" w:rsidRDefault="009C0F8B" w:rsidP="00020A79">
      <w:pPr>
        <w:numPr>
          <w:ilvl w:val="0"/>
          <w:numId w:val="32"/>
        </w:numPr>
      </w:pPr>
      <w:r>
        <w:t>vanadium</w:t>
      </w:r>
      <w:r w:rsidRPr="009C0F8B">
        <w:t xml:space="preserve"> </w:t>
      </w:r>
    </w:p>
    <w:p w:rsidR="009C0F8B" w:rsidRDefault="009C0F8B" w:rsidP="009C0F8B">
      <w:pPr>
        <w:ind w:firstLine="360"/>
      </w:pPr>
      <w:proofErr w:type="gramStart"/>
      <w:r>
        <w:t>and</w:t>
      </w:r>
      <w:proofErr w:type="gramEnd"/>
      <w:r>
        <w:t xml:space="preserve"> compounds</w:t>
      </w:r>
    </w:p>
    <w:p w:rsidR="00CA7984" w:rsidRDefault="00CA7984" w:rsidP="00020A79">
      <w:pPr>
        <w:numPr>
          <w:ilvl w:val="0"/>
          <w:numId w:val="25"/>
        </w:numPr>
      </w:pPr>
      <w:r>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rsidR="00CA7984" w:rsidRDefault="00CA7984" w:rsidP="00020A79">
      <w:pPr>
        <w:numPr>
          <w:ilvl w:val="0"/>
          <w:numId w:val="25"/>
        </w:numPr>
      </w:pPr>
      <w:r>
        <w:lastRenderedPageBreak/>
        <w:t>Materials which, though of a non-toxic nature, may become harmful due to the quantities in which they are dumped, or which are liable to seriously reduce amenities.</w:t>
      </w:r>
    </w:p>
    <w:p w:rsidR="00CA7984" w:rsidRDefault="00CA7984" w:rsidP="00CA7984">
      <w:pPr>
        <w:pStyle w:val="Heading1"/>
      </w:pPr>
      <w:r>
        <w:br w:type="page"/>
      </w:r>
      <w:bookmarkStart w:id="25" w:name="_Toc463129444"/>
      <w:r>
        <w:lastRenderedPageBreak/>
        <w:t>ANNEX III</w:t>
      </w:r>
      <w:bookmarkEnd w:id="25"/>
    </w:p>
    <w:p w:rsidR="00CA7984" w:rsidRDefault="00CA7984" w:rsidP="00CA7984">
      <w:r>
        <w:t>Provisions to be considered in establishing criteria governing the issue of permits for the dumping of matter at sea, taking into account article IV(2), include:</w:t>
      </w:r>
    </w:p>
    <w:p w:rsidR="00CA7984" w:rsidRDefault="00CA7984" w:rsidP="00020A79">
      <w:pPr>
        <w:numPr>
          <w:ilvl w:val="0"/>
          <w:numId w:val="26"/>
        </w:numPr>
      </w:pPr>
      <w:r>
        <w:t>Characteristics and composition of the matter</w:t>
      </w:r>
    </w:p>
    <w:p w:rsidR="00CA7984" w:rsidRDefault="00CA7984" w:rsidP="00020A79">
      <w:pPr>
        <w:numPr>
          <w:ilvl w:val="0"/>
          <w:numId w:val="27"/>
        </w:numPr>
      </w:pPr>
      <w:r>
        <w:t>Total amount and average composition of matter dumped (e.g. per year).</w:t>
      </w:r>
    </w:p>
    <w:p w:rsidR="00CA7984" w:rsidRDefault="00CA7984" w:rsidP="00020A79">
      <w:pPr>
        <w:numPr>
          <w:ilvl w:val="0"/>
          <w:numId w:val="27"/>
        </w:numPr>
      </w:pPr>
      <w:r>
        <w:t>Form, e.g. solid, sludge, liquid, or gaseous.</w:t>
      </w:r>
    </w:p>
    <w:p w:rsidR="00CA7984" w:rsidRDefault="00CA7984" w:rsidP="00020A79">
      <w:pPr>
        <w:numPr>
          <w:ilvl w:val="0"/>
          <w:numId w:val="27"/>
        </w:numPr>
      </w:pPr>
      <w:r>
        <w:t>Properties: physical (e.g. solubility and density), chemical and biochemical (e.g. oxygen demand, nutrients) and biological (e.g. presence of viruses, bacteria</w:t>
      </w:r>
      <w:proofErr w:type="gramStart"/>
      <w:r>
        <w:t>,  yeasts</w:t>
      </w:r>
      <w:proofErr w:type="gramEnd"/>
      <w:r>
        <w:t>, parasites).</w:t>
      </w:r>
    </w:p>
    <w:p w:rsidR="00CA7984" w:rsidRDefault="00CA7984" w:rsidP="00020A79">
      <w:pPr>
        <w:numPr>
          <w:ilvl w:val="0"/>
          <w:numId w:val="27"/>
        </w:numPr>
      </w:pPr>
      <w:r>
        <w:t>Toxicity.</w:t>
      </w:r>
    </w:p>
    <w:p w:rsidR="00CA7984" w:rsidRDefault="00CA7984" w:rsidP="00020A79">
      <w:pPr>
        <w:numPr>
          <w:ilvl w:val="0"/>
          <w:numId w:val="27"/>
        </w:numPr>
      </w:pPr>
      <w:r>
        <w:t>Persistence: physical, chemical and biological.</w:t>
      </w:r>
    </w:p>
    <w:p w:rsidR="00CA7984" w:rsidRDefault="00CA7984" w:rsidP="00020A79">
      <w:pPr>
        <w:numPr>
          <w:ilvl w:val="0"/>
          <w:numId w:val="27"/>
        </w:numPr>
      </w:pPr>
      <w:r>
        <w:t>Accumulation and biotransformation in biological materials or sediments.</w:t>
      </w:r>
    </w:p>
    <w:p w:rsidR="00CA7984" w:rsidRDefault="00CA7984" w:rsidP="00020A79">
      <w:pPr>
        <w:numPr>
          <w:ilvl w:val="0"/>
          <w:numId w:val="27"/>
        </w:numPr>
      </w:pPr>
      <w:r>
        <w:t>Susceptibility to physical, chemical and biochemical changes and interaction in the aquatic environment with other dissolved organic and inorganic materials.</w:t>
      </w:r>
    </w:p>
    <w:p w:rsidR="00CA7984" w:rsidRDefault="00CA7984" w:rsidP="00020A79">
      <w:pPr>
        <w:numPr>
          <w:ilvl w:val="0"/>
          <w:numId w:val="27"/>
        </w:numPr>
      </w:pPr>
      <w:r>
        <w:t>Probability of production of taints or other changes reducing marketability of resources (fish, shellfish, etc.).</w:t>
      </w:r>
    </w:p>
    <w:p w:rsidR="00CA7984" w:rsidRDefault="00CA7984" w:rsidP="00020A79">
      <w:pPr>
        <w:numPr>
          <w:ilvl w:val="0"/>
          <w:numId w:val="27"/>
        </w:numPr>
      </w:pPr>
      <w:r>
        <w:t>In issuing a permit for dumping, Contracting Parties should consider whether an adequate scientific basis exists concerning characteristics and composition of the matter to be dumped to assess the impact of the matter on marine life and on human health.</w:t>
      </w:r>
    </w:p>
    <w:p w:rsidR="00CA7984" w:rsidRDefault="00CA7984" w:rsidP="00020A79">
      <w:pPr>
        <w:numPr>
          <w:ilvl w:val="0"/>
          <w:numId w:val="26"/>
        </w:numPr>
      </w:pPr>
      <w:r>
        <w:t>Characteristics of dumping site and method of deposit</w:t>
      </w:r>
    </w:p>
    <w:p w:rsidR="00CA7984" w:rsidRDefault="00CA7984" w:rsidP="00020A79">
      <w:pPr>
        <w:numPr>
          <w:ilvl w:val="0"/>
          <w:numId w:val="28"/>
        </w:numPr>
      </w:pPr>
      <w:r>
        <w:t>Location (e.g. co-ordinates of the dumping area, depth and distance from the coast), location in relation to other areas (e.g. amenity areas, spawning, nursery and fishing areas and exploitable resources).</w:t>
      </w:r>
    </w:p>
    <w:p w:rsidR="00CA7984" w:rsidRDefault="00CA7984" w:rsidP="00020A79">
      <w:pPr>
        <w:numPr>
          <w:ilvl w:val="0"/>
          <w:numId w:val="28"/>
        </w:numPr>
      </w:pPr>
      <w:r>
        <w:t>Rate of disposal per specific period (e.g. quantity per day, per week, per month).</w:t>
      </w:r>
    </w:p>
    <w:p w:rsidR="00CA7984" w:rsidRDefault="00CA7984" w:rsidP="00020A79">
      <w:pPr>
        <w:numPr>
          <w:ilvl w:val="0"/>
          <w:numId w:val="28"/>
        </w:numPr>
      </w:pPr>
      <w:r>
        <w:t>Methods of packaging and containment, if any.</w:t>
      </w:r>
    </w:p>
    <w:p w:rsidR="00CA7984" w:rsidRDefault="00CA7984" w:rsidP="00020A79">
      <w:pPr>
        <w:numPr>
          <w:ilvl w:val="0"/>
          <w:numId w:val="28"/>
        </w:numPr>
      </w:pPr>
      <w:r>
        <w:t>Initial dilution achieved by proposed method of release.</w:t>
      </w:r>
    </w:p>
    <w:p w:rsidR="00CA7984" w:rsidRDefault="00CA7984" w:rsidP="00020A79">
      <w:pPr>
        <w:numPr>
          <w:ilvl w:val="0"/>
          <w:numId w:val="28"/>
        </w:numPr>
      </w:pPr>
      <w:r>
        <w:t>Dispersal characteristics (e.g. effects of currents, tides and wind on horizontal transport and vertical mixing).</w:t>
      </w:r>
    </w:p>
    <w:p w:rsidR="00CA7984" w:rsidRDefault="00CA7984" w:rsidP="00020A79">
      <w:pPr>
        <w:numPr>
          <w:ilvl w:val="0"/>
          <w:numId w:val="28"/>
        </w:numPr>
      </w:pPr>
      <w:r>
        <w:t>Water characteristics (e.g. temperature, pH, salinity, stratification, oxygen indices of pollution-dissolved oxygen (DO), chemical oxygen demand (COD), biochemical oxygen demand (BOD) - nitrogen present in organic and mineral form including ammonia, suspended matter, other nutrients and productivity).</w:t>
      </w:r>
    </w:p>
    <w:p w:rsidR="00CA7984" w:rsidRDefault="00CA7984" w:rsidP="00020A79">
      <w:pPr>
        <w:numPr>
          <w:ilvl w:val="0"/>
          <w:numId w:val="28"/>
        </w:numPr>
      </w:pPr>
      <w:r>
        <w:t>Bottom characteristics (e.g. topography, geochemical and geological characteristics and biological productivity).</w:t>
      </w:r>
    </w:p>
    <w:p w:rsidR="00CA7984" w:rsidRDefault="00CA7984" w:rsidP="00020A79">
      <w:pPr>
        <w:numPr>
          <w:ilvl w:val="0"/>
          <w:numId w:val="28"/>
        </w:numPr>
      </w:pPr>
      <w:r>
        <w:lastRenderedPageBreak/>
        <w:t>Existence and effects of other dumpings which have been made in the dumping area (e.g. heavy metal background reading and organic carbon content).</w:t>
      </w:r>
    </w:p>
    <w:p w:rsidR="00CA7984" w:rsidRDefault="00CA7984" w:rsidP="00020A79">
      <w:pPr>
        <w:numPr>
          <w:ilvl w:val="0"/>
          <w:numId w:val="28"/>
        </w:numPr>
      </w:pPr>
      <w:r>
        <w:t>In issuing a permit for dumping, Contracting Parties should consider whether an adequate scientific basis exists for assessing the consequences of such dumping, as outlined in this Annex, taking into account seasonal variations.</w:t>
      </w:r>
    </w:p>
    <w:p w:rsidR="00CA7984" w:rsidRDefault="00CA7984" w:rsidP="00020A79">
      <w:pPr>
        <w:numPr>
          <w:ilvl w:val="0"/>
          <w:numId w:val="26"/>
        </w:numPr>
      </w:pPr>
      <w:r>
        <w:t>General considerations and conditions</w:t>
      </w:r>
    </w:p>
    <w:p w:rsidR="00CA7984" w:rsidRDefault="00CA7984" w:rsidP="00020A79">
      <w:pPr>
        <w:numPr>
          <w:ilvl w:val="0"/>
          <w:numId w:val="29"/>
        </w:numPr>
      </w:pPr>
      <w:r>
        <w:t>Possible effects on amenities (e.g. presence of floating or stranded material, turbidity, objectionable odour, discolouration and foaming).</w:t>
      </w:r>
    </w:p>
    <w:p w:rsidR="00CA7984" w:rsidRDefault="00CA7984" w:rsidP="00020A79">
      <w:pPr>
        <w:numPr>
          <w:ilvl w:val="0"/>
          <w:numId w:val="29"/>
        </w:numPr>
      </w:pPr>
      <w:r>
        <w:t>Possible effects on marine life, fish and shellfish culture, fish stocks and fisheries, seaweed harvesting and culture.</w:t>
      </w:r>
    </w:p>
    <w:p w:rsidR="00CA7984" w:rsidRDefault="00CA7984" w:rsidP="00020A79">
      <w:pPr>
        <w:numPr>
          <w:ilvl w:val="0"/>
          <w:numId w:val="29"/>
        </w:numPr>
      </w:pPr>
      <w:r>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rsidR="00E25CDD" w:rsidRPr="00E25CDD" w:rsidRDefault="00CA7984" w:rsidP="00020A79">
      <w:pPr>
        <w:numPr>
          <w:ilvl w:val="0"/>
          <w:numId w:val="29"/>
        </w:numPr>
      </w:pPr>
      <w:r>
        <w:t>The practical availability of alternative land-based methods of treatment, disposal or elimination, or of treatment to render the matter less harmful for dumping at sea.</w:t>
      </w:r>
    </w:p>
    <w:sectPr w:rsidR="00E25CDD" w:rsidRPr="00E25CDD" w:rsidSect="009C0F8B">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2EA" w:rsidRDefault="00BC32EA" w:rsidP="00841B86">
      <w:pPr>
        <w:spacing w:before="0" w:after="0" w:line="240" w:lineRule="auto"/>
      </w:pPr>
      <w:r>
        <w:separator/>
      </w:r>
    </w:p>
  </w:endnote>
  <w:endnote w:type="continuationSeparator" w:id="0">
    <w:p w:rsidR="00BC32EA" w:rsidRDefault="00BC32EA" w:rsidP="00841B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25" w:rsidRPr="00841B86" w:rsidRDefault="00967425" w:rsidP="001F2B3F">
    <w:pPr>
      <w:pStyle w:val="Footer"/>
      <w:pBdr>
        <w:top w:val="single" w:sz="4" w:space="7" w:color="auto"/>
      </w:pBdr>
      <w:tabs>
        <w:tab w:val="clear" w:pos="9360"/>
        <w:tab w:val="right" w:pos="9027"/>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44586">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44586">
      <w:rPr>
        <w:rFonts w:cs="Arial"/>
        <w:noProof/>
        <w:color w:val="7F7F7F"/>
        <w:sz w:val="16"/>
        <w:szCs w:val="16"/>
      </w:rPr>
      <w:t>16</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25" w:rsidRPr="00841B86" w:rsidRDefault="00967425" w:rsidP="00841B86">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2EA" w:rsidRDefault="00BC32EA" w:rsidP="00841B86">
      <w:pPr>
        <w:spacing w:before="0" w:after="0" w:line="240" w:lineRule="auto"/>
      </w:pPr>
      <w:r>
        <w:separator/>
      </w:r>
    </w:p>
  </w:footnote>
  <w:footnote w:type="continuationSeparator" w:id="0">
    <w:p w:rsidR="00BC32EA" w:rsidRDefault="00BC32EA" w:rsidP="00841B8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25" w:rsidRPr="00841B86" w:rsidRDefault="009C0F8B" w:rsidP="001F2B3F">
    <w:pPr>
      <w:pStyle w:val="Header"/>
      <w:pBdr>
        <w:bottom w:val="single" w:sz="4" w:space="1" w:color="auto"/>
      </w:pBdr>
      <w:rPr>
        <w:rFonts w:cs="Arial"/>
        <w:caps/>
        <w:color w:val="808080"/>
        <w:sz w:val="16"/>
        <w:szCs w:val="16"/>
      </w:rPr>
    </w:pPr>
    <w:r>
      <w:rPr>
        <w:rFonts w:cs="Arial"/>
        <w:caps/>
        <w:color w:val="808080"/>
        <w:sz w:val="16"/>
        <w:szCs w:val="16"/>
      </w:rPr>
      <w:t>197</w:t>
    </w:r>
    <w:r w:rsidR="00F5206B">
      <w:rPr>
        <w:rFonts w:cs="Arial"/>
        <w:caps/>
        <w:color w:val="808080"/>
        <w:sz w:val="16"/>
        <w:szCs w:val="16"/>
      </w:rPr>
      <w:t>2</w:t>
    </w:r>
    <w:r>
      <w:rPr>
        <w:rFonts w:cs="Arial"/>
        <w:caps/>
        <w:color w:val="808080"/>
        <w:sz w:val="16"/>
        <w:szCs w:val="16"/>
      </w:rPr>
      <w:t xml:space="preserve"> convention on the prevention of marine pollution by dumping of wastes and other matter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BF5"/>
    <w:multiLevelType w:val="hybridMultilevel"/>
    <w:tmpl w:val="1B72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6C3E"/>
    <w:multiLevelType w:val="hybridMultilevel"/>
    <w:tmpl w:val="38A8112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1709A"/>
    <w:multiLevelType w:val="hybridMultilevel"/>
    <w:tmpl w:val="0D5864D8"/>
    <w:lvl w:ilvl="0" w:tplc="C53C1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22C9F"/>
    <w:multiLevelType w:val="hybridMultilevel"/>
    <w:tmpl w:val="B6D49B58"/>
    <w:lvl w:ilvl="0" w:tplc="4DAE6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41A69"/>
    <w:multiLevelType w:val="hybridMultilevel"/>
    <w:tmpl w:val="B3C40F0E"/>
    <w:lvl w:ilvl="0" w:tplc="0409000F">
      <w:start w:val="1"/>
      <w:numFmt w:val="decimal"/>
      <w:lvlText w:val="%1."/>
      <w:lvlJc w:val="left"/>
      <w:pPr>
        <w:ind w:left="720" w:hanging="360"/>
      </w:pPr>
      <w:rPr>
        <w:rFonts w:hint="default"/>
      </w:rPr>
    </w:lvl>
    <w:lvl w:ilvl="1" w:tplc="C95C487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31900"/>
    <w:multiLevelType w:val="hybridMultilevel"/>
    <w:tmpl w:val="D28CCCC0"/>
    <w:lvl w:ilvl="0" w:tplc="62AA9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70797"/>
    <w:multiLevelType w:val="hybridMultilevel"/>
    <w:tmpl w:val="C310D46A"/>
    <w:lvl w:ilvl="0" w:tplc="9362A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0D60D4"/>
    <w:multiLevelType w:val="hybridMultilevel"/>
    <w:tmpl w:val="1620357E"/>
    <w:lvl w:ilvl="0" w:tplc="4DAE6A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6B7AB8"/>
    <w:multiLevelType w:val="hybridMultilevel"/>
    <w:tmpl w:val="3CAE407C"/>
    <w:lvl w:ilvl="0" w:tplc="C3448704">
      <w:start w:val="1"/>
      <w:numFmt w:val="lowerLetter"/>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9" w15:restartNumberingAfterBreak="0">
    <w:nsid w:val="1B7755D9"/>
    <w:multiLevelType w:val="hybridMultilevel"/>
    <w:tmpl w:val="7654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06B6D"/>
    <w:multiLevelType w:val="hybridMultilevel"/>
    <w:tmpl w:val="5EE2A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8F2479"/>
    <w:multiLevelType w:val="hybridMultilevel"/>
    <w:tmpl w:val="F77AB624"/>
    <w:lvl w:ilvl="0" w:tplc="4DAE6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420A5"/>
    <w:multiLevelType w:val="hybridMultilevel"/>
    <w:tmpl w:val="5852C2C8"/>
    <w:lvl w:ilvl="0" w:tplc="C3448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3335A"/>
    <w:multiLevelType w:val="hybridMultilevel"/>
    <w:tmpl w:val="6BFE8468"/>
    <w:lvl w:ilvl="0" w:tplc="C3448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B6156"/>
    <w:multiLevelType w:val="hybridMultilevel"/>
    <w:tmpl w:val="ACC81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E2482"/>
    <w:multiLevelType w:val="hybridMultilevel"/>
    <w:tmpl w:val="01F69E12"/>
    <w:lvl w:ilvl="0" w:tplc="0004E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706147"/>
    <w:multiLevelType w:val="hybridMultilevel"/>
    <w:tmpl w:val="1920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9283D"/>
    <w:multiLevelType w:val="hybridMultilevel"/>
    <w:tmpl w:val="1EC025A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E95F19"/>
    <w:multiLevelType w:val="hybridMultilevel"/>
    <w:tmpl w:val="163C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23967"/>
    <w:multiLevelType w:val="hybridMultilevel"/>
    <w:tmpl w:val="10944EDE"/>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0B6DEC"/>
    <w:multiLevelType w:val="hybridMultilevel"/>
    <w:tmpl w:val="8C146D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0D4ABA"/>
    <w:multiLevelType w:val="hybridMultilevel"/>
    <w:tmpl w:val="A8CC1332"/>
    <w:lvl w:ilvl="0" w:tplc="FC18B8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BD5FE4"/>
    <w:multiLevelType w:val="hybridMultilevel"/>
    <w:tmpl w:val="29DE92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F37DEF"/>
    <w:multiLevelType w:val="hybridMultilevel"/>
    <w:tmpl w:val="3C38B270"/>
    <w:lvl w:ilvl="0" w:tplc="63B0C7C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A16A6"/>
    <w:multiLevelType w:val="hybridMultilevel"/>
    <w:tmpl w:val="257A0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848BA"/>
    <w:multiLevelType w:val="hybridMultilevel"/>
    <w:tmpl w:val="64125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B089A"/>
    <w:multiLevelType w:val="hybridMultilevel"/>
    <w:tmpl w:val="7F24E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F22E8"/>
    <w:multiLevelType w:val="hybridMultilevel"/>
    <w:tmpl w:val="72D257EE"/>
    <w:lvl w:ilvl="0" w:tplc="C3448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A33EF0"/>
    <w:multiLevelType w:val="hybridMultilevel"/>
    <w:tmpl w:val="5894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7708BA"/>
    <w:multiLevelType w:val="hybridMultilevel"/>
    <w:tmpl w:val="00FC1BF2"/>
    <w:lvl w:ilvl="0" w:tplc="1818B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861C48"/>
    <w:multiLevelType w:val="hybridMultilevel"/>
    <w:tmpl w:val="CFA68B6A"/>
    <w:lvl w:ilvl="0" w:tplc="1818B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AD05EA"/>
    <w:multiLevelType w:val="hybridMultilevel"/>
    <w:tmpl w:val="C38E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7"/>
  </w:num>
  <w:num w:numId="4">
    <w:abstractNumId w:val="25"/>
  </w:num>
  <w:num w:numId="5">
    <w:abstractNumId w:val="27"/>
  </w:num>
  <w:num w:numId="6">
    <w:abstractNumId w:val="28"/>
  </w:num>
  <w:num w:numId="7">
    <w:abstractNumId w:val="26"/>
  </w:num>
  <w:num w:numId="8">
    <w:abstractNumId w:val="15"/>
  </w:num>
  <w:num w:numId="9">
    <w:abstractNumId w:val="2"/>
  </w:num>
  <w:num w:numId="10">
    <w:abstractNumId w:val="18"/>
  </w:num>
  <w:num w:numId="11">
    <w:abstractNumId w:val="5"/>
  </w:num>
  <w:num w:numId="12">
    <w:abstractNumId w:val="12"/>
  </w:num>
  <w:num w:numId="13">
    <w:abstractNumId w:val="8"/>
  </w:num>
  <w:num w:numId="14">
    <w:abstractNumId w:val="9"/>
  </w:num>
  <w:num w:numId="15">
    <w:abstractNumId w:val="30"/>
  </w:num>
  <w:num w:numId="16">
    <w:abstractNumId w:val="29"/>
  </w:num>
  <w:num w:numId="17">
    <w:abstractNumId w:val="16"/>
  </w:num>
  <w:num w:numId="18">
    <w:abstractNumId w:val="23"/>
  </w:num>
  <w:num w:numId="19">
    <w:abstractNumId w:val="31"/>
  </w:num>
  <w:num w:numId="20">
    <w:abstractNumId w:val="13"/>
  </w:num>
  <w:num w:numId="21">
    <w:abstractNumId w:val="0"/>
  </w:num>
  <w:num w:numId="22">
    <w:abstractNumId w:val="21"/>
  </w:num>
  <w:num w:numId="23">
    <w:abstractNumId w:val="1"/>
  </w:num>
  <w:num w:numId="24">
    <w:abstractNumId w:val="6"/>
  </w:num>
  <w:num w:numId="25">
    <w:abstractNumId w:val="14"/>
  </w:num>
  <w:num w:numId="26">
    <w:abstractNumId w:val="24"/>
  </w:num>
  <w:num w:numId="27">
    <w:abstractNumId w:val="10"/>
  </w:num>
  <w:num w:numId="28">
    <w:abstractNumId w:val="20"/>
  </w:num>
  <w:num w:numId="29">
    <w:abstractNumId w:val="22"/>
  </w:num>
  <w:num w:numId="30">
    <w:abstractNumId w:val="11"/>
  </w:num>
  <w:num w:numId="31">
    <w:abstractNumId w:val="3"/>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4"/>
    <w:rsid w:val="00000FB0"/>
    <w:rsid w:val="000043E5"/>
    <w:rsid w:val="000077BC"/>
    <w:rsid w:val="00011723"/>
    <w:rsid w:val="00013D73"/>
    <w:rsid w:val="000173F4"/>
    <w:rsid w:val="00020A79"/>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A7FB4"/>
    <w:rsid w:val="000B02EF"/>
    <w:rsid w:val="000B197F"/>
    <w:rsid w:val="000C2967"/>
    <w:rsid w:val="000C2CE8"/>
    <w:rsid w:val="000C49F6"/>
    <w:rsid w:val="000C5A1A"/>
    <w:rsid w:val="000D004B"/>
    <w:rsid w:val="000D31BC"/>
    <w:rsid w:val="000D6DF5"/>
    <w:rsid w:val="000D6F95"/>
    <w:rsid w:val="000D7512"/>
    <w:rsid w:val="000E1DDB"/>
    <w:rsid w:val="000E2394"/>
    <w:rsid w:val="000F2D66"/>
    <w:rsid w:val="001013AD"/>
    <w:rsid w:val="0010259B"/>
    <w:rsid w:val="00102B66"/>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3F"/>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B30"/>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29F7"/>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164B"/>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37D5"/>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B0F55"/>
    <w:rsid w:val="006C2FAC"/>
    <w:rsid w:val="006C6203"/>
    <w:rsid w:val="006C6B56"/>
    <w:rsid w:val="006C6EFB"/>
    <w:rsid w:val="006D1637"/>
    <w:rsid w:val="006D2062"/>
    <w:rsid w:val="006D35BA"/>
    <w:rsid w:val="006D61E5"/>
    <w:rsid w:val="006D6826"/>
    <w:rsid w:val="006D6EAA"/>
    <w:rsid w:val="006E03F3"/>
    <w:rsid w:val="006E4F21"/>
    <w:rsid w:val="006E6F86"/>
    <w:rsid w:val="006F231A"/>
    <w:rsid w:val="00707B16"/>
    <w:rsid w:val="00711FF8"/>
    <w:rsid w:val="00721C1C"/>
    <w:rsid w:val="007231B2"/>
    <w:rsid w:val="0072576B"/>
    <w:rsid w:val="007320B0"/>
    <w:rsid w:val="0073568E"/>
    <w:rsid w:val="00740112"/>
    <w:rsid w:val="00744927"/>
    <w:rsid w:val="00744A85"/>
    <w:rsid w:val="00751173"/>
    <w:rsid w:val="00751EA6"/>
    <w:rsid w:val="00755A12"/>
    <w:rsid w:val="0075632F"/>
    <w:rsid w:val="0075795E"/>
    <w:rsid w:val="00760BCF"/>
    <w:rsid w:val="00761521"/>
    <w:rsid w:val="00762A99"/>
    <w:rsid w:val="00776086"/>
    <w:rsid w:val="00793E44"/>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7F7B23"/>
    <w:rsid w:val="008016D1"/>
    <w:rsid w:val="00803BE9"/>
    <w:rsid w:val="00812B21"/>
    <w:rsid w:val="00814493"/>
    <w:rsid w:val="008171B7"/>
    <w:rsid w:val="00820B03"/>
    <w:rsid w:val="00821388"/>
    <w:rsid w:val="00822E73"/>
    <w:rsid w:val="00824DEF"/>
    <w:rsid w:val="00825C9A"/>
    <w:rsid w:val="008262AF"/>
    <w:rsid w:val="008419D9"/>
    <w:rsid w:val="00841B86"/>
    <w:rsid w:val="0084289A"/>
    <w:rsid w:val="00863AA4"/>
    <w:rsid w:val="00871D6D"/>
    <w:rsid w:val="00875863"/>
    <w:rsid w:val="008761FC"/>
    <w:rsid w:val="00881EA6"/>
    <w:rsid w:val="00887530"/>
    <w:rsid w:val="008A2C17"/>
    <w:rsid w:val="008A3A39"/>
    <w:rsid w:val="008A3EE7"/>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67425"/>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0F8B"/>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94579"/>
    <w:rsid w:val="00A9590E"/>
    <w:rsid w:val="00AA6452"/>
    <w:rsid w:val="00AA6802"/>
    <w:rsid w:val="00AB26B5"/>
    <w:rsid w:val="00AB38E2"/>
    <w:rsid w:val="00AB6F60"/>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32EA"/>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16C79"/>
    <w:rsid w:val="00C27F88"/>
    <w:rsid w:val="00C33322"/>
    <w:rsid w:val="00C3632D"/>
    <w:rsid w:val="00C436C7"/>
    <w:rsid w:val="00C44586"/>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5F90"/>
    <w:rsid w:val="00CA21A1"/>
    <w:rsid w:val="00CA449F"/>
    <w:rsid w:val="00CA540E"/>
    <w:rsid w:val="00CA5A41"/>
    <w:rsid w:val="00CA7984"/>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13279"/>
    <w:rsid w:val="00E15214"/>
    <w:rsid w:val="00E22F62"/>
    <w:rsid w:val="00E23211"/>
    <w:rsid w:val="00E23830"/>
    <w:rsid w:val="00E25CDD"/>
    <w:rsid w:val="00E2703D"/>
    <w:rsid w:val="00E36432"/>
    <w:rsid w:val="00E41649"/>
    <w:rsid w:val="00E42A9B"/>
    <w:rsid w:val="00E46A83"/>
    <w:rsid w:val="00E47C45"/>
    <w:rsid w:val="00E501FD"/>
    <w:rsid w:val="00E51CAB"/>
    <w:rsid w:val="00E53F2E"/>
    <w:rsid w:val="00E71017"/>
    <w:rsid w:val="00E80D04"/>
    <w:rsid w:val="00E82ED4"/>
    <w:rsid w:val="00E853A3"/>
    <w:rsid w:val="00E854D8"/>
    <w:rsid w:val="00E87AA3"/>
    <w:rsid w:val="00E925D7"/>
    <w:rsid w:val="00E94458"/>
    <w:rsid w:val="00EA1963"/>
    <w:rsid w:val="00EA422B"/>
    <w:rsid w:val="00EA44D0"/>
    <w:rsid w:val="00EA6B9C"/>
    <w:rsid w:val="00EC2FAE"/>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06B"/>
    <w:rsid w:val="00F521E0"/>
    <w:rsid w:val="00F53E6A"/>
    <w:rsid w:val="00F57A3C"/>
    <w:rsid w:val="00F63201"/>
    <w:rsid w:val="00F64335"/>
    <w:rsid w:val="00F645C0"/>
    <w:rsid w:val="00F6608A"/>
    <w:rsid w:val="00F701DD"/>
    <w:rsid w:val="00F71AE4"/>
    <w:rsid w:val="00F72BD4"/>
    <w:rsid w:val="00F82FDC"/>
    <w:rsid w:val="00F83E07"/>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58AA"/>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FB144-302E-4967-B1D0-D3710434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2FB5"/>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rsid w:val="00055254"/>
    <w:pPr>
      <w:jc w:val="center"/>
      <w:outlineLvl w:val="1"/>
    </w:pPr>
    <w:rPr>
      <w:b/>
      <w:bCs/>
      <w:caps/>
      <w:szCs w:val="26"/>
    </w:rPr>
  </w:style>
  <w:style w:type="paragraph" w:styleId="Heading3">
    <w:name w:val="heading 3"/>
    <w:basedOn w:val="Normal"/>
    <w:next w:val="Normal"/>
    <w:link w:val="Heading3Char"/>
    <w:uiPriority w:val="9"/>
    <w:semiHidden/>
    <w:unhideWhenUsed/>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qFormat/>
    <w:rsid w:val="00F72BD4"/>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qFormat/>
    <w:rsid w:val="00E25CDD"/>
    <w:rPr>
      <w:rFonts w:eastAsia="Batang" w:cs="Arial"/>
      <w:iCs/>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E25CDD"/>
    <w:pPr>
      <w:contextualSpacing/>
      <w:jc w:val="left"/>
    </w:pPr>
    <w:rPr>
      <w:rFonts w:eastAsia="Batang" w:cs="Arial"/>
      <w:szCs w:val="24"/>
      <w:lang w:val="en-GB" w:eastAsia="ko-KR"/>
    </w:rPr>
  </w:style>
  <w:style w:type="paragraph" w:customStyle="1" w:styleId="CILSubtitle">
    <w:name w:val="CIL Subtitle"/>
    <w:basedOn w:val="Normal"/>
    <w:link w:val="CILSubtitleChar"/>
    <w:autoRedefine/>
    <w:qFormat/>
    <w:rsid w:val="00FF58AA"/>
    <w:pPr>
      <w:jc w:val="center"/>
    </w:pPr>
    <w:rPr>
      <w:rFonts w:eastAsia="Batang" w:cs="Arial"/>
      <w:i/>
      <w:szCs w:val="24"/>
      <w:lang w:val="en-GB" w:eastAsia="ko-KR"/>
    </w:rPr>
  </w:style>
  <w:style w:type="character" w:customStyle="1" w:styleId="CILSubtitleChar">
    <w:name w:val="CIL Subtitle Char"/>
    <w:link w:val="CILSubtitle"/>
    <w:rsid w:val="00FF58AA"/>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semiHidden/>
    <w:rsid w:val="0042562D"/>
    <w:rPr>
      <w:rFonts w:ascii="Cambria" w:eastAsia="Times New Roman" w:hAnsi="Cambria" w:cs="Times New Roman"/>
      <w:b/>
      <w:bCs/>
      <w:color w:val="4F81BD"/>
    </w:rPr>
  </w:style>
  <w:style w:type="paragraph" w:customStyle="1" w:styleId="CILL1TOC">
    <w:name w:val="CIL L1 TOC"/>
    <w:basedOn w:val="TOC1"/>
    <w:autoRedefine/>
    <w:qFormat/>
    <w:rsid w:val="0042562D"/>
    <w:pPr>
      <w:tabs>
        <w:tab w:val="right" w:leader="dot" w:pos="9350"/>
      </w:tabs>
      <w:spacing w:line="360" w:lineRule="auto"/>
    </w:pPr>
    <w:rPr>
      <w:rFonts w:cs="Arial"/>
      <w:noProof/>
    </w:rPr>
  </w:style>
  <w:style w:type="paragraph" w:styleId="TOC1">
    <w:name w:val="toc 1"/>
    <w:basedOn w:val="Normal"/>
    <w:next w:val="Normal"/>
    <w:autoRedefine/>
    <w:uiPriority w:val="39"/>
    <w:unhideWhenUsed/>
    <w:rsid w:val="00FF58AA"/>
    <w:pPr>
      <w:tabs>
        <w:tab w:val="right" w:leader="dot" w:pos="9017"/>
      </w:tabs>
      <w:spacing w:before="120"/>
      <w:contextualSpacing/>
    </w:pPr>
    <w:rPr>
      <w:caps/>
    </w:rPr>
  </w:style>
  <w:style w:type="paragraph" w:customStyle="1" w:styleId="CIL3Heading">
    <w:name w:val="CIL 3 Heading"/>
    <w:basedOn w:val="TOC3"/>
    <w:link w:val="CIL3HeadingChar"/>
    <w:autoRedefine/>
    <w:uiPriority w:val="99"/>
    <w:qFormat/>
    <w:rsid w:val="00FF58AA"/>
    <w:pPr>
      <w:tabs>
        <w:tab w:val="right" w:leader="dot" w:pos="9350"/>
      </w:tabs>
      <w:spacing w:before="0" w:after="0"/>
      <w:ind w:left="204"/>
    </w:pPr>
    <w:rPr>
      <w:rFonts w:cs="Arial"/>
      <w:noProof/>
      <w:u w:val="single"/>
    </w:rPr>
  </w:style>
  <w:style w:type="paragraph" w:styleId="TOC2">
    <w:name w:val="toc 2"/>
    <w:basedOn w:val="Normal"/>
    <w:next w:val="Normal"/>
    <w:autoRedefine/>
    <w:uiPriority w:val="39"/>
    <w:unhideWhenUsed/>
    <w:rsid w:val="00274B30"/>
    <w:pPr>
      <w:tabs>
        <w:tab w:val="right" w:leader="dot" w:pos="9017"/>
      </w:tabs>
      <w:spacing w:before="120"/>
      <w:ind w:left="198"/>
      <w:contextualSpacing/>
    </w:pPr>
  </w:style>
  <w:style w:type="paragraph" w:customStyle="1" w:styleId="CILL2TOC">
    <w:name w:val="CIL L2 TOC"/>
    <w:basedOn w:val="TOC2"/>
    <w:autoRedefine/>
    <w:qFormat/>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qFormat/>
    <w:rsid w:val="00E25CDD"/>
  </w:style>
  <w:style w:type="paragraph" w:customStyle="1" w:styleId="CILMain">
    <w:name w:val="CIL Main"/>
    <w:autoRedefine/>
    <w:qFormat/>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ListParagraph">
    <w:name w:val="List Paragraph"/>
    <w:basedOn w:val="Normal"/>
    <w:link w:val="ListParagraphChar"/>
    <w:uiPriority w:val="99"/>
    <w:rsid w:val="00841B86"/>
    <w:pPr>
      <w:ind w:left="720"/>
      <w:contextualSpacing/>
    </w:pPr>
  </w:style>
  <w:style w:type="paragraph" w:styleId="Header">
    <w:name w:val="header"/>
    <w:basedOn w:val="Normal"/>
    <w:link w:val="HeaderChar"/>
    <w:uiPriority w:val="99"/>
    <w:unhideWhenUsed/>
    <w:rsid w:val="00841B86"/>
    <w:pPr>
      <w:tabs>
        <w:tab w:val="center" w:pos="4680"/>
        <w:tab w:val="right" w:pos="9360"/>
      </w:tabs>
      <w:spacing w:before="0" w:after="0" w:line="240" w:lineRule="auto"/>
    </w:pPr>
  </w:style>
  <w:style w:type="character" w:customStyle="1" w:styleId="HeaderChar">
    <w:name w:val="Header Char"/>
    <w:link w:val="Header"/>
    <w:uiPriority w:val="99"/>
    <w:rsid w:val="00841B86"/>
    <w:rPr>
      <w:rFonts w:ascii="Arial" w:hAnsi="Arial"/>
    </w:rPr>
  </w:style>
  <w:style w:type="paragraph" w:styleId="Footer">
    <w:name w:val="footer"/>
    <w:basedOn w:val="Normal"/>
    <w:link w:val="FooterChar"/>
    <w:uiPriority w:val="99"/>
    <w:unhideWhenUsed/>
    <w:rsid w:val="00841B86"/>
    <w:pPr>
      <w:tabs>
        <w:tab w:val="center" w:pos="4680"/>
        <w:tab w:val="right" w:pos="9360"/>
      </w:tabs>
      <w:spacing w:before="0" w:after="0" w:line="240" w:lineRule="auto"/>
    </w:pPr>
  </w:style>
  <w:style w:type="character" w:customStyle="1" w:styleId="FooterChar">
    <w:name w:val="Footer Char"/>
    <w:link w:val="Footer"/>
    <w:uiPriority w:val="99"/>
    <w:rsid w:val="00841B86"/>
    <w:rPr>
      <w:rFonts w:ascii="Arial" w:hAnsi="Arial"/>
    </w:rPr>
  </w:style>
  <w:style w:type="character" w:styleId="Hyperlink">
    <w:name w:val="Hyperlink"/>
    <w:uiPriority w:val="99"/>
    <w:unhideWhenUsed/>
    <w:rsid w:val="00841B86"/>
    <w:rPr>
      <w:color w:val="0000FF"/>
      <w:u w:val="single"/>
    </w:rPr>
  </w:style>
  <w:style w:type="character" w:customStyle="1" w:styleId="ListParagraphChar">
    <w:name w:val="List Paragraph Char"/>
    <w:link w:val="ListParagraph"/>
    <w:uiPriority w:val="99"/>
    <w:locked/>
    <w:rsid w:val="00E25CDD"/>
    <w:rPr>
      <w:rFonts w:ascii="Arial" w:hAnsi="Arial"/>
      <w:lang w:val="en-US" w:eastAsia="en-US"/>
    </w:rPr>
  </w:style>
  <w:style w:type="character" w:customStyle="1" w:styleId="CIL3HeadingChar">
    <w:name w:val="CIL 3 Heading Char"/>
    <w:link w:val="CIL3Heading"/>
    <w:uiPriority w:val="99"/>
    <w:locked/>
    <w:rsid w:val="00FF58AA"/>
    <w:rPr>
      <w:rFonts w:ascii="Arial" w:hAnsi="Arial" w:cs="Arial"/>
      <w:noProof/>
      <w:u w:val="single"/>
      <w:lang w:val="en-US" w:eastAsia="en-US"/>
    </w:rPr>
  </w:style>
  <w:style w:type="paragraph" w:styleId="NoSpacing">
    <w:name w:val="No Spacing"/>
    <w:aliases w:val="CIL Footnote"/>
    <w:autoRedefine/>
    <w:uiPriority w:val="1"/>
    <w:qFormat/>
    <w:rsid w:val="00E25CDD"/>
    <w:pPr>
      <w:spacing w:line="276" w:lineRule="auto"/>
      <w:contextualSpacing/>
      <w:jc w:val="both"/>
    </w:pPr>
    <w:rPr>
      <w:rFonts w:ascii="Arial" w:hAnsi="Arial"/>
      <w:sz w:val="16"/>
      <w:lang w:val="en-US" w:eastAsia="en-US"/>
    </w:rPr>
  </w:style>
  <w:style w:type="paragraph" w:styleId="FootnoteText">
    <w:name w:val="footnote text"/>
    <w:basedOn w:val="Normal"/>
    <w:link w:val="FootnoteTextChar"/>
    <w:uiPriority w:val="99"/>
    <w:semiHidden/>
    <w:unhideWhenUsed/>
    <w:rsid w:val="00E25CDD"/>
  </w:style>
  <w:style w:type="character" w:customStyle="1" w:styleId="FootnoteTextChar">
    <w:name w:val="Footnote Text Char"/>
    <w:link w:val="FootnoteText"/>
    <w:uiPriority w:val="99"/>
    <w:semiHidden/>
    <w:rsid w:val="00E25CDD"/>
    <w:rPr>
      <w:rFonts w:ascii="Arial" w:hAnsi="Arial"/>
      <w:lang w:val="en-US" w:eastAsia="en-US"/>
    </w:rPr>
  </w:style>
  <w:style w:type="character" w:styleId="FootnoteReference">
    <w:name w:val="footnote reference"/>
    <w:uiPriority w:val="99"/>
    <w:semiHidden/>
    <w:unhideWhenUsed/>
    <w:rsid w:val="00E25CDD"/>
    <w:rPr>
      <w:vertAlign w:val="superscript"/>
    </w:rPr>
  </w:style>
  <w:style w:type="paragraph" w:styleId="TOC3">
    <w:name w:val="toc 3"/>
    <w:basedOn w:val="Normal"/>
    <w:next w:val="Normal"/>
    <w:autoRedefine/>
    <w:uiPriority w:val="39"/>
    <w:semiHidden/>
    <w:unhideWhenUsed/>
    <w:rsid w:val="00FF58AA"/>
    <w:pPr>
      <w:ind w:left="403"/>
      <w:contextualSpacing/>
    </w:pPr>
  </w:style>
  <w:style w:type="paragraph" w:styleId="TOCHeading">
    <w:name w:val="TOC Heading"/>
    <w:basedOn w:val="Heading1"/>
    <w:next w:val="Normal"/>
    <w:uiPriority w:val="39"/>
    <w:semiHidden/>
    <w:unhideWhenUsed/>
    <w:qFormat/>
    <w:rsid w:val="009C0F8B"/>
    <w:pPr>
      <w:spacing w:before="480" w:after="0"/>
      <w:jc w:val="left"/>
      <w:outlineLvl w:val="9"/>
    </w:pPr>
    <w:rPr>
      <w:rFonts w:ascii="Cambria" w:eastAsia="MS Gothic" w:hAnsi="Cambria"/>
      <w:caps w:val="0"/>
      <w:color w:val="365F9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CIL%20DATABASE%20FORMATTING%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BC80-BC50-4EB7-A225-6F108415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DATABASE FORMATTING TEMPLATE-1</Template>
  <TotalTime>1</TotalTime>
  <Pages>16</Pages>
  <Words>4821</Words>
  <Characters>27481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32238</CharactersWithSpaces>
  <SharedDoc>false</SharedDoc>
  <HLinks>
    <vt:vector size="162" baseType="variant">
      <vt:variant>
        <vt:i4>1900593</vt:i4>
      </vt:variant>
      <vt:variant>
        <vt:i4>146</vt:i4>
      </vt:variant>
      <vt:variant>
        <vt:i4>0</vt:i4>
      </vt:variant>
      <vt:variant>
        <vt:i4>5</vt:i4>
      </vt:variant>
      <vt:variant>
        <vt:lpwstr/>
      </vt:variant>
      <vt:variant>
        <vt:lpwstr>_Toc463129444</vt:lpwstr>
      </vt:variant>
      <vt:variant>
        <vt:i4>1900593</vt:i4>
      </vt:variant>
      <vt:variant>
        <vt:i4>140</vt:i4>
      </vt:variant>
      <vt:variant>
        <vt:i4>0</vt:i4>
      </vt:variant>
      <vt:variant>
        <vt:i4>5</vt:i4>
      </vt:variant>
      <vt:variant>
        <vt:lpwstr/>
      </vt:variant>
      <vt:variant>
        <vt:lpwstr>_Toc463129443</vt:lpwstr>
      </vt:variant>
      <vt:variant>
        <vt:i4>1900593</vt:i4>
      </vt:variant>
      <vt:variant>
        <vt:i4>134</vt:i4>
      </vt:variant>
      <vt:variant>
        <vt:i4>0</vt:i4>
      </vt:variant>
      <vt:variant>
        <vt:i4>5</vt:i4>
      </vt:variant>
      <vt:variant>
        <vt:lpwstr/>
      </vt:variant>
      <vt:variant>
        <vt:lpwstr>_Toc463129442</vt:lpwstr>
      </vt:variant>
      <vt:variant>
        <vt:i4>1900593</vt:i4>
      </vt:variant>
      <vt:variant>
        <vt:i4>128</vt:i4>
      </vt:variant>
      <vt:variant>
        <vt:i4>0</vt:i4>
      </vt:variant>
      <vt:variant>
        <vt:i4>5</vt:i4>
      </vt:variant>
      <vt:variant>
        <vt:lpwstr/>
      </vt:variant>
      <vt:variant>
        <vt:lpwstr>_Toc463129441</vt:lpwstr>
      </vt:variant>
      <vt:variant>
        <vt:i4>1900593</vt:i4>
      </vt:variant>
      <vt:variant>
        <vt:i4>122</vt:i4>
      </vt:variant>
      <vt:variant>
        <vt:i4>0</vt:i4>
      </vt:variant>
      <vt:variant>
        <vt:i4>5</vt:i4>
      </vt:variant>
      <vt:variant>
        <vt:lpwstr/>
      </vt:variant>
      <vt:variant>
        <vt:lpwstr>_Toc463129440</vt:lpwstr>
      </vt:variant>
      <vt:variant>
        <vt:i4>1703985</vt:i4>
      </vt:variant>
      <vt:variant>
        <vt:i4>116</vt:i4>
      </vt:variant>
      <vt:variant>
        <vt:i4>0</vt:i4>
      </vt:variant>
      <vt:variant>
        <vt:i4>5</vt:i4>
      </vt:variant>
      <vt:variant>
        <vt:lpwstr/>
      </vt:variant>
      <vt:variant>
        <vt:lpwstr>_Toc463129439</vt:lpwstr>
      </vt:variant>
      <vt:variant>
        <vt:i4>1703985</vt:i4>
      </vt:variant>
      <vt:variant>
        <vt:i4>110</vt:i4>
      </vt:variant>
      <vt:variant>
        <vt:i4>0</vt:i4>
      </vt:variant>
      <vt:variant>
        <vt:i4>5</vt:i4>
      </vt:variant>
      <vt:variant>
        <vt:lpwstr/>
      </vt:variant>
      <vt:variant>
        <vt:lpwstr>_Toc463129438</vt:lpwstr>
      </vt:variant>
      <vt:variant>
        <vt:i4>1703985</vt:i4>
      </vt:variant>
      <vt:variant>
        <vt:i4>104</vt:i4>
      </vt:variant>
      <vt:variant>
        <vt:i4>0</vt:i4>
      </vt:variant>
      <vt:variant>
        <vt:i4>5</vt:i4>
      </vt:variant>
      <vt:variant>
        <vt:lpwstr/>
      </vt:variant>
      <vt:variant>
        <vt:lpwstr>_Toc463129437</vt:lpwstr>
      </vt:variant>
      <vt:variant>
        <vt:i4>1703985</vt:i4>
      </vt:variant>
      <vt:variant>
        <vt:i4>98</vt:i4>
      </vt:variant>
      <vt:variant>
        <vt:i4>0</vt:i4>
      </vt:variant>
      <vt:variant>
        <vt:i4>5</vt:i4>
      </vt:variant>
      <vt:variant>
        <vt:lpwstr/>
      </vt:variant>
      <vt:variant>
        <vt:lpwstr>_Toc463129436</vt:lpwstr>
      </vt:variant>
      <vt:variant>
        <vt:i4>1703985</vt:i4>
      </vt:variant>
      <vt:variant>
        <vt:i4>92</vt:i4>
      </vt:variant>
      <vt:variant>
        <vt:i4>0</vt:i4>
      </vt:variant>
      <vt:variant>
        <vt:i4>5</vt:i4>
      </vt:variant>
      <vt:variant>
        <vt:lpwstr/>
      </vt:variant>
      <vt:variant>
        <vt:lpwstr>_Toc463129435</vt:lpwstr>
      </vt:variant>
      <vt:variant>
        <vt:i4>1703985</vt:i4>
      </vt:variant>
      <vt:variant>
        <vt:i4>86</vt:i4>
      </vt:variant>
      <vt:variant>
        <vt:i4>0</vt:i4>
      </vt:variant>
      <vt:variant>
        <vt:i4>5</vt:i4>
      </vt:variant>
      <vt:variant>
        <vt:lpwstr/>
      </vt:variant>
      <vt:variant>
        <vt:lpwstr>_Toc463129434</vt:lpwstr>
      </vt:variant>
      <vt:variant>
        <vt:i4>1703985</vt:i4>
      </vt:variant>
      <vt:variant>
        <vt:i4>80</vt:i4>
      </vt:variant>
      <vt:variant>
        <vt:i4>0</vt:i4>
      </vt:variant>
      <vt:variant>
        <vt:i4>5</vt:i4>
      </vt:variant>
      <vt:variant>
        <vt:lpwstr/>
      </vt:variant>
      <vt:variant>
        <vt:lpwstr>_Toc463129433</vt:lpwstr>
      </vt:variant>
      <vt:variant>
        <vt:i4>1703985</vt:i4>
      </vt:variant>
      <vt:variant>
        <vt:i4>74</vt:i4>
      </vt:variant>
      <vt:variant>
        <vt:i4>0</vt:i4>
      </vt:variant>
      <vt:variant>
        <vt:i4>5</vt:i4>
      </vt:variant>
      <vt:variant>
        <vt:lpwstr/>
      </vt:variant>
      <vt:variant>
        <vt:lpwstr>_Toc463129432</vt:lpwstr>
      </vt:variant>
      <vt:variant>
        <vt:i4>1703985</vt:i4>
      </vt:variant>
      <vt:variant>
        <vt:i4>68</vt:i4>
      </vt:variant>
      <vt:variant>
        <vt:i4>0</vt:i4>
      </vt:variant>
      <vt:variant>
        <vt:i4>5</vt:i4>
      </vt:variant>
      <vt:variant>
        <vt:lpwstr/>
      </vt:variant>
      <vt:variant>
        <vt:lpwstr>_Toc463129431</vt:lpwstr>
      </vt:variant>
      <vt:variant>
        <vt:i4>1703985</vt:i4>
      </vt:variant>
      <vt:variant>
        <vt:i4>62</vt:i4>
      </vt:variant>
      <vt:variant>
        <vt:i4>0</vt:i4>
      </vt:variant>
      <vt:variant>
        <vt:i4>5</vt:i4>
      </vt:variant>
      <vt:variant>
        <vt:lpwstr/>
      </vt:variant>
      <vt:variant>
        <vt:lpwstr>_Toc463129430</vt:lpwstr>
      </vt:variant>
      <vt:variant>
        <vt:i4>1769521</vt:i4>
      </vt:variant>
      <vt:variant>
        <vt:i4>56</vt:i4>
      </vt:variant>
      <vt:variant>
        <vt:i4>0</vt:i4>
      </vt:variant>
      <vt:variant>
        <vt:i4>5</vt:i4>
      </vt:variant>
      <vt:variant>
        <vt:lpwstr/>
      </vt:variant>
      <vt:variant>
        <vt:lpwstr>_Toc463129429</vt:lpwstr>
      </vt:variant>
      <vt:variant>
        <vt:i4>1769521</vt:i4>
      </vt:variant>
      <vt:variant>
        <vt:i4>50</vt:i4>
      </vt:variant>
      <vt:variant>
        <vt:i4>0</vt:i4>
      </vt:variant>
      <vt:variant>
        <vt:i4>5</vt:i4>
      </vt:variant>
      <vt:variant>
        <vt:lpwstr/>
      </vt:variant>
      <vt:variant>
        <vt:lpwstr>_Toc463129428</vt:lpwstr>
      </vt:variant>
      <vt:variant>
        <vt:i4>1769521</vt:i4>
      </vt:variant>
      <vt:variant>
        <vt:i4>44</vt:i4>
      </vt:variant>
      <vt:variant>
        <vt:i4>0</vt:i4>
      </vt:variant>
      <vt:variant>
        <vt:i4>5</vt:i4>
      </vt:variant>
      <vt:variant>
        <vt:lpwstr/>
      </vt:variant>
      <vt:variant>
        <vt:lpwstr>_Toc463129427</vt:lpwstr>
      </vt:variant>
      <vt:variant>
        <vt:i4>1769521</vt:i4>
      </vt:variant>
      <vt:variant>
        <vt:i4>38</vt:i4>
      </vt:variant>
      <vt:variant>
        <vt:i4>0</vt:i4>
      </vt:variant>
      <vt:variant>
        <vt:i4>5</vt:i4>
      </vt:variant>
      <vt:variant>
        <vt:lpwstr/>
      </vt:variant>
      <vt:variant>
        <vt:lpwstr>_Toc463129426</vt:lpwstr>
      </vt:variant>
      <vt:variant>
        <vt:i4>1769521</vt:i4>
      </vt:variant>
      <vt:variant>
        <vt:i4>32</vt:i4>
      </vt:variant>
      <vt:variant>
        <vt:i4>0</vt:i4>
      </vt:variant>
      <vt:variant>
        <vt:i4>5</vt:i4>
      </vt:variant>
      <vt:variant>
        <vt:lpwstr/>
      </vt:variant>
      <vt:variant>
        <vt:lpwstr>_Toc463129425</vt:lpwstr>
      </vt:variant>
      <vt:variant>
        <vt:i4>1769521</vt:i4>
      </vt:variant>
      <vt:variant>
        <vt:i4>26</vt:i4>
      </vt:variant>
      <vt:variant>
        <vt:i4>0</vt:i4>
      </vt:variant>
      <vt:variant>
        <vt:i4>5</vt:i4>
      </vt:variant>
      <vt:variant>
        <vt:lpwstr/>
      </vt:variant>
      <vt:variant>
        <vt:lpwstr>_Toc463129424</vt:lpwstr>
      </vt:variant>
      <vt:variant>
        <vt:i4>1769521</vt:i4>
      </vt:variant>
      <vt:variant>
        <vt:i4>20</vt:i4>
      </vt:variant>
      <vt:variant>
        <vt:i4>0</vt:i4>
      </vt:variant>
      <vt:variant>
        <vt:i4>5</vt:i4>
      </vt:variant>
      <vt:variant>
        <vt:lpwstr/>
      </vt:variant>
      <vt:variant>
        <vt:lpwstr>_Toc463129423</vt:lpwstr>
      </vt:variant>
      <vt:variant>
        <vt:i4>1769521</vt:i4>
      </vt:variant>
      <vt:variant>
        <vt:i4>14</vt:i4>
      </vt:variant>
      <vt:variant>
        <vt:i4>0</vt:i4>
      </vt:variant>
      <vt:variant>
        <vt:i4>5</vt:i4>
      </vt:variant>
      <vt:variant>
        <vt:lpwstr/>
      </vt:variant>
      <vt:variant>
        <vt:lpwstr>_Toc463129422</vt:lpwstr>
      </vt:variant>
      <vt:variant>
        <vt:i4>1769521</vt:i4>
      </vt:variant>
      <vt:variant>
        <vt:i4>8</vt:i4>
      </vt:variant>
      <vt:variant>
        <vt:i4>0</vt:i4>
      </vt:variant>
      <vt:variant>
        <vt:i4>5</vt:i4>
      </vt:variant>
      <vt:variant>
        <vt:lpwstr/>
      </vt:variant>
      <vt:variant>
        <vt:lpwstr>_Toc463129421</vt:lpwstr>
      </vt:variant>
      <vt:variant>
        <vt:i4>1769521</vt:i4>
      </vt:variant>
      <vt:variant>
        <vt:i4>2</vt:i4>
      </vt:variant>
      <vt:variant>
        <vt:i4>0</vt:i4>
      </vt:variant>
      <vt:variant>
        <vt:i4>5</vt:i4>
      </vt:variant>
      <vt:variant>
        <vt:lpwstr/>
      </vt:variant>
      <vt:variant>
        <vt:lpwstr>_Toc463129420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dcterms:created xsi:type="dcterms:W3CDTF">2018-07-04T06:08:00Z</dcterms:created>
  <dcterms:modified xsi:type="dcterms:W3CDTF">2018-07-04T06:08:00Z</dcterms:modified>
</cp:coreProperties>
</file>