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746A4D" w:rsidP="00746A4D">
      <w:pPr>
        <w:pStyle w:val="CILTitle"/>
      </w:pPr>
      <w:r>
        <w:t>1984 ASEAN Ministerial Understanding on Plant Pest Free Zone</w:t>
      </w:r>
    </w:p>
    <w:p w:rsidR="00746A4D" w:rsidRDefault="00146D01" w:rsidP="00746A4D">
      <w:pPr>
        <w:pStyle w:val="CILSubtitle"/>
      </w:pPr>
      <w:r>
        <w:t>Adopted</w:t>
      </w:r>
      <w:r w:rsidR="00746A4D">
        <w:t xml:space="preserve"> in Manila, Philippines on 5 October 1984</w:t>
      </w:r>
    </w:p>
    <w:p w:rsidR="00746A4D" w:rsidRDefault="00746A4D" w:rsidP="00746A4D">
      <w:r>
        <w:t xml:space="preserve">WE the undersigned, attending the Sixth Meeting of the ASEAN Ministers on Agriculture and Forestry in Manila on 4-5 October, 1984 on the invitation of His Excellency Salvador H. Escudero III, Minister of Agriculture and Food, Philippines; </w:t>
      </w:r>
    </w:p>
    <w:p w:rsidR="00746A4D" w:rsidRDefault="00746A4D" w:rsidP="00746A4D">
      <w:r>
        <w:t xml:space="preserve">RECALLING the declaration of ASEAN Concord signed in Bali, Indonesia, on 24 February 1976, which provides that ASEAN member countries shall take cooperative action in their national and regional development programmes; </w:t>
      </w:r>
    </w:p>
    <w:p w:rsidR="00746A4D" w:rsidRDefault="00746A4D" w:rsidP="00746A4D">
      <w:r>
        <w:t xml:space="preserve">NOTING the Manila Consensus arising from the First Meeting of the ASEAN Ministers of Agriculture in Manila on 28-29 August 1979 emphasizing, among others, the implementation of the ASEAN Quarantine Ring; </w:t>
      </w:r>
    </w:p>
    <w:p w:rsidR="00746A4D" w:rsidRDefault="00746A4D" w:rsidP="00746A4D">
      <w:r>
        <w:t>CONSCIOUS of the need for ASEAN to be free from major plant pests and the need to promote</w:t>
      </w:r>
      <w:r w:rsidR="00081D05">
        <w:t xml:space="preserve"> </w:t>
      </w:r>
      <w:r w:rsidR="00081D05">
        <w:br/>
        <w:t>i</w:t>
      </w:r>
      <w:r>
        <w:t xml:space="preserve">ntra-ASEAN and international trade in plants and plant products; </w:t>
      </w:r>
    </w:p>
    <w:p w:rsidR="00746A4D" w:rsidRDefault="00746A4D" w:rsidP="00746A4D">
      <w:r>
        <w:t xml:space="preserve">RECALLING the ASEAN Ministerial Understanding on Plant Quarantine Ring, Kuala Lumpur, </w:t>
      </w:r>
      <w:r>
        <w:br/>
        <w:t xml:space="preserve">9 October 1982; </w:t>
      </w:r>
    </w:p>
    <w:p w:rsidR="00746A4D" w:rsidRDefault="00746A4D" w:rsidP="00746A4D">
      <w:r>
        <w:t xml:space="preserve">DO HEREBY DECLARE: </w:t>
      </w:r>
    </w:p>
    <w:p w:rsidR="00746A4D" w:rsidRPr="009C1F90" w:rsidRDefault="00746A4D" w:rsidP="00081D05">
      <w:pPr>
        <w:pStyle w:val="ListParagraph"/>
        <w:numPr>
          <w:ilvl w:val="0"/>
          <w:numId w:val="2"/>
        </w:numPr>
        <w:ind w:left="360"/>
        <w:contextualSpacing w:val="0"/>
      </w:pPr>
      <w:r>
        <w:t>the following areas within ASEAN countries have restricted distribution of A2 pests: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537"/>
      </w:tblGrid>
      <w:tr w:rsidR="00746A4D" w:rsidTr="00746A4D">
        <w:tc>
          <w:tcPr>
            <w:tcW w:w="2518" w:type="dxa"/>
            <w:shd w:val="clear" w:color="auto" w:fill="auto"/>
          </w:tcPr>
          <w:p w:rsidR="00746A4D" w:rsidRPr="00746A4D" w:rsidRDefault="00746A4D" w:rsidP="00746A4D">
            <w:pPr>
              <w:jc w:val="center"/>
              <w:rPr>
                <w:b/>
              </w:rPr>
            </w:pPr>
            <w:r w:rsidRPr="00746A4D">
              <w:rPr>
                <w:b/>
              </w:rPr>
              <w:t>PEST</w:t>
            </w:r>
          </w:p>
        </w:tc>
        <w:tc>
          <w:tcPr>
            <w:tcW w:w="6725" w:type="dxa"/>
            <w:shd w:val="clear" w:color="auto" w:fill="auto"/>
          </w:tcPr>
          <w:p w:rsidR="00746A4D" w:rsidRPr="00746A4D" w:rsidRDefault="00746A4D" w:rsidP="00746A4D">
            <w:pPr>
              <w:jc w:val="center"/>
              <w:rPr>
                <w:b/>
              </w:rPr>
            </w:pPr>
            <w:r w:rsidRPr="00746A4D">
              <w:rPr>
                <w:b/>
              </w:rPr>
              <w:t>DISTRIBUTION</w:t>
            </w:r>
          </w:p>
        </w:tc>
      </w:tr>
      <w:tr w:rsidR="00746A4D" w:rsidTr="00746A4D">
        <w:tc>
          <w:tcPr>
            <w:tcW w:w="2518" w:type="dxa"/>
            <w:shd w:val="clear" w:color="auto" w:fill="auto"/>
          </w:tcPr>
          <w:p w:rsidR="00746A4D" w:rsidRDefault="00746A4D" w:rsidP="00746A4D">
            <w:pPr>
              <w:jc w:val="center"/>
            </w:pPr>
            <w:r>
              <w:t>Socorro wilt of coconut</w:t>
            </w:r>
          </w:p>
        </w:tc>
        <w:tc>
          <w:tcPr>
            <w:tcW w:w="6725" w:type="dxa"/>
            <w:shd w:val="clear" w:color="auto" w:fill="auto"/>
          </w:tcPr>
          <w:p w:rsidR="00746A4D" w:rsidRDefault="00746A4D" w:rsidP="00746A4D">
            <w:pPr>
              <w:jc w:val="center"/>
            </w:pPr>
            <w:r>
              <w:t>Philippines (Mindoro Island)</w:t>
            </w:r>
          </w:p>
        </w:tc>
      </w:tr>
      <w:tr w:rsidR="00746A4D" w:rsidTr="00746A4D">
        <w:trPr>
          <w:trHeight w:val="459"/>
        </w:trPr>
        <w:tc>
          <w:tcPr>
            <w:tcW w:w="2518" w:type="dxa"/>
            <w:shd w:val="clear" w:color="auto" w:fill="auto"/>
          </w:tcPr>
          <w:p w:rsidR="00746A4D" w:rsidRDefault="00746A4D" w:rsidP="00746A4D">
            <w:pPr>
              <w:jc w:val="center"/>
            </w:pPr>
            <w:proofErr w:type="spellStart"/>
            <w:r>
              <w:t>Natuna</w:t>
            </w:r>
            <w:proofErr w:type="spellEnd"/>
            <w:r>
              <w:t xml:space="preserve"> wilt of coconut</w:t>
            </w:r>
          </w:p>
        </w:tc>
        <w:tc>
          <w:tcPr>
            <w:tcW w:w="6725" w:type="dxa"/>
            <w:shd w:val="clear" w:color="auto" w:fill="auto"/>
          </w:tcPr>
          <w:p w:rsidR="00746A4D" w:rsidRDefault="00746A4D" w:rsidP="00746A4D">
            <w:pPr>
              <w:jc w:val="center"/>
            </w:pPr>
            <w:r>
              <w:t>Indonesia (</w:t>
            </w:r>
            <w:proofErr w:type="spellStart"/>
            <w:r>
              <w:t>Natuna</w:t>
            </w:r>
            <w:proofErr w:type="spellEnd"/>
            <w:r>
              <w:t xml:space="preserve"> Island)</w:t>
            </w:r>
          </w:p>
        </w:tc>
      </w:tr>
      <w:tr w:rsidR="00746A4D" w:rsidTr="00746A4D">
        <w:trPr>
          <w:trHeight w:val="822"/>
        </w:trPr>
        <w:tc>
          <w:tcPr>
            <w:tcW w:w="2518" w:type="dxa"/>
            <w:shd w:val="clear" w:color="auto" w:fill="auto"/>
          </w:tcPr>
          <w:p w:rsidR="00746A4D" w:rsidRDefault="00746A4D" w:rsidP="00746A4D">
            <w:pPr>
              <w:jc w:val="center"/>
            </w:pPr>
            <w:proofErr w:type="spellStart"/>
            <w:r>
              <w:t>Globodera</w:t>
            </w:r>
            <w:proofErr w:type="spellEnd"/>
            <w:r>
              <w:t xml:space="preserve"> </w:t>
            </w:r>
            <w:proofErr w:type="spellStart"/>
            <w:r>
              <w:t>rostochiensis</w:t>
            </w:r>
            <w:proofErr w:type="spellEnd"/>
            <w:r>
              <w:t xml:space="preserve"> (Golden nematode)</w:t>
            </w:r>
          </w:p>
        </w:tc>
        <w:tc>
          <w:tcPr>
            <w:tcW w:w="6725" w:type="dxa"/>
            <w:shd w:val="clear" w:color="auto" w:fill="auto"/>
          </w:tcPr>
          <w:p w:rsidR="00746A4D" w:rsidRDefault="00746A4D" w:rsidP="00746A4D">
            <w:pPr>
              <w:jc w:val="center"/>
            </w:pPr>
            <w:r>
              <w:t>Philippines (Benguet Province)</w:t>
            </w:r>
          </w:p>
        </w:tc>
      </w:tr>
      <w:tr w:rsidR="00746A4D" w:rsidTr="00746A4D">
        <w:trPr>
          <w:trHeight w:val="764"/>
        </w:trPr>
        <w:tc>
          <w:tcPr>
            <w:tcW w:w="2518" w:type="dxa"/>
            <w:shd w:val="clear" w:color="auto" w:fill="auto"/>
          </w:tcPr>
          <w:p w:rsidR="00746A4D" w:rsidRPr="008B584E" w:rsidRDefault="00746A4D" w:rsidP="00746A4D">
            <w:pPr>
              <w:jc w:val="center"/>
            </w:pPr>
            <w:proofErr w:type="spellStart"/>
            <w:r w:rsidRPr="008B584E">
              <w:t>Sexava</w:t>
            </w:r>
            <w:proofErr w:type="spellEnd"/>
            <w:r w:rsidRPr="008B584E">
              <w:t xml:space="preserve"> </w:t>
            </w:r>
            <w:proofErr w:type="spellStart"/>
            <w:r w:rsidRPr="008B584E">
              <w:t>nubila</w:t>
            </w:r>
            <w:proofErr w:type="spellEnd"/>
            <w:r w:rsidRPr="008B584E">
              <w:t xml:space="preserve"> on coconut</w:t>
            </w:r>
          </w:p>
        </w:tc>
        <w:tc>
          <w:tcPr>
            <w:tcW w:w="6725" w:type="dxa"/>
            <w:shd w:val="clear" w:color="auto" w:fill="auto"/>
          </w:tcPr>
          <w:p w:rsidR="00746A4D" w:rsidRPr="008B584E" w:rsidRDefault="00746A4D" w:rsidP="00746A4D">
            <w:pPr>
              <w:jc w:val="center"/>
            </w:pPr>
            <w:r>
              <w:t xml:space="preserve">Indonesia (Kei and Aru Islands, Ceram, </w:t>
            </w:r>
            <w:proofErr w:type="spellStart"/>
            <w:r>
              <w:t>Bacan</w:t>
            </w:r>
            <w:proofErr w:type="spellEnd"/>
            <w:r>
              <w:t xml:space="preserve">, Talaud and </w:t>
            </w:r>
            <w:proofErr w:type="spellStart"/>
            <w:r>
              <w:t>Napusa</w:t>
            </w:r>
            <w:proofErr w:type="spellEnd"/>
            <w:r>
              <w:t xml:space="preserve"> Islands, Irian Jaya)</w:t>
            </w:r>
          </w:p>
        </w:tc>
      </w:tr>
      <w:tr w:rsidR="00746A4D" w:rsidTr="00746A4D">
        <w:tc>
          <w:tcPr>
            <w:tcW w:w="2518" w:type="dxa"/>
            <w:shd w:val="clear" w:color="auto" w:fill="auto"/>
          </w:tcPr>
          <w:p w:rsidR="00746A4D" w:rsidRDefault="00746A4D" w:rsidP="00746A4D">
            <w:pPr>
              <w:jc w:val="center"/>
            </w:pPr>
            <w:r>
              <w:t xml:space="preserve">Trogoderma </w:t>
            </w:r>
            <w:proofErr w:type="spellStart"/>
            <w:proofErr w:type="gramStart"/>
            <w:r>
              <w:t>granarium</w:t>
            </w:r>
            <w:proofErr w:type="spellEnd"/>
            <w:r>
              <w:t xml:space="preserve">  (</w:t>
            </w:r>
            <w:proofErr w:type="spellStart"/>
            <w:proofErr w:type="gramEnd"/>
            <w:r>
              <w:t>Khapra</w:t>
            </w:r>
            <w:proofErr w:type="spellEnd"/>
            <w:r>
              <w:t xml:space="preserve"> beetle)</w:t>
            </w:r>
          </w:p>
        </w:tc>
        <w:tc>
          <w:tcPr>
            <w:tcW w:w="6725" w:type="dxa"/>
            <w:shd w:val="clear" w:color="auto" w:fill="auto"/>
          </w:tcPr>
          <w:p w:rsidR="00746A4D" w:rsidRDefault="00746A4D" w:rsidP="00746A4D">
            <w:pPr>
              <w:jc w:val="center"/>
            </w:pPr>
            <w:r w:rsidRPr="00746A4D">
              <w:t xml:space="preserve">Indonesia (Irian Jaya); Malaysia (Peninsular Malaysia); Philippines (Cagayan de </w:t>
            </w:r>
            <w:proofErr w:type="spellStart"/>
            <w:r w:rsidRPr="00746A4D">
              <w:t>Uro</w:t>
            </w:r>
            <w:proofErr w:type="spellEnd"/>
            <w:r w:rsidRPr="00746A4D">
              <w:t xml:space="preserve"> City, Mindanao)</w:t>
            </w:r>
          </w:p>
        </w:tc>
      </w:tr>
      <w:tr w:rsidR="00746A4D" w:rsidTr="00746A4D">
        <w:tc>
          <w:tcPr>
            <w:tcW w:w="2518" w:type="dxa"/>
            <w:shd w:val="clear" w:color="auto" w:fill="auto"/>
          </w:tcPr>
          <w:p w:rsidR="00746A4D" w:rsidRDefault="00746A4D" w:rsidP="00746A4D">
            <w:pPr>
              <w:jc w:val="center"/>
            </w:pPr>
            <w:proofErr w:type="spellStart"/>
            <w:r>
              <w:t>Acrocercops</w:t>
            </w:r>
            <w:proofErr w:type="spellEnd"/>
            <w:r>
              <w:t xml:space="preserve"> </w:t>
            </w:r>
            <w:proofErr w:type="spellStart"/>
            <w:r>
              <w:t>cramerella</w:t>
            </w:r>
            <w:proofErr w:type="spellEnd"/>
            <w:r>
              <w:t xml:space="preserve"> (Cocoa pod borer)</w:t>
            </w:r>
          </w:p>
        </w:tc>
        <w:tc>
          <w:tcPr>
            <w:tcW w:w="6725" w:type="dxa"/>
            <w:shd w:val="clear" w:color="auto" w:fill="auto"/>
          </w:tcPr>
          <w:p w:rsidR="00746A4D" w:rsidRDefault="00746A4D" w:rsidP="00746A4D">
            <w:pPr>
              <w:jc w:val="center"/>
            </w:pPr>
            <w:r w:rsidRPr="00746A4D">
              <w:t xml:space="preserve">Malaysia (Sabah); Philippines (Mindanao); Indonesia (Java, Halmahera, </w:t>
            </w:r>
            <w:proofErr w:type="spellStart"/>
            <w:r w:rsidRPr="00746A4D">
              <w:t>Sebatik</w:t>
            </w:r>
            <w:proofErr w:type="spellEnd"/>
            <w:r w:rsidRPr="00746A4D">
              <w:t xml:space="preserve"> Island)</w:t>
            </w:r>
          </w:p>
        </w:tc>
      </w:tr>
      <w:tr w:rsidR="00746A4D" w:rsidTr="00746A4D">
        <w:tc>
          <w:tcPr>
            <w:tcW w:w="2518" w:type="dxa"/>
            <w:shd w:val="clear" w:color="auto" w:fill="auto"/>
          </w:tcPr>
          <w:p w:rsidR="00746A4D" w:rsidRDefault="00746A4D" w:rsidP="00746A4D">
            <w:pPr>
              <w:jc w:val="center"/>
            </w:pPr>
            <w:r>
              <w:t>Bunchy top virus of banana</w:t>
            </w:r>
          </w:p>
        </w:tc>
        <w:tc>
          <w:tcPr>
            <w:tcW w:w="6725" w:type="dxa"/>
            <w:shd w:val="clear" w:color="auto" w:fill="auto"/>
          </w:tcPr>
          <w:p w:rsidR="00746A4D" w:rsidRDefault="00746A4D" w:rsidP="00746A4D">
            <w:pPr>
              <w:jc w:val="center"/>
            </w:pPr>
            <w:r w:rsidRPr="00746A4D">
              <w:t>Indonesia (Java)</w:t>
            </w:r>
          </w:p>
        </w:tc>
      </w:tr>
      <w:tr w:rsidR="00746A4D" w:rsidTr="00746A4D">
        <w:tc>
          <w:tcPr>
            <w:tcW w:w="2518" w:type="dxa"/>
            <w:shd w:val="clear" w:color="auto" w:fill="auto"/>
          </w:tcPr>
          <w:p w:rsidR="00746A4D" w:rsidRDefault="00746A4D" w:rsidP="00746A4D">
            <w:pPr>
              <w:jc w:val="center"/>
            </w:pPr>
            <w:r>
              <w:lastRenderedPageBreak/>
              <w:t xml:space="preserve">Pseudomonas </w:t>
            </w:r>
            <w:proofErr w:type="spellStart"/>
            <w:r>
              <w:t>solanaccarum</w:t>
            </w:r>
            <w:proofErr w:type="spellEnd"/>
          </w:p>
        </w:tc>
        <w:tc>
          <w:tcPr>
            <w:tcW w:w="6725" w:type="dxa"/>
            <w:shd w:val="clear" w:color="auto" w:fill="auto"/>
          </w:tcPr>
          <w:p w:rsidR="00746A4D" w:rsidRPr="00746A4D" w:rsidRDefault="00746A4D" w:rsidP="00746A4D">
            <w:pPr>
              <w:jc w:val="center"/>
            </w:pPr>
            <w:r>
              <w:t>Philippines (Davao)</w:t>
            </w:r>
          </w:p>
        </w:tc>
      </w:tr>
    </w:tbl>
    <w:p w:rsidR="00746A4D" w:rsidRDefault="00746A4D" w:rsidP="00081D05">
      <w:pPr>
        <w:pStyle w:val="ListParagraph"/>
        <w:numPr>
          <w:ilvl w:val="0"/>
          <w:numId w:val="2"/>
        </w:numPr>
        <w:ind w:left="360"/>
        <w:contextualSpacing w:val="0"/>
      </w:pPr>
      <w:r>
        <w:t xml:space="preserve">That the rest of the territories in each of the ASEAN countries are plant pest free zones. </w:t>
      </w:r>
    </w:p>
    <w:p w:rsidR="00746A4D" w:rsidRDefault="00746A4D" w:rsidP="00746A4D">
      <w:r>
        <w:t xml:space="preserve">The present Understanding may be reviewed at any time if the member countries deem necessary. </w:t>
      </w:r>
    </w:p>
    <w:p w:rsidR="00746A4D" w:rsidRDefault="00746A4D" w:rsidP="00746A4D">
      <w:bookmarkStart w:id="0" w:name="_GoBack"/>
      <w:bookmarkEnd w:id="0"/>
    </w:p>
    <w:p w:rsidR="00746A4D" w:rsidRPr="009C1F90" w:rsidRDefault="00746A4D" w:rsidP="00746A4D">
      <w:r>
        <w:t>DONE in Manila, Philippines on the Fifth of October, One Thousand Nine Hundred and Eighty Four in seven original copies in the English language.</w:t>
      </w:r>
    </w:p>
    <w:sectPr w:rsidR="00746A4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76" w:rsidRDefault="00C62676" w:rsidP="00F61B4F">
      <w:pPr>
        <w:spacing w:before="0" w:after="0" w:line="240" w:lineRule="auto"/>
      </w:pPr>
      <w:r>
        <w:separator/>
      </w:r>
    </w:p>
  </w:endnote>
  <w:endnote w:type="continuationSeparator" w:id="0">
    <w:p w:rsidR="00C62676" w:rsidRDefault="00C6267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4453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4453F">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76" w:rsidRDefault="00C62676" w:rsidP="00F61B4F">
      <w:pPr>
        <w:spacing w:before="0" w:after="0" w:line="240" w:lineRule="auto"/>
      </w:pPr>
      <w:r>
        <w:separator/>
      </w:r>
    </w:p>
  </w:footnote>
  <w:footnote w:type="continuationSeparator" w:id="0">
    <w:p w:rsidR="00C62676" w:rsidRDefault="00C6267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746A4D" w:rsidP="00081D05">
    <w:pPr>
      <w:pStyle w:val="Header"/>
      <w:pBdr>
        <w:bottom w:val="single" w:sz="4" w:space="1" w:color="auto"/>
      </w:pBdr>
      <w:rPr>
        <w:rFonts w:cs="Arial"/>
        <w:caps/>
        <w:color w:val="808080"/>
        <w:sz w:val="16"/>
        <w:szCs w:val="16"/>
      </w:rPr>
    </w:pPr>
    <w:r>
      <w:rPr>
        <w:rFonts w:cs="Arial"/>
        <w:caps/>
        <w:color w:val="808080"/>
        <w:sz w:val="16"/>
        <w:szCs w:val="16"/>
      </w:rPr>
      <w:t>1984 ASEAN ministerial understanding on plant pest free zone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27D73"/>
    <w:multiLevelType w:val="hybridMultilevel"/>
    <w:tmpl w:val="E46A46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0C636C5"/>
    <w:multiLevelType w:val="hybridMultilevel"/>
    <w:tmpl w:val="6E88BC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4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D05"/>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6D01"/>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5AAA"/>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2763"/>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6A4D"/>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2676"/>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53F"/>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A82"/>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F2FE"/>
  <w15:chartTrackingRefBased/>
  <w15:docId w15:val="{E2581A86-CCF2-47CA-BE97-F1D2CBD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74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2346-064A-40BF-B9B3-85F5D8E2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2019-11-20T02:38:00Z</dcterms:created>
  <dcterms:modified xsi:type="dcterms:W3CDTF">2019-11-20T02:38:00Z</dcterms:modified>
</cp:coreProperties>
</file>