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050985" w:rsidP="00E64615">
      <w:pPr>
        <w:pStyle w:val="CILTitle"/>
      </w:pPr>
      <w:bookmarkStart w:id="0" w:name="_Toc31717535"/>
      <w:r w:rsidRPr="00050985">
        <w:t xml:space="preserve">1992 </w:t>
      </w:r>
      <w:r w:rsidR="00116147">
        <w:t xml:space="preserve">Protocol to amend the </w:t>
      </w:r>
      <w:r w:rsidRPr="00050985">
        <w:t>International Convention on Civil Liability for Oil Pollution Damage</w:t>
      </w:r>
      <w:r w:rsidR="00EE1143">
        <w:t>, 1969</w:t>
      </w:r>
      <w:bookmarkEnd w:id="0"/>
    </w:p>
    <w:p w:rsidR="00050985" w:rsidRDefault="00050985" w:rsidP="00D11DE9">
      <w:pPr>
        <w:pStyle w:val="CILSubtitle"/>
      </w:pPr>
      <w:r>
        <w:t>Adopted in London, United Kingdom on 27 November 1992</w:t>
      </w:r>
    </w:p>
    <w:p w:rsidR="00422344" w:rsidRDefault="00422344" w:rsidP="00D11DE9">
      <w:pPr>
        <w:pStyle w:val="CILSubtitle"/>
      </w:pPr>
    </w:p>
    <w:p w:rsidR="00E64615" w:rsidRDefault="00422344" w:rsidP="00E64615">
      <w:pPr>
        <w:pStyle w:val="TOC2"/>
        <w:tabs>
          <w:tab w:val="right" w:leader="dot" w:pos="9017"/>
        </w:tabs>
        <w:ind w:left="90"/>
        <w:rPr>
          <w:rFonts w:asciiTheme="minorHAnsi" w:eastAsiaTheme="minorEastAsia" w:hAnsiTheme="minorHAnsi" w:cstheme="minorBidi"/>
          <w:bCs w:val="0"/>
          <w:caps w:val="0"/>
          <w:noProof/>
          <w:sz w:val="22"/>
          <w:szCs w:val="22"/>
        </w:rPr>
      </w:pPr>
      <w:r>
        <w:fldChar w:fldCharType="begin"/>
      </w:r>
      <w:r>
        <w:instrText xml:space="preserve"> TOC \o "1-3" \h \z \u </w:instrText>
      </w:r>
      <w:r>
        <w:fldChar w:fldCharType="separate"/>
      </w:r>
      <w:hyperlink w:anchor="_Toc31717535" w:history="1">
        <w:r w:rsidR="00E64615" w:rsidRPr="0069184B">
          <w:rPr>
            <w:rStyle w:val="Hyperlink"/>
            <w:noProof/>
          </w:rPr>
          <w:t>1992 Protocol to amend the International Convention on Civil Liability for Oil Pollution Damage, 1969</w:t>
        </w:r>
        <w:r w:rsidR="00E64615">
          <w:rPr>
            <w:noProof/>
            <w:webHidden/>
          </w:rPr>
          <w:tab/>
        </w:r>
        <w:r w:rsidR="00E64615">
          <w:rPr>
            <w:noProof/>
            <w:webHidden/>
          </w:rPr>
          <w:fldChar w:fldCharType="begin"/>
        </w:r>
        <w:r w:rsidR="00E64615">
          <w:rPr>
            <w:noProof/>
            <w:webHidden/>
          </w:rPr>
          <w:instrText xml:space="preserve"> PAGEREF _Toc31717535 \h </w:instrText>
        </w:r>
        <w:r w:rsidR="00E64615">
          <w:rPr>
            <w:noProof/>
            <w:webHidden/>
          </w:rPr>
        </w:r>
        <w:r w:rsidR="00E64615">
          <w:rPr>
            <w:noProof/>
            <w:webHidden/>
          </w:rPr>
          <w:fldChar w:fldCharType="separate"/>
        </w:r>
        <w:r w:rsidR="00E64615">
          <w:rPr>
            <w:noProof/>
            <w:webHidden/>
          </w:rPr>
          <w:t>1</w:t>
        </w:r>
        <w:r w:rsidR="00E64615">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36" w:history="1">
        <w:r w:rsidRPr="0069184B">
          <w:rPr>
            <w:rStyle w:val="Hyperlink"/>
            <w:noProof/>
          </w:rPr>
          <w:t>Article 1</w:t>
        </w:r>
        <w:r>
          <w:rPr>
            <w:noProof/>
            <w:webHidden/>
          </w:rPr>
          <w:tab/>
        </w:r>
        <w:r>
          <w:rPr>
            <w:noProof/>
            <w:webHidden/>
          </w:rPr>
          <w:fldChar w:fldCharType="begin"/>
        </w:r>
        <w:r>
          <w:rPr>
            <w:noProof/>
            <w:webHidden/>
          </w:rPr>
          <w:instrText xml:space="preserve"> PAGEREF _Toc31717536 \h </w:instrText>
        </w:r>
        <w:r>
          <w:rPr>
            <w:noProof/>
            <w:webHidden/>
          </w:rPr>
        </w:r>
        <w:r>
          <w:rPr>
            <w:noProof/>
            <w:webHidden/>
          </w:rPr>
          <w:fldChar w:fldCharType="separate"/>
        </w:r>
        <w:r>
          <w:rPr>
            <w:noProof/>
            <w:webHidden/>
          </w:rPr>
          <w:t>2</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37" w:history="1">
        <w:r w:rsidRPr="0069184B">
          <w:rPr>
            <w:rStyle w:val="Hyperlink"/>
            <w:noProof/>
          </w:rPr>
          <w:t>Article 2</w:t>
        </w:r>
        <w:r>
          <w:rPr>
            <w:noProof/>
            <w:webHidden/>
          </w:rPr>
          <w:tab/>
        </w:r>
        <w:r>
          <w:rPr>
            <w:noProof/>
            <w:webHidden/>
          </w:rPr>
          <w:fldChar w:fldCharType="begin"/>
        </w:r>
        <w:r>
          <w:rPr>
            <w:noProof/>
            <w:webHidden/>
          </w:rPr>
          <w:instrText xml:space="preserve"> PAGEREF _Toc31717537 \h </w:instrText>
        </w:r>
        <w:r>
          <w:rPr>
            <w:noProof/>
            <w:webHidden/>
          </w:rPr>
        </w:r>
        <w:r>
          <w:rPr>
            <w:noProof/>
            <w:webHidden/>
          </w:rPr>
          <w:fldChar w:fldCharType="separate"/>
        </w:r>
        <w:r>
          <w:rPr>
            <w:noProof/>
            <w:webHidden/>
          </w:rPr>
          <w:t>2</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38" w:history="1">
        <w:r w:rsidRPr="0069184B">
          <w:rPr>
            <w:rStyle w:val="Hyperlink"/>
            <w:noProof/>
          </w:rPr>
          <w:t>Article 3</w:t>
        </w:r>
        <w:r>
          <w:rPr>
            <w:noProof/>
            <w:webHidden/>
          </w:rPr>
          <w:tab/>
        </w:r>
        <w:r>
          <w:rPr>
            <w:noProof/>
            <w:webHidden/>
          </w:rPr>
          <w:fldChar w:fldCharType="begin"/>
        </w:r>
        <w:r>
          <w:rPr>
            <w:noProof/>
            <w:webHidden/>
          </w:rPr>
          <w:instrText xml:space="preserve"> PAGEREF _Toc31717538 \h </w:instrText>
        </w:r>
        <w:r>
          <w:rPr>
            <w:noProof/>
            <w:webHidden/>
          </w:rPr>
        </w:r>
        <w:r>
          <w:rPr>
            <w:noProof/>
            <w:webHidden/>
          </w:rPr>
          <w:fldChar w:fldCharType="separate"/>
        </w:r>
        <w:r>
          <w:rPr>
            <w:noProof/>
            <w:webHidden/>
          </w:rPr>
          <w:t>3</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39" w:history="1">
        <w:r w:rsidRPr="0069184B">
          <w:rPr>
            <w:rStyle w:val="Hyperlink"/>
            <w:noProof/>
          </w:rPr>
          <w:t>Article 4</w:t>
        </w:r>
        <w:r>
          <w:rPr>
            <w:noProof/>
            <w:webHidden/>
          </w:rPr>
          <w:tab/>
        </w:r>
        <w:r>
          <w:rPr>
            <w:noProof/>
            <w:webHidden/>
          </w:rPr>
          <w:fldChar w:fldCharType="begin"/>
        </w:r>
        <w:r>
          <w:rPr>
            <w:noProof/>
            <w:webHidden/>
          </w:rPr>
          <w:instrText xml:space="preserve"> PAGEREF _Toc31717539 \h </w:instrText>
        </w:r>
        <w:r>
          <w:rPr>
            <w:noProof/>
            <w:webHidden/>
          </w:rPr>
        </w:r>
        <w:r>
          <w:rPr>
            <w:noProof/>
            <w:webHidden/>
          </w:rPr>
          <w:fldChar w:fldCharType="separate"/>
        </w:r>
        <w:r>
          <w:rPr>
            <w:noProof/>
            <w:webHidden/>
          </w:rPr>
          <w:t>3</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40" w:history="1">
        <w:r w:rsidRPr="0069184B">
          <w:rPr>
            <w:rStyle w:val="Hyperlink"/>
            <w:noProof/>
          </w:rPr>
          <w:t>Article 5</w:t>
        </w:r>
        <w:r>
          <w:rPr>
            <w:noProof/>
            <w:webHidden/>
          </w:rPr>
          <w:tab/>
        </w:r>
        <w:r>
          <w:rPr>
            <w:noProof/>
            <w:webHidden/>
          </w:rPr>
          <w:fldChar w:fldCharType="begin"/>
        </w:r>
        <w:r>
          <w:rPr>
            <w:noProof/>
            <w:webHidden/>
          </w:rPr>
          <w:instrText xml:space="preserve"> PAGEREF _Toc31717540 \h </w:instrText>
        </w:r>
        <w:r>
          <w:rPr>
            <w:noProof/>
            <w:webHidden/>
          </w:rPr>
        </w:r>
        <w:r>
          <w:rPr>
            <w:noProof/>
            <w:webHidden/>
          </w:rPr>
          <w:fldChar w:fldCharType="separate"/>
        </w:r>
        <w:r>
          <w:rPr>
            <w:noProof/>
            <w:webHidden/>
          </w:rPr>
          <w:t>4</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41" w:history="1">
        <w:r w:rsidRPr="0069184B">
          <w:rPr>
            <w:rStyle w:val="Hyperlink"/>
            <w:noProof/>
          </w:rPr>
          <w:t>Article 6</w:t>
        </w:r>
        <w:r>
          <w:rPr>
            <w:noProof/>
            <w:webHidden/>
          </w:rPr>
          <w:tab/>
        </w:r>
        <w:r>
          <w:rPr>
            <w:noProof/>
            <w:webHidden/>
          </w:rPr>
          <w:fldChar w:fldCharType="begin"/>
        </w:r>
        <w:r>
          <w:rPr>
            <w:noProof/>
            <w:webHidden/>
          </w:rPr>
          <w:instrText xml:space="preserve"> PAGEREF _Toc31717541 \h </w:instrText>
        </w:r>
        <w:r>
          <w:rPr>
            <w:noProof/>
            <w:webHidden/>
          </w:rPr>
        </w:r>
        <w:r>
          <w:rPr>
            <w:noProof/>
            <w:webHidden/>
          </w:rPr>
          <w:fldChar w:fldCharType="separate"/>
        </w:r>
        <w:r>
          <w:rPr>
            <w:noProof/>
            <w:webHidden/>
          </w:rPr>
          <w:t>4</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42" w:history="1">
        <w:r w:rsidRPr="0069184B">
          <w:rPr>
            <w:rStyle w:val="Hyperlink"/>
            <w:noProof/>
          </w:rPr>
          <w:t>Article 7</w:t>
        </w:r>
        <w:r>
          <w:rPr>
            <w:noProof/>
            <w:webHidden/>
          </w:rPr>
          <w:tab/>
        </w:r>
        <w:r>
          <w:rPr>
            <w:noProof/>
            <w:webHidden/>
          </w:rPr>
          <w:fldChar w:fldCharType="begin"/>
        </w:r>
        <w:r>
          <w:rPr>
            <w:noProof/>
            <w:webHidden/>
          </w:rPr>
          <w:instrText xml:space="preserve"> PAGEREF _Toc31717542 \h </w:instrText>
        </w:r>
        <w:r>
          <w:rPr>
            <w:noProof/>
            <w:webHidden/>
          </w:rPr>
        </w:r>
        <w:r>
          <w:rPr>
            <w:noProof/>
            <w:webHidden/>
          </w:rPr>
          <w:fldChar w:fldCharType="separate"/>
        </w:r>
        <w:r>
          <w:rPr>
            <w:noProof/>
            <w:webHidden/>
          </w:rPr>
          <w:t>6</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43" w:history="1">
        <w:r w:rsidRPr="0069184B">
          <w:rPr>
            <w:rStyle w:val="Hyperlink"/>
            <w:noProof/>
          </w:rPr>
          <w:t>Article 8</w:t>
        </w:r>
        <w:r>
          <w:rPr>
            <w:noProof/>
            <w:webHidden/>
          </w:rPr>
          <w:tab/>
        </w:r>
        <w:r>
          <w:rPr>
            <w:noProof/>
            <w:webHidden/>
          </w:rPr>
          <w:fldChar w:fldCharType="begin"/>
        </w:r>
        <w:r>
          <w:rPr>
            <w:noProof/>
            <w:webHidden/>
          </w:rPr>
          <w:instrText xml:space="preserve"> PAGEREF _Toc31717543 \h </w:instrText>
        </w:r>
        <w:r>
          <w:rPr>
            <w:noProof/>
            <w:webHidden/>
          </w:rPr>
        </w:r>
        <w:r>
          <w:rPr>
            <w:noProof/>
            <w:webHidden/>
          </w:rPr>
          <w:fldChar w:fldCharType="separate"/>
        </w:r>
        <w:r>
          <w:rPr>
            <w:noProof/>
            <w:webHidden/>
          </w:rPr>
          <w:t>7</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44" w:history="1">
        <w:r w:rsidRPr="0069184B">
          <w:rPr>
            <w:rStyle w:val="Hyperlink"/>
            <w:noProof/>
          </w:rPr>
          <w:t>Article 9</w:t>
        </w:r>
        <w:r>
          <w:rPr>
            <w:noProof/>
            <w:webHidden/>
          </w:rPr>
          <w:tab/>
        </w:r>
        <w:r>
          <w:rPr>
            <w:noProof/>
            <w:webHidden/>
          </w:rPr>
          <w:fldChar w:fldCharType="begin"/>
        </w:r>
        <w:r>
          <w:rPr>
            <w:noProof/>
            <w:webHidden/>
          </w:rPr>
          <w:instrText xml:space="preserve"> PAGEREF _Toc31717544 \h </w:instrText>
        </w:r>
        <w:r>
          <w:rPr>
            <w:noProof/>
            <w:webHidden/>
          </w:rPr>
        </w:r>
        <w:r>
          <w:rPr>
            <w:noProof/>
            <w:webHidden/>
          </w:rPr>
          <w:fldChar w:fldCharType="separate"/>
        </w:r>
        <w:r>
          <w:rPr>
            <w:noProof/>
            <w:webHidden/>
          </w:rPr>
          <w:t>7</w:t>
        </w:r>
        <w:r>
          <w:rPr>
            <w:noProof/>
            <w:webHidden/>
          </w:rPr>
          <w:fldChar w:fldCharType="end"/>
        </w:r>
      </w:hyperlink>
    </w:p>
    <w:p w:rsidR="00E64615" w:rsidRDefault="00E64615">
      <w:pPr>
        <w:pStyle w:val="TOC3"/>
        <w:tabs>
          <w:tab w:val="right" w:leader="dot" w:pos="9017"/>
        </w:tabs>
        <w:rPr>
          <w:rFonts w:asciiTheme="minorHAnsi" w:eastAsiaTheme="minorEastAsia" w:hAnsiTheme="minorHAnsi" w:cstheme="minorBidi"/>
          <w:caps w:val="0"/>
          <w:noProof/>
          <w:sz w:val="22"/>
          <w:szCs w:val="22"/>
        </w:rPr>
      </w:pPr>
      <w:hyperlink w:anchor="_Toc31717545" w:history="1">
        <w:r w:rsidRPr="0069184B">
          <w:rPr>
            <w:rStyle w:val="Hyperlink"/>
            <w:noProof/>
          </w:rPr>
          <w:t>Article XII bis Transitional provisions</w:t>
        </w:r>
        <w:r>
          <w:rPr>
            <w:noProof/>
            <w:webHidden/>
          </w:rPr>
          <w:tab/>
        </w:r>
        <w:r>
          <w:rPr>
            <w:noProof/>
            <w:webHidden/>
          </w:rPr>
          <w:fldChar w:fldCharType="begin"/>
        </w:r>
        <w:r>
          <w:rPr>
            <w:noProof/>
            <w:webHidden/>
          </w:rPr>
          <w:instrText xml:space="preserve"> PAGEREF _Toc31717545 \h </w:instrText>
        </w:r>
        <w:r>
          <w:rPr>
            <w:noProof/>
            <w:webHidden/>
          </w:rPr>
        </w:r>
        <w:r>
          <w:rPr>
            <w:noProof/>
            <w:webHidden/>
          </w:rPr>
          <w:fldChar w:fldCharType="separate"/>
        </w:r>
        <w:r>
          <w:rPr>
            <w:noProof/>
            <w:webHidden/>
          </w:rPr>
          <w:t>7</w:t>
        </w:r>
        <w:r>
          <w:rPr>
            <w:noProof/>
            <w:webHidden/>
          </w:rPr>
          <w:fldChar w:fldCharType="end"/>
        </w:r>
      </w:hyperlink>
    </w:p>
    <w:p w:rsidR="00E64615" w:rsidRDefault="00E64615">
      <w:pPr>
        <w:pStyle w:val="TOC3"/>
        <w:tabs>
          <w:tab w:val="right" w:leader="dot" w:pos="9017"/>
        </w:tabs>
        <w:rPr>
          <w:rFonts w:asciiTheme="minorHAnsi" w:eastAsiaTheme="minorEastAsia" w:hAnsiTheme="minorHAnsi" w:cstheme="minorBidi"/>
          <w:caps w:val="0"/>
          <w:noProof/>
          <w:sz w:val="22"/>
          <w:szCs w:val="22"/>
        </w:rPr>
      </w:pPr>
      <w:hyperlink w:anchor="_Toc31717546" w:history="1">
        <w:r w:rsidRPr="0069184B">
          <w:rPr>
            <w:rStyle w:val="Hyperlink"/>
            <w:noProof/>
          </w:rPr>
          <w:t>Article XII ter Final clauses</w:t>
        </w:r>
        <w:r>
          <w:rPr>
            <w:noProof/>
            <w:webHidden/>
          </w:rPr>
          <w:tab/>
        </w:r>
        <w:r>
          <w:rPr>
            <w:noProof/>
            <w:webHidden/>
          </w:rPr>
          <w:fldChar w:fldCharType="begin"/>
        </w:r>
        <w:r>
          <w:rPr>
            <w:noProof/>
            <w:webHidden/>
          </w:rPr>
          <w:instrText xml:space="preserve"> PAGEREF _Toc31717546 \h </w:instrText>
        </w:r>
        <w:r>
          <w:rPr>
            <w:noProof/>
            <w:webHidden/>
          </w:rPr>
        </w:r>
        <w:r>
          <w:rPr>
            <w:noProof/>
            <w:webHidden/>
          </w:rPr>
          <w:fldChar w:fldCharType="separate"/>
        </w:r>
        <w:r>
          <w:rPr>
            <w:noProof/>
            <w:webHidden/>
          </w:rPr>
          <w:t>7</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47" w:history="1">
        <w:r w:rsidRPr="0069184B">
          <w:rPr>
            <w:rStyle w:val="Hyperlink"/>
            <w:noProof/>
          </w:rPr>
          <w:t>Article 10</w:t>
        </w:r>
        <w:r>
          <w:rPr>
            <w:noProof/>
            <w:webHidden/>
          </w:rPr>
          <w:tab/>
        </w:r>
        <w:r>
          <w:rPr>
            <w:noProof/>
            <w:webHidden/>
          </w:rPr>
          <w:fldChar w:fldCharType="begin"/>
        </w:r>
        <w:r>
          <w:rPr>
            <w:noProof/>
            <w:webHidden/>
          </w:rPr>
          <w:instrText xml:space="preserve"> PAGEREF _Toc31717547 \h </w:instrText>
        </w:r>
        <w:r>
          <w:rPr>
            <w:noProof/>
            <w:webHidden/>
          </w:rPr>
        </w:r>
        <w:r>
          <w:rPr>
            <w:noProof/>
            <w:webHidden/>
          </w:rPr>
          <w:fldChar w:fldCharType="separate"/>
        </w:r>
        <w:r>
          <w:rPr>
            <w:noProof/>
            <w:webHidden/>
          </w:rPr>
          <w:t>7</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48" w:history="1">
        <w:r w:rsidRPr="0069184B">
          <w:rPr>
            <w:rStyle w:val="Hyperlink"/>
            <w:noProof/>
          </w:rPr>
          <w:t>Article 11</w:t>
        </w:r>
        <w:r>
          <w:rPr>
            <w:noProof/>
            <w:webHidden/>
          </w:rPr>
          <w:tab/>
        </w:r>
        <w:r>
          <w:rPr>
            <w:noProof/>
            <w:webHidden/>
          </w:rPr>
          <w:fldChar w:fldCharType="begin"/>
        </w:r>
        <w:r>
          <w:rPr>
            <w:noProof/>
            <w:webHidden/>
          </w:rPr>
          <w:instrText xml:space="preserve"> PAGEREF _Toc31717548 \h </w:instrText>
        </w:r>
        <w:r>
          <w:rPr>
            <w:noProof/>
            <w:webHidden/>
          </w:rPr>
        </w:r>
        <w:r>
          <w:rPr>
            <w:noProof/>
            <w:webHidden/>
          </w:rPr>
          <w:fldChar w:fldCharType="separate"/>
        </w:r>
        <w:r>
          <w:rPr>
            <w:noProof/>
            <w:webHidden/>
          </w:rPr>
          <w:t>8</w:t>
        </w:r>
        <w:r>
          <w:rPr>
            <w:noProof/>
            <w:webHidden/>
          </w:rPr>
          <w:fldChar w:fldCharType="end"/>
        </w:r>
      </w:hyperlink>
    </w:p>
    <w:p w:rsidR="00E64615" w:rsidRDefault="00E64615">
      <w:pPr>
        <w:pStyle w:val="TOC1"/>
        <w:tabs>
          <w:tab w:val="right" w:leader="dot" w:pos="9017"/>
        </w:tabs>
        <w:rPr>
          <w:rFonts w:asciiTheme="minorHAnsi" w:eastAsiaTheme="minorEastAsia" w:hAnsiTheme="minorHAnsi" w:cstheme="minorBidi"/>
          <w:caps w:val="0"/>
          <w:noProof/>
          <w:sz w:val="22"/>
          <w:szCs w:val="22"/>
        </w:rPr>
      </w:pPr>
      <w:hyperlink w:anchor="_Toc31717549" w:history="1">
        <w:r w:rsidRPr="0069184B">
          <w:rPr>
            <w:rStyle w:val="Hyperlink"/>
            <w:noProof/>
          </w:rPr>
          <w:t>FINAL CLAUSES</w:t>
        </w:r>
        <w:r>
          <w:rPr>
            <w:noProof/>
            <w:webHidden/>
          </w:rPr>
          <w:tab/>
        </w:r>
        <w:r>
          <w:rPr>
            <w:noProof/>
            <w:webHidden/>
          </w:rPr>
          <w:fldChar w:fldCharType="begin"/>
        </w:r>
        <w:r>
          <w:rPr>
            <w:noProof/>
            <w:webHidden/>
          </w:rPr>
          <w:instrText xml:space="preserve"> PAGEREF _Toc31717549 \h </w:instrText>
        </w:r>
        <w:r>
          <w:rPr>
            <w:noProof/>
            <w:webHidden/>
          </w:rPr>
        </w:r>
        <w:r>
          <w:rPr>
            <w:noProof/>
            <w:webHidden/>
          </w:rPr>
          <w:fldChar w:fldCharType="separate"/>
        </w:r>
        <w:r>
          <w:rPr>
            <w:noProof/>
            <w:webHidden/>
          </w:rPr>
          <w:t>8</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50" w:history="1">
        <w:r w:rsidRPr="0069184B">
          <w:rPr>
            <w:rStyle w:val="Hyperlink"/>
            <w:noProof/>
          </w:rPr>
          <w:t>Article 12 Signature, ratification, acceptance, approval and accession</w:t>
        </w:r>
        <w:r>
          <w:rPr>
            <w:noProof/>
            <w:webHidden/>
          </w:rPr>
          <w:tab/>
        </w:r>
        <w:r>
          <w:rPr>
            <w:noProof/>
            <w:webHidden/>
          </w:rPr>
          <w:fldChar w:fldCharType="begin"/>
        </w:r>
        <w:r>
          <w:rPr>
            <w:noProof/>
            <w:webHidden/>
          </w:rPr>
          <w:instrText xml:space="preserve"> PAGEREF _Toc31717550 \h </w:instrText>
        </w:r>
        <w:r>
          <w:rPr>
            <w:noProof/>
            <w:webHidden/>
          </w:rPr>
        </w:r>
        <w:r>
          <w:rPr>
            <w:noProof/>
            <w:webHidden/>
          </w:rPr>
          <w:fldChar w:fldCharType="separate"/>
        </w:r>
        <w:r>
          <w:rPr>
            <w:noProof/>
            <w:webHidden/>
          </w:rPr>
          <w:t>8</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51" w:history="1">
        <w:r w:rsidRPr="0069184B">
          <w:rPr>
            <w:rStyle w:val="Hyperlink"/>
            <w:noProof/>
          </w:rPr>
          <w:t>Article 13 Entry into force</w:t>
        </w:r>
        <w:r>
          <w:rPr>
            <w:noProof/>
            <w:webHidden/>
          </w:rPr>
          <w:tab/>
        </w:r>
        <w:r>
          <w:rPr>
            <w:noProof/>
            <w:webHidden/>
          </w:rPr>
          <w:fldChar w:fldCharType="begin"/>
        </w:r>
        <w:r>
          <w:rPr>
            <w:noProof/>
            <w:webHidden/>
          </w:rPr>
          <w:instrText xml:space="preserve"> PAGEREF _Toc31717551 \h </w:instrText>
        </w:r>
        <w:r>
          <w:rPr>
            <w:noProof/>
            <w:webHidden/>
          </w:rPr>
        </w:r>
        <w:r>
          <w:rPr>
            <w:noProof/>
            <w:webHidden/>
          </w:rPr>
          <w:fldChar w:fldCharType="separate"/>
        </w:r>
        <w:r>
          <w:rPr>
            <w:noProof/>
            <w:webHidden/>
          </w:rPr>
          <w:t>8</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52" w:history="1">
        <w:r w:rsidRPr="0069184B">
          <w:rPr>
            <w:rStyle w:val="Hyperlink"/>
            <w:noProof/>
          </w:rPr>
          <w:t>Article 14 Revision and amendment</w:t>
        </w:r>
        <w:r>
          <w:rPr>
            <w:noProof/>
            <w:webHidden/>
          </w:rPr>
          <w:tab/>
        </w:r>
        <w:r>
          <w:rPr>
            <w:noProof/>
            <w:webHidden/>
          </w:rPr>
          <w:fldChar w:fldCharType="begin"/>
        </w:r>
        <w:r>
          <w:rPr>
            <w:noProof/>
            <w:webHidden/>
          </w:rPr>
          <w:instrText xml:space="preserve"> PAGEREF _Toc31717552 \h </w:instrText>
        </w:r>
        <w:r>
          <w:rPr>
            <w:noProof/>
            <w:webHidden/>
          </w:rPr>
        </w:r>
        <w:r>
          <w:rPr>
            <w:noProof/>
            <w:webHidden/>
          </w:rPr>
          <w:fldChar w:fldCharType="separate"/>
        </w:r>
        <w:r>
          <w:rPr>
            <w:noProof/>
            <w:webHidden/>
          </w:rPr>
          <w:t>9</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53" w:history="1">
        <w:r w:rsidRPr="0069184B">
          <w:rPr>
            <w:rStyle w:val="Hyperlink"/>
            <w:noProof/>
          </w:rPr>
          <w:t>Article 15 Amendments of limitation amounts</w:t>
        </w:r>
        <w:r>
          <w:rPr>
            <w:noProof/>
            <w:webHidden/>
          </w:rPr>
          <w:tab/>
        </w:r>
        <w:r>
          <w:rPr>
            <w:noProof/>
            <w:webHidden/>
          </w:rPr>
          <w:fldChar w:fldCharType="begin"/>
        </w:r>
        <w:r>
          <w:rPr>
            <w:noProof/>
            <w:webHidden/>
          </w:rPr>
          <w:instrText xml:space="preserve"> PAGEREF _Toc31717553 \h </w:instrText>
        </w:r>
        <w:r>
          <w:rPr>
            <w:noProof/>
            <w:webHidden/>
          </w:rPr>
        </w:r>
        <w:r>
          <w:rPr>
            <w:noProof/>
            <w:webHidden/>
          </w:rPr>
          <w:fldChar w:fldCharType="separate"/>
        </w:r>
        <w:r>
          <w:rPr>
            <w:noProof/>
            <w:webHidden/>
          </w:rPr>
          <w:t>9</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54" w:history="1">
        <w:r w:rsidRPr="0069184B">
          <w:rPr>
            <w:rStyle w:val="Hyperlink"/>
            <w:noProof/>
          </w:rPr>
          <w:t>Article 16 Denunciation</w:t>
        </w:r>
        <w:r>
          <w:rPr>
            <w:noProof/>
            <w:webHidden/>
          </w:rPr>
          <w:tab/>
        </w:r>
        <w:r>
          <w:rPr>
            <w:noProof/>
            <w:webHidden/>
          </w:rPr>
          <w:fldChar w:fldCharType="begin"/>
        </w:r>
        <w:r>
          <w:rPr>
            <w:noProof/>
            <w:webHidden/>
          </w:rPr>
          <w:instrText xml:space="preserve"> PAGEREF _Toc31717554 \h </w:instrText>
        </w:r>
        <w:r>
          <w:rPr>
            <w:noProof/>
            <w:webHidden/>
          </w:rPr>
        </w:r>
        <w:r>
          <w:rPr>
            <w:noProof/>
            <w:webHidden/>
          </w:rPr>
          <w:fldChar w:fldCharType="separate"/>
        </w:r>
        <w:r>
          <w:rPr>
            <w:noProof/>
            <w:webHidden/>
          </w:rPr>
          <w:t>10</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55" w:history="1">
        <w:r w:rsidRPr="0069184B">
          <w:rPr>
            <w:rStyle w:val="Hyperlink"/>
            <w:noProof/>
          </w:rPr>
          <w:t>Article 17 Depositary</w:t>
        </w:r>
        <w:r>
          <w:rPr>
            <w:noProof/>
            <w:webHidden/>
          </w:rPr>
          <w:tab/>
        </w:r>
        <w:r>
          <w:rPr>
            <w:noProof/>
            <w:webHidden/>
          </w:rPr>
          <w:fldChar w:fldCharType="begin"/>
        </w:r>
        <w:r>
          <w:rPr>
            <w:noProof/>
            <w:webHidden/>
          </w:rPr>
          <w:instrText xml:space="preserve"> PAGEREF _Toc31717555 \h </w:instrText>
        </w:r>
        <w:r>
          <w:rPr>
            <w:noProof/>
            <w:webHidden/>
          </w:rPr>
        </w:r>
        <w:r>
          <w:rPr>
            <w:noProof/>
            <w:webHidden/>
          </w:rPr>
          <w:fldChar w:fldCharType="separate"/>
        </w:r>
        <w:r>
          <w:rPr>
            <w:noProof/>
            <w:webHidden/>
          </w:rPr>
          <w:t>11</w:t>
        </w:r>
        <w:r>
          <w:rPr>
            <w:noProof/>
            <w:webHidden/>
          </w:rPr>
          <w:fldChar w:fldCharType="end"/>
        </w:r>
      </w:hyperlink>
    </w:p>
    <w:p w:rsidR="00E64615" w:rsidRDefault="00E64615">
      <w:pPr>
        <w:pStyle w:val="TOC2"/>
        <w:tabs>
          <w:tab w:val="right" w:leader="dot" w:pos="9017"/>
        </w:tabs>
        <w:rPr>
          <w:rFonts w:asciiTheme="minorHAnsi" w:eastAsiaTheme="minorEastAsia" w:hAnsiTheme="minorHAnsi" w:cstheme="minorBidi"/>
          <w:bCs w:val="0"/>
          <w:caps w:val="0"/>
          <w:noProof/>
          <w:sz w:val="22"/>
          <w:szCs w:val="22"/>
        </w:rPr>
      </w:pPr>
      <w:hyperlink w:anchor="_Toc31717556" w:history="1">
        <w:r w:rsidRPr="0069184B">
          <w:rPr>
            <w:rStyle w:val="Hyperlink"/>
            <w:noProof/>
          </w:rPr>
          <w:t>Article 18 Languages</w:t>
        </w:r>
        <w:r>
          <w:rPr>
            <w:noProof/>
            <w:webHidden/>
          </w:rPr>
          <w:tab/>
        </w:r>
        <w:r>
          <w:rPr>
            <w:noProof/>
            <w:webHidden/>
          </w:rPr>
          <w:fldChar w:fldCharType="begin"/>
        </w:r>
        <w:r>
          <w:rPr>
            <w:noProof/>
            <w:webHidden/>
          </w:rPr>
          <w:instrText xml:space="preserve"> PAGEREF _Toc31717556 \h </w:instrText>
        </w:r>
        <w:r>
          <w:rPr>
            <w:noProof/>
            <w:webHidden/>
          </w:rPr>
        </w:r>
        <w:r>
          <w:rPr>
            <w:noProof/>
            <w:webHidden/>
          </w:rPr>
          <w:fldChar w:fldCharType="separate"/>
        </w:r>
        <w:r>
          <w:rPr>
            <w:noProof/>
            <w:webHidden/>
          </w:rPr>
          <w:t>11</w:t>
        </w:r>
        <w:r>
          <w:rPr>
            <w:noProof/>
            <w:webHidden/>
          </w:rPr>
          <w:fldChar w:fldCharType="end"/>
        </w:r>
      </w:hyperlink>
    </w:p>
    <w:p w:rsidR="00E64615" w:rsidRDefault="00E64615">
      <w:pPr>
        <w:pStyle w:val="TOC1"/>
        <w:tabs>
          <w:tab w:val="right" w:leader="dot" w:pos="9017"/>
        </w:tabs>
        <w:rPr>
          <w:rFonts w:asciiTheme="minorHAnsi" w:eastAsiaTheme="minorEastAsia" w:hAnsiTheme="minorHAnsi" w:cstheme="minorBidi"/>
          <w:caps w:val="0"/>
          <w:noProof/>
          <w:sz w:val="22"/>
          <w:szCs w:val="22"/>
        </w:rPr>
      </w:pPr>
      <w:hyperlink w:anchor="_Toc31717557" w:history="1">
        <w:r w:rsidRPr="0069184B">
          <w:rPr>
            <w:rStyle w:val="Hyperlink"/>
            <w:noProof/>
          </w:rPr>
          <w:t>ANNEX</w:t>
        </w:r>
        <w:r>
          <w:rPr>
            <w:rStyle w:val="Hyperlink"/>
            <w:noProof/>
          </w:rPr>
          <w:t xml:space="preserve"> </w:t>
        </w:r>
        <w:r w:rsidRPr="0069184B">
          <w:rPr>
            <w:rStyle w:val="Hyperlink"/>
            <w:noProof/>
          </w:rPr>
          <w:t>CERTIFICATE OF INSURANCE OR OTHER FINANCIAL SECURITY IN RESPECT OF CIVIL LIABILITY FOR OIL POLLUTION DAMAGE</w:t>
        </w:r>
        <w:r>
          <w:rPr>
            <w:noProof/>
            <w:webHidden/>
          </w:rPr>
          <w:tab/>
        </w:r>
        <w:r>
          <w:rPr>
            <w:noProof/>
            <w:webHidden/>
          </w:rPr>
          <w:fldChar w:fldCharType="begin"/>
        </w:r>
        <w:r>
          <w:rPr>
            <w:noProof/>
            <w:webHidden/>
          </w:rPr>
          <w:instrText xml:space="preserve"> PAGEREF _Toc31717557 \h </w:instrText>
        </w:r>
        <w:r>
          <w:rPr>
            <w:noProof/>
            <w:webHidden/>
          </w:rPr>
        </w:r>
        <w:r>
          <w:rPr>
            <w:noProof/>
            <w:webHidden/>
          </w:rPr>
          <w:fldChar w:fldCharType="separate"/>
        </w:r>
        <w:r>
          <w:rPr>
            <w:noProof/>
            <w:webHidden/>
          </w:rPr>
          <w:t>13</w:t>
        </w:r>
        <w:r>
          <w:rPr>
            <w:noProof/>
            <w:webHidden/>
          </w:rPr>
          <w:fldChar w:fldCharType="end"/>
        </w:r>
      </w:hyperlink>
    </w:p>
    <w:p w:rsidR="00422344" w:rsidRDefault="00422344">
      <w:r>
        <w:rPr>
          <w:b/>
          <w:bCs/>
          <w:noProof/>
        </w:rPr>
        <w:fldChar w:fldCharType="end"/>
      </w:r>
    </w:p>
    <w:p w:rsidR="00422344" w:rsidRDefault="00422344" w:rsidP="00D11DE9">
      <w:pPr>
        <w:pStyle w:val="CILSubtitle"/>
      </w:pPr>
    </w:p>
    <w:p w:rsidR="00422344" w:rsidRDefault="00422344" w:rsidP="00422344">
      <w:pPr>
        <w:pStyle w:val="CILTitle"/>
      </w:pPr>
      <w:r>
        <w:rPr>
          <w:b w:val="0"/>
        </w:rPr>
        <w:br w:type="page"/>
      </w:r>
      <w:r w:rsidRPr="00050985">
        <w:lastRenderedPageBreak/>
        <w:t xml:space="preserve">1992 </w:t>
      </w:r>
      <w:r>
        <w:t xml:space="preserve">Protocol to amend the </w:t>
      </w:r>
      <w:r w:rsidRPr="00050985">
        <w:t>International Convention on Civil Liability fo</w:t>
      </w:r>
      <w:bookmarkStart w:id="1" w:name="_GoBack"/>
      <w:bookmarkEnd w:id="1"/>
      <w:r w:rsidRPr="00050985">
        <w:t>r Oil Pollution Damage</w:t>
      </w:r>
    </w:p>
    <w:p w:rsidR="00422344" w:rsidRDefault="00422344" w:rsidP="00422344">
      <w:pPr>
        <w:pStyle w:val="CILSubtitle"/>
      </w:pPr>
      <w:r>
        <w:t>Adopted in London, United Kingdom on 27 November 1992</w:t>
      </w:r>
    </w:p>
    <w:p w:rsidR="00422344" w:rsidRDefault="00422344" w:rsidP="00D97693">
      <w:pPr>
        <w:rPr>
          <w:b/>
        </w:rPr>
      </w:pPr>
    </w:p>
    <w:p w:rsidR="000B17C8" w:rsidRPr="000B17C8" w:rsidRDefault="000B17C8" w:rsidP="00D97693">
      <w:pPr>
        <w:rPr>
          <w:b/>
        </w:rPr>
      </w:pPr>
      <w:r w:rsidRPr="000B17C8">
        <w:rPr>
          <w:b/>
        </w:rPr>
        <w:t>THE PARTIES TO THE PRESENT PROT</w:t>
      </w:r>
      <w:r>
        <w:rPr>
          <w:b/>
        </w:rPr>
        <w:t>OCOL,</w:t>
      </w:r>
    </w:p>
    <w:p w:rsidR="000B17C8" w:rsidRDefault="000B17C8" w:rsidP="00D97693">
      <w:r w:rsidRPr="000B17C8">
        <w:rPr>
          <w:b/>
        </w:rPr>
        <w:t>HAVING CONSIDERED</w:t>
      </w:r>
      <w:r>
        <w:t xml:space="preserve"> the International Convention on Civil Lia</w:t>
      </w:r>
      <w:r w:rsidR="00AE5067">
        <w:t>bility for Oil Pollution Damage</w:t>
      </w:r>
      <w:r>
        <w:t xml:space="preserve"> 1969,</w:t>
      </w:r>
      <w:r w:rsidR="00D97693">
        <w:t xml:space="preserve"> </w:t>
      </w:r>
      <w:r>
        <w:t>and the 1984 Protocol thereto,</w:t>
      </w:r>
    </w:p>
    <w:p w:rsidR="000B17C8" w:rsidRDefault="000B17C8" w:rsidP="00D97693">
      <w:r w:rsidRPr="000B17C8">
        <w:rPr>
          <w:b/>
        </w:rPr>
        <w:t>HAVING NOTED</w:t>
      </w:r>
      <w:r>
        <w:t xml:space="preserve"> that the 1984 Protocol to that Convention, which provides for improved scope and enhanced compensation, has not entered into force,</w:t>
      </w:r>
    </w:p>
    <w:p w:rsidR="000B17C8" w:rsidRDefault="000B17C8" w:rsidP="00D97693">
      <w:r w:rsidRPr="000B17C8">
        <w:rPr>
          <w:b/>
        </w:rPr>
        <w:t xml:space="preserve">AFFIRMING </w:t>
      </w:r>
      <w:r>
        <w:t>the importance of maintaining the viability of the international oil pollution liability and compensation system,</w:t>
      </w:r>
    </w:p>
    <w:p w:rsidR="000B17C8" w:rsidRDefault="000B17C8" w:rsidP="00D97693">
      <w:r w:rsidRPr="00AE5067">
        <w:rPr>
          <w:b/>
        </w:rPr>
        <w:t>AWARE OF</w:t>
      </w:r>
      <w:r>
        <w:t xml:space="preserve"> the need to ensure the entry into force of the content of the 1984 Protocol as soon as possible,</w:t>
      </w:r>
    </w:p>
    <w:p w:rsidR="000B17C8" w:rsidRDefault="000B17C8" w:rsidP="00D97693">
      <w:r w:rsidRPr="000B17C8">
        <w:rPr>
          <w:b/>
        </w:rPr>
        <w:t>RECOGNIZING</w:t>
      </w:r>
      <w:r>
        <w:t xml:space="preserve"> that special provisions are necessary in connection with the introduction of corresponding amendments to the International Convention on the Establishment of an International Fund for Compensation </w:t>
      </w:r>
      <w:r w:rsidR="00AE5067">
        <w:t>for Oil Pollution Damage</w:t>
      </w:r>
      <w:r>
        <w:t xml:space="preserve"> 1971,</w:t>
      </w:r>
    </w:p>
    <w:p w:rsidR="000B17C8" w:rsidRDefault="000B17C8" w:rsidP="00D97693">
      <w:r w:rsidRPr="000B17C8">
        <w:rPr>
          <w:b/>
        </w:rPr>
        <w:t>HAVE AGREED</w:t>
      </w:r>
      <w:r>
        <w:t xml:space="preserve"> as follows:</w:t>
      </w:r>
    </w:p>
    <w:p w:rsidR="000B17C8" w:rsidRDefault="000B17C8" w:rsidP="00EE1143">
      <w:pPr>
        <w:pStyle w:val="Heading2"/>
      </w:pPr>
      <w:bookmarkStart w:id="2" w:name="_Toc31717536"/>
      <w:r>
        <w:t>Article 1</w:t>
      </w:r>
      <w:bookmarkEnd w:id="2"/>
    </w:p>
    <w:p w:rsidR="000B17C8" w:rsidRDefault="000B17C8" w:rsidP="00D97693">
      <w:r>
        <w:t>The Convention which the provisions of this Protocol amend is the International Convention on Civil Liability for Oil Pollution Damage, 1969, hereinafter referred to as the "1969 Liability Convention". For States Parties to the Protocol of 1976 to the 1969 Liability Convention, such reference shall be deemed to include the 1969 Liability Convention as amended by that Protocol.</w:t>
      </w:r>
    </w:p>
    <w:p w:rsidR="000B17C8" w:rsidRDefault="000B17C8" w:rsidP="00EE1143">
      <w:pPr>
        <w:pStyle w:val="Heading2"/>
      </w:pPr>
      <w:bookmarkStart w:id="3" w:name="_Toc31717537"/>
      <w:r>
        <w:t>Article 2</w:t>
      </w:r>
      <w:bookmarkEnd w:id="3"/>
    </w:p>
    <w:p w:rsidR="000B17C8" w:rsidRDefault="000B17C8" w:rsidP="00D97693">
      <w:r>
        <w:t>Article I of the 1969 Liability Convention is amended as follows:</w:t>
      </w:r>
    </w:p>
    <w:p w:rsidR="000B17C8" w:rsidRDefault="000B17C8" w:rsidP="00D97693">
      <w:r>
        <w:t>1. Paragraph 1 is replaced by the following text:</w:t>
      </w:r>
    </w:p>
    <w:p w:rsidR="000B17C8" w:rsidRDefault="000B17C8" w:rsidP="00D97693">
      <w:pPr>
        <w:ind w:left="720"/>
      </w:pPr>
      <w:r>
        <w:t>1. "Ship" means any sea-going vessel and seaborne craft of any type whatsoever constructed or adapted for the carriage of oil in bulk as cargo, provided that a ship capable of carrying oil and other cargoes shall be regarded as a ship only when it is actually carrying oil in bulk as cargo and during any voyage following such carriage unless it is proved that it has no residues of such carriage of oil in bulk aboard.</w:t>
      </w:r>
    </w:p>
    <w:p w:rsidR="000B17C8" w:rsidRDefault="000B17C8" w:rsidP="00D97693">
      <w:r>
        <w:t>2. Paragraph 5 is replaced by the following text:</w:t>
      </w:r>
    </w:p>
    <w:p w:rsidR="000B17C8" w:rsidRDefault="000B17C8" w:rsidP="00D97693">
      <w:pPr>
        <w:ind w:left="720"/>
      </w:pPr>
      <w:r>
        <w:t>5. "Oil" means any persistent hydrocarbon mineral oil such as crude oil, fuel oil, heavy diesel oil and lubricating oil, whether carried on board a ship as cargo or in the bunkers of such a ship.</w:t>
      </w:r>
    </w:p>
    <w:p w:rsidR="000B17C8" w:rsidRDefault="00EE1143" w:rsidP="00D97693">
      <w:r>
        <w:br w:type="page"/>
      </w:r>
      <w:r w:rsidR="000B17C8">
        <w:lastRenderedPageBreak/>
        <w:t>3. Paragraph 6 is replaced by the following text:</w:t>
      </w:r>
    </w:p>
    <w:p w:rsidR="000B17C8" w:rsidRDefault="000B17C8" w:rsidP="00D97693">
      <w:pPr>
        <w:ind w:left="720"/>
      </w:pPr>
      <w:r>
        <w:t>6. "Pollution damage" means:</w:t>
      </w:r>
    </w:p>
    <w:p w:rsidR="000B17C8" w:rsidRDefault="000B17C8" w:rsidP="00D97693">
      <w:pPr>
        <w:ind w:left="1440"/>
      </w:pPr>
      <w:r>
        <w:t>(a) loss or damage caused outside the ship by contamination resulting from the escape or discharge of oil from the ship, wherever such escape or discharge may occur, provided that compensation for impairment of the environment other than loss of profit from such impairment shall be limited to costs of reasonable measures of reinstatement actually undertaken or to be undertaken;</w:t>
      </w:r>
    </w:p>
    <w:p w:rsidR="000B17C8" w:rsidRDefault="000B17C8" w:rsidP="00D97693">
      <w:pPr>
        <w:ind w:left="1440"/>
      </w:pPr>
      <w:r>
        <w:t>(b) the costs of preventive measures and further loss or damage caused by preventive measures.</w:t>
      </w:r>
    </w:p>
    <w:p w:rsidR="000B17C8" w:rsidRDefault="000B17C8" w:rsidP="00D97693">
      <w:r>
        <w:t>4. Paragraph 8 is replaced by the following text:</w:t>
      </w:r>
    </w:p>
    <w:p w:rsidR="000B17C8" w:rsidRDefault="000B17C8" w:rsidP="00D97693">
      <w:pPr>
        <w:ind w:left="720"/>
      </w:pPr>
      <w:r>
        <w:t>8. "Incident" means any occurrence, or series of occurrences having the same origin, which causes pollution damage or creates a grave and imminent threat of causing such damage.</w:t>
      </w:r>
    </w:p>
    <w:p w:rsidR="000B17C8" w:rsidRDefault="000B17C8" w:rsidP="00D97693">
      <w:r>
        <w:t>5. Paragraph 9 is replaced by the following text:</w:t>
      </w:r>
    </w:p>
    <w:p w:rsidR="000B17C8" w:rsidRDefault="000B17C8" w:rsidP="00D97693">
      <w:pPr>
        <w:ind w:left="720"/>
      </w:pPr>
      <w:r>
        <w:t>9. "Organization" means the International Maritime Organization.</w:t>
      </w:r>
    </w:p>
    <w:p w:rsidR="000B17C8" w:rsidRDefault="000B17C8" w:rsidP="00D97693">
      <w:r>
        <w:t>6. After paragraph 9</w:t>
      </w:r>
      <w:r w:rsidR="0041215C">
        <w:t>,</w:t>
      </w:r>
      <w:r>
        <w:t xml:space="preserve"> a new paragraph is inserted</w:t>
      </w:r>
      <w:r w:rsidR="0041215C">
        <w:t>,</w:t>
      </w:r>
      <w:r>
        <w:t xml:space="preserve"> reading as follows:</w:t>
      </w:r>
    </w:p>
    <w:p w:rsidR="000B17C8" w:rsidRDefault="000B17C8" w:rsidP="00D97693">
      <w:pPr>
        <w:ind w:left="720"/>
      </w:pPr>
      <w:r>
        <w:t>10. "1969 Liability Convention" means the International Convention on Civil Liability for Oil Pollution Damage, 1969. For States Parties to the Protocol of 1976 to that Convention, the term shall be deemed to include the 1969 Liability Convention as amended by that Protocol.</w:t>
      </w:r>
    </w:p>
    <w:p w:rsidR="000B17C8" w:rsidRDefault="000B17C8" w:rsidP="00EE1143">
      <w:pPr>
        <w:pStyle w:val="Heading2"/>
      </w:pPr>
      <w:bookmarkStart w:id="4" w:name="_Toc31717538"/>
      <w:r>
        <w:t>Article 3</w:t>
      </w:r>
      <w:bookmarkEnd w:id="4"/>
    </w:p>
    <w:p w:rsidR="000B17C8" w:rsidRDefault="000B17C8" w:rsidP="00D97693">
      <w:r>
        <w:t>Article II of the 1969 Liability Convention is replaced by the following text:</w:t>
      </w:r>
    </w:p>
    <w:p w:rsidR="000B17C8" w:rsidRDefault="000B17C8" w:rsidP="00EE1143">
      <w:pPr>
        <w:ind w:firstLine="720"/>
      </w:pPr>
      <w:r>
        <w:t>This Convention shall apply exclusively:</w:t>
      </w:r>
    </w:p>
    <w:p w:rsidR="000B17C8" w:rsidRDefault="000B17C8" w:rsidP="00D97693">
      <w:pPr>
        <w:ind w:left="720"/>
      </w:pPr>
      <w:r>
        <w:t>(a) to pollution damage caused:</w:t>
      </w:r>
    </w:p>
    <w:p w:rsidR="000B17C8" w:rsidRDefault="000B17C8" w:rsidP="00D97693">
      <w:pPr>
        <w:ind w:left="1440"/>
      </w:pPr>
      <w:r>
        <w:t>(i) in the territory, including the territorial sea, of a Contracting State, and</w:t>
      </w:r>
    </w:p>
    <w:p w:rsidR="000B17C8" w:rsidRDefault="000B17C8" w:rsidP="00D97693">
      <w:pPr>
        <w:ind w:left="1440"/>
      </w:pPr>
      <w:r>
        <w:t>(ii) in the exclusive economic zone of a Contracting State, established in accordance with international law, or, if a Contracting State has not established such a zone, in an area beyond and adjacent to the territorial sea of that State determined by that State in accordance with international law and extending not more than 200 nautical miles from the baselines from which the breadth of its territorial sea is measured;</w:t>
      </w:r>
    </w:p>
    <w:p w:rsidR="000B17C8" w:rsidRDefault="000B17C8" w:rsidP="00422344">
      <w:pPr>
        <w:ind w:left="720"/>
      </w:pPr>
      <w:r>
        <w:t>(b) to preventive measures, wherever taken, to prevent or minimize such damage.</w:t>
      </w:r>
    </w:p>
    <w:p w:rsidR="000B17C8" w:rsidRDefault="000B17C8" w:rsidP="00EE1143">
      <w:pPr>
        <w:pStyle w:val="Heading2"/>
      </w:pPr>
      <w:bookmarkStart w:id="5" w:name="_Toc31717539"/>
      <w:r>
        <w:t>Article 4</w:t>
      </w:r>
      <w:bookmarkEnd w:id="5"/>
    </w:p>
    <w:p w:rsidR="000B17C8" w:rsidRDefault="000B17C8" w:rsidP="00D97693">
      <w:r>
        <w:t>Article III of the 1969 Liability Convention is amended as follows:</w:t>
      </w:r>
    </w:p>
    <w:p w:rsidR="000B17C8" w:rsidRDefault="00EE1143" w:rsidP="00D97693">
      <w:r>
        <w:br w:type="page"/>
      </w:r>
      <w:r w:rsidR="000B17C8">
        <w:lastRenderedPageBreak/>
        <w:t>1. Paragraph 1 is replaced by the following text:</w:t>
      </w:r>
    </w:p>
    <w:p w:rsidR="000B17C8" w:rsidRDefault="000B17C8" w:rsidP="00D97693">
      <w:pPr>
        <w:ind w:left="720"/>
      </w:pPr>
      <w:r>
        <w:t>1. Except as provided in paragraphs 2 and 3 of this Article, the owner of a ship at the time of an incident, or, where the incident consists of a series of occurrences, at the time of the first such occurrence, shall be liable for any pollution damage caused by the ship as a result of the incident.</w:t>
      </w:r>
    </w:p>
    <w:p w:rsidR="000B17C8" w:rsidRDefault="000B17C8" w:rsidP="00D97693">
      <w:r>
        <w:t>2. Paragraph 4 is replaced by the following text:</w:t>
      </w:r>
    </w:p>
    <w:p w:rsidR="000B17C8" w:rsidRDefault="000B17C8" w:rsidP="00D97693">
      <w:pPr>
        <w:ind w:left="720"/>
      </w:pPr>
      <w:r>
        <w:t>4. No claim for compensation for pollution damage may be made against the owner otherwise than in accordance with this Convention. Subject to paragraph 5 of this Article, no claim for compensation for pollution damage under this Convention or otherwise may be made against:</w:t>
      </w:r>
    </w:p>
    <w:p w:rsidR="000B17C8" w:rsidRDefault="000B17C8" w:rsidP="00D97693">
      <w:pPr>
        <w:ind w:left="1440"/>
      </w:pPr>
      <w:r>
        <w:t>(a) the servants or agents of the owner or the members of the crew;</w:t>
      </w:r>
    </w:p>
    <w:p w:rsidR="000B17C8" w:rsidRDefault="000B17C8" w:rsidP="00D97693">
      <w:pPr>
        <w:ind w:left="1440"/>
      </w:pPr>
      <w:r>
        <w:t>(b) the pilot or any other person who, without being a member of the crew, performs services for the ship;</w:t>
      </w:r>
    </w:p>
    <w:p w:rsidR="000B17C8" w:rsidRDefault="000B17C8" w:rsidP="00D97693">
      <w:pPr>
        <w:ind w:left="1440"/>
      </w:pPr>
      <w:r>
        <w:t>(c) any charterer (howsoever described, including a bareboat charterer), manager or operator of the ship;</w:t>
      </w:r>
    </w:p>
    <w:p w:rsidR="000B17C8" w:rsidRDefault="000B17C8" w:rsidP="00D97693">
      <w:pPr>
        <w:ind w:left="1440"/>
      </w:pPr>
      <w:r>
        <w:t>(d) any person performing salvage operations with the consent of the owner or on the instructions of a competent public authority;</w:t>
      </w:r>
    </w:p>
    <w:p w:rsidR="000B17C8" w:rsidRDefault="000B17C8" w:rsidP="00D97693">
      <w:pPr>
        <w:ind w:left="1440"/>
      </w:pPr>
      <w:r>
        <w:t>(e) any person taking preventive measures;</w:t>
      </w:r>
    </w:p>
    <w:p w:rsidR="000B17C8" w:rsidRDefault="000B17C8" w:rsidP="00D97693">
      <w:pPr>
        <w:ind w:left="1440"/>
      </w:pPr>
      <w:r>
        <w:t>(f) all servants or agents of persons mentioned in</w:t>
      </w:r>
      <w:r w:rsidR="005527B0">
        <w:t xml:space="preserve"> subparagraphs (c), (d) and (e) </w:t>
      </w:r>
      <w:r>
        <w:t>unless the damage resulted from their personal act or omission, committed with the intent to cause such damage, or recklessly and with knowledge that such damage would probably result.</w:t>
      </w:r>
    </w:p>
    <w:p w:rsidR="000B17C8" w:rsidRDefault="000B17C8" w:rsidP="00EE1143">
      <w:pPr>
        <w:pStyle w:val="Heading2"/>
      </w:pPr>
      <w:bookmarkStart w:id="6" w:name="_Toc31717540"/>
      <w:r>
        <w:t>Article 5</w:t>
      </w:r>
      <w:bookmarkEnd w:id="6"/>
    </w:p>
    <w:p w:rsidR="000B17C8" w:rsidRDefault="000B17C8" w:rsidP="00D97693">
      <w:r>
        <w:t xml:space="preserve">Article IV of the 1969 Liability Convention is </w:t>
      </w:r>
      <w:r w:rsidR="005527B0">
        <w:t>replaced by the following text:</w:t>
      </w:r>
    </w:p>
    <w:p w:rsidR="000B17C8" w:rsidRDefault="000B17C8" w:rsidP="00D97693">
      <w:pPr>
        <w:ind w:left="720"/>
      </w:pPr>
      <w:r>
        <w:t>When an incident involving two or more ships occurs and pollution damage results therefrom, the owners of all the ships concerned, unless exonerated under Article III, shall be jointly and severally liable for all such damage which is not reasonably separable.</w:t>
      </w:r>
    </w:p>
    <w:p w:rsidR="000B17C8" w:rsidRDefault="000B17C8" w:rsidP="00EE1143">
      <w:pPr>
        <w:pStyle w:val="Heading2"/>
      </w:pPr>
      <w:bookmarkStart w:id="7" w:name="_Toc31717541"/>
      <w:r>
        <w:t>Article 6</w:t>
      </w:r>
      <w:bookmarkEnd w:id="7"/>
    </w:p>
    <w:p w:rsidR="000B17C8" w:rsidRDefault="000B17C8" w:rsidP="00D97693">
      <w:r>
        <w:t>Article V of the 1969 Liability Convention is amended as follows:</w:t>
      </w:r>
    </w:p>
    <w:p w:rsidR="000B17C8" w:rsidRDefault="000B17C8" w:rsidP="00D97693">
      <w:r>
        <w:t xml:space="preserve">1. Paragraph 1 is </w:t>
      </w:r>
      <w:r w:rsidR="005527B0">
        <w:t>replaced by the following text:</w:t>
      </w:r>
    </w:p>
    <w:p w:rsidR="000B17C8" w:rsidRDefault="000B17C8" w:rsidP="00D97693">
      <w:pPr>
        <w:ind w:left="720"/>
      </w:pPr>
      <w:r>
        <w:t>1. The owner of a ship shall be entitled to limit his liability under this Convention in respect of any one incident to an aggregate amount calculated as follows:</w:t>
      </w:r>
    </w:p>
    <w:p w:rsidR="000B17C8" w:rsidRDefault="000B17C8" w:rsidP="00D97693">
      <w:pPr>
        <w:ind w:left="1440"/>
      </w:pPr>
      <w:r>
        <w:t>(a) 3 million units of account for a ship not exceeding 5,000 units of tonnage;</w:t>
      </w:r>
    </w:p>
    <w:p w:rsidR="00EE1143" w:rsidRDefault="00EE1143" w:rsidP="00D97693">
      <w:pPr>
        <w:ind w:left="1440"/>
      </w:pPr>
      <w:r>
        <w:br w:type="page"/>
      </w:r>
      <w:r w:rsidR="000B17C8">
        <w:lastRenderedPageBreak/>
        <w:t>(b) for a ship with a tonnage in excess thereof, for each additional unit of tonnage, 420 units of account in addition to the amount mentioned in subparagraph (a);</w:t>
      </w:r>
      <w:r w:rsidR="005527B0">
        <w:t xml:space="preserve"> </w:t>
      </w:r>
    </w:p>
    <w:p w:rsidR="000B17C8" w:rsidRDefault="000B17C8" w:rsidP="00EE1143">
      <w:pPr>
        <w:ind w:left="720"/>
      </w:pPr>
      <w:r>
        <w:t>provided, however, that this aggregate amount shall not in any event exceed</w:t>
      </w:r>
      <w:r w:rsidR="005527B0">
        <w:t xml:space="preserve"> 59.7 million units of account.</w:t>
      </w:r>
    </w:p>
    <w:p w:rsidR="000B17C8" w:rsidRDefault="000B17C8" w:rsidP="00D97693">
      <w:r>
        <w:t xml:space="preserve">2. Paragraph 2 is </w:t>
      </w:r>
      <w:r w:rsidR="005527B0">
        <w:t>replaced by the following text:</w:t>
      </w:r>
    </w:p>
    <w:p w:rsidR="000B17C8" w:rsidRDefault="000B17C8" w:rsidP="00D97693">
      <w:pPr>
        <w:ind w:left="720"/>
      </w:pPr>
      <w:r>
        <w:t>2. The owner shall not be entitled to limit his liability under this Convention if it is proved that the pollution damage resulted from his personal act or omission, committed with the intent to cause such damage, or recklessly and with knowledge that such damage would probably result.</w:t>
      </w:r>
    </w:p>
    <w:p w:rsidR="000B17C8" w:rsidRDefault="000B17C8" w:rsidP="00D97693">
      <w:r>
        <w:t xml:space="preserve">3. Paragraph 3 is </w:t>
      </w:r>
      <w:r w:rsidR="005527B0">
        <w:t>replaced by the following text:</w:t>
      </w:r>
    </w:p>
    <w:p w:rsidR="000B17C8" w:rsidRDefault="000B17C8" w:rsidP="00D97693">
      <w:pPr>
        <w:ind w:left="720"/>
      </w:pPr>
      <w:r>
        <w:t>3. For the purpose of availing himself of the benefit of limitation provided for in paragraph 1 of this Article</w:t>
      </w:r>
      <w:r w:rsidR="0041215C">
        <w:t>,</w:t>
      </w:r>
      <w:r>
        <w:t xml:space="preserve"> the owner shall constitute a fund for the total sum representing the limit of his liability with the Court or other competent authority of any one of the Contracting States in which action is brought under Article IX or, if no action is brought, with any Court or other competent authority in any one of the Contracting States in which an action can be brought under Article IX. The fund can be constituted either by depositing the sum or by producing a bank guarantee or other guarantee, acceptable under the legislation of the Contracting State where the fund is constituted, and considered to be adequate by the Court or other competent authority.</w:t>
      </w:r>
    </w:p>
    <w:p w:rsidR="000B17C8" w:rsidRDefault="000B17C8" w:rsidP="00D97693">
      <w:r>
        <w:t xml:space="preserve">4. Paragraph 9 is </w:t>
      </w:r>
      <w:r w:rsidR="005527B0">
        <w:t>replaced by the following text:</w:t>
      </w:r>
    </w:p>
    <w:p w:rsidR="000B17C8" w:rsidRDefault="000B17C8" w:rsidP="00D97693">
      <w:pPr>
        <w:ind w:left="720"/>
      </w:pPr>
      <w:r>
        <w:t>9(a). The "unit of account" referred to in paragraph 1 of this Article is the Special Drawing Right as defined by the International Monetary Fund. The amounts mentioned in paragraph 1 shall be converted into national currency on the basis of the value of that currency by reference to the Special Drawing Right on the date of the constitution of the fund referred to in paragraph 3. The value of the national currency, in terms of the Special Drawing Right, of a Contracting State which is a member of the International Monetary Fund shall be calculated in accordance with the method of valuation applied by the International Monetary Fund in effect on the date in question for its operations and transactions. The value of the national currency, in terms of the Special Drawing Right, of a Contracting State which is not a member of the International Monetary Fund shall be calculated in a m</w:t>
      </w:r>
      <w:r w:rsidR="005527B0">
        <w:t>anner determined by that State.</w:t>
      </w:r>
    </w:p>
    <w:p w:rsidR="000B17C8" w:rsidRDefault="000B17C8" w:rsidP="00D97693">
      <w:pPr>
        <w:ind w:left="720"/>
      </w:pPr>
      <w:r>
        <w:t>9(b). Nevertheless, a Contracting State which is not a member of the International Monetary Fund and whose law does not permit the application of the provisions of paragraph 9(a) may, at the time of ratification, acceptance, approval of or accession to this Convention or at any time thereafter, declare that the unit of account referred to in paragraph 9(a) shall be equal to 15 gold francs. The gold franc referred to in this paragraph corresponds to sixty-five and a half milligrammes of gold of millesimal fineness nine hundred. The conversion of the gold franc into the national currency shall be made according to the law of the State concerned.</w:t>
      </w:r>
    </w:p>
    <w:p w:rsidR="000B17C8" w:rsidRDefault="000B17C8" w:rsidP="00D97693">
      <w:pPr>
        <w:ind w:left="720"/>
      </w:pPr>
      <w:r>
        <w:t>9(c). The calculation mentioned in the last sentence of paragraph 9(a) and the conversion mentioned in paragraph 9(b) shall be made in such manner as to express in the national currency of the Contracting State as far as possible the same real value for the amounts in paragraph 1 as would result from the application of the first three sentences of paragraph 9(a). Contracting States shall communicate to the depositary the manner of calculation pursuant to paragraph 9(a), or the result of the conversion in paragraph 9(b) as the case may be, when depositing an instrument of ratification, acceptance, approval of or accession to this Convention and whenever there is a change in either.</w:t>
      </w:r>
    </w:p>
    <w:p w:rsidR="000B17C8" w:rsidRDefault="000B17C8" w:rsidP="00D97693">
      <w:r>
        <w:lastRenderedPageBreak/>
        <w:t xml:space="preserve">5. Paragraph 10 is </w:t>
      </w:r>
      <w:r w:rsidR="005527B0">
        <w:t>replaced by the following text:</w:t>
      </w:r>
    </w:p>
    <w:p w:rsidR="000B17C8" w:rsidRDefault="000B17C8" w:rsidP="00D97693">
      <w:pPr>
        <w:ind w:left="720"/>
      </w:pPr>
      <w:r>
        <w:t>10. For the purpose of this Article the ship's tonnage shall be the gross tonnage calculated in accordance with the tonnage measurement regulations contained in Annex I of the International Convention on Tonnage Measurement of Ships, 1969.</w:t>
      </w:r>
    </w:p>
    <w:p w:rsidR="000B17C8" w:rsidRDefault="000B17C8" w:rsidP="00D97693">
      <w:r>
        <w:t xml:space="preserve">6. The second sentence of paragraph 11 is </w:t>
      </w:r>
      <w:r w:rsidR="006025BA">
        <w:t>replaced by the following text:</w:t>
      </w:r>
    </w:p>
    <w:p w:rsidR="000B17C8" w:rsidRDefault="000B17C8" w:rsidP="00D97693">
      <w:pPr>
        <w:ind w:left="720"/>
      </w:pPr>
      <w:r>
        <w:t>Such a fund may be constituted even if, under the provisions of paragraph 2, the owner is not entitled to limit his liability, but its constitution shall in that case not prejudice the rights of any claimant against the owner.</w:t>
      </w:r>
    </w:p>
    <w:p w:rsidR="000B17C8" w:rsidRDefault="000B17C8" w:rsidP="00EE1143">
      <w:pPr>
        <w:pStyle w:val="Heading2"/>
      </w:pPr>
      <w:bookmarkStart w:id="8" w:name="_Toc31717542"/>
      <w:r>
        <w:t>Article 7</w:t>
      </w:r>
      <w:bookmarkEnd w:id="8"/>
    </w:p>
    <w:p w:rsidR="000B17C8" w:rsidRDefault="000B17C8" w:rsidP="00D97693">
      <w:r>
        <w:t>Article VII of the 1969 Liability Co</w:t>
      </w:r>
      <w:r w:rsidR="006025BA">
        <w:t>nvention is amended as follows:</w:t>
      </w:r>
    </w:p>
    <w:p w:rsidR="000B17C8" w:rsidRDefault="000B17C8" w:rsidP="00D97693">
      <w:r>
        <w:t xml:space="preserve">1. The first two sentences of paragraph 2 are </w:t>
      </w:r>
      <w:r w:rsidR="006025BA">
        <w:t>replaced by the following text:</w:t>
      </w:r>
    </w:p>
    <w:p w:rsidR="000B17C8" w:rsidRDefault="000B17C8" w:rsidP="00D97693">
      <w:pPr>
        <w:ind w:left="720"/>
      </w:pPr>
      <w:r>
        <w:t>A certificate attesting that insurance or other financial security is in force in accordance with the provisions of this Convention shall be issued to each ship after the appropriate authority of a Contracting State has determined that the requirements of paragraph 1 have been complied with. With respect to a ship registered in a Contracting State such certificate shall be issued or certified by the appropriate authority of the State of the ship's registry; with respect to a ship not registered in a Contracting State it may be issued or certified by the appropriate authority of any Contracting State.</w:t>
      </w:r>
    </w:p>
    <w:p w:rsidR="000B17C8" w:rsidRDefault="000B17C8" w:rsidP="00D97693">
      <w:r>
        <w:t xml:space="preserve">2. Paragraph 4 is </w:t>
      </w:r>
      <w:r w:rsidR="006025BA">
        <w:t>replaced by the following text:</w:t>
      </w:r>
    </w:p>
    <w:p w:rsidR="000B17C8" w:rsidRDefault="000B17C8" w:rsidP="00D97693">
      <w:pPr>
        <w:ind w:left="720"/>
      </w:pPr>
      <w:r>
        <w:t>4. The certificate shall be carried on board the ship and a copy shall be deposited with the authorities who keep the record of the ship's registry or, if the ship is not registered in a Contracting State, with the authorities of the State issuing or certifying the certificate.</w:t>
      </w:r>
    </w:p>
    <w:p w:rsidR="000B17C8" w:rsidRDefault="000B17C8" w:rsidP="00D97693">
      <w:r>
        <w:t xml:space="preserve">3. The first sentence of paragraph 7 is </w:t>
      </w:r>
      <w:r w:rsidR="006025BA">
        <w:t>replaced by the following text:</w:t>
      </w:r>
    </w:p>
    <w:p w:rsidR="000B17C8" w:rsidRDefault="000B17C8" w:rsidP="00D97693">
      <w:pPr>
        <w:ind w:left="720"/>
      </w:pPr>
      <w:r>
        <w:t>Certificates issued or certified under the authority of a Contracting State in accordance with paragraph 2 shall be accepted by other Contracting States for the purposes of this Convention and shall be regarded by other Contracting States as having the same force as certificates issued or certified by them even if issued or certified in respect of a ship not registered in a Contracting State.</w:t>
      </w:r>
    </w:p>
    <w:p w:rsidR="000B17C8" w:rsidRDefault="000B17C8" w:rsidP="00D97693">
      <w:r>
        <w:t>4. In the second sentence of paragraph 7 the words "with the State of a ship's registry" are replaced by the words "with th</w:t>
      </w:r>
      <w:r w:rsidR="006025BA">
        <w:t>e issuing or certifying State".</w:t>
      </w:r>
    </w:p>
    <w:p w:rsidR="000B17C8" w:rsidRDefault="000B17C8" w:rsidP="00D97693">
      <w:r>
        <w:t>5. The second sentence of paragraph 8 is replaced by the following text:</w:t>
      </w:r>
    </w:p>
    <w:p w:rsidR="000B17C8" w:rsidRDefault="000B17C8" w:rsidP="00D97693">
      <w:pPr>
        <w:ind w:left="720"/>
      </w:pPr>
      <w:r>
        <w:t>In such case the defendant may, even if the owner is not entitled to limit his liability according to Article V, paragraph 2, avail himself of the limits of liability prescribed in Article V, paragraph 1.</w:t>
      </w:r>
    </w:p>
    <w:p w:rsidR="000B17C8" w:rsidRDefault="000B17C8" w:rsidP="00D97693"/>
    <w:p w:rsidR="000B17C8" w:rsidRDefault="000B17C8" w:rsidP="00EE1143">
      <w:pPr>
        <w:pStyle w:val="Heading2"/>
      </w:pPr>
      <w:bookmarkStart w:id="9" w:name="_Toc31717543"/>
      <w:r>
        <w:t>Article 8</w:t>
      </w:r>
      <w:bookmarkEnd w:id="9"/>
    </w:p>
    <w:p w:rsidR="000B17C8" w:rsidRDefault="000B17C8" w:rsidP="00D97693">
      <w:r>
        <w:t>Article IX of the 1969 Liability Co</w:t>
      </w:r>
      <w:r w:rsidR="006025BA">
        <w:t>nvention is amended as follows:</w:t>
      </w:r>
    </w:p>
    <w:p w:rsidR="000B17C8" w:rsidRDefault="000B17C8" w:rsidP="00D97693">
      <w:r>
        <w:lastRenderedPageBreak/>
        <w:t xml:space="preserve">Paragraph 1 is </w:t>
      </w:r>
      <w:r w:rsidR="006025BA">
        <w:t>replaced by the following text:</w:t>
      </w:r>
    </w:p>
    <w:p w:rsidR="000B17C8" w:rsidRDefault="000B17C8" w:rsidP="00EE1143">
      <w:pPr>
        <w:ind w:left="720"/>
      </w:pPr>
      <w:r>
        <w:t>1. Where an incident has caused pollution damage in the territory, including the territorial sea or an area referred to in Article II, of one or more Contracting States or preventive measures have been taken to prevent or minimize pollution damage in such territory including the territorial sea or area, actions for compensation may only be brought in the Courts of any such Contracting State or States. Reasonable notice of any such action shall be given to the defendant.</w:t>
      </w:r>
    </w:p>
    <w:p w:rsidR="000B17C8" w:rsidRDefault="000B17C8" w:rsidP="00EE1143">
      <w:pPr>
        <w:pStyle w:val="Heading2"/>
      </w:pPr>
      <w:bookmarkStart w:id="10" w:name="_Toc31717544"/>
      <w:r>
        <w:t>Article 9</w:t>
      </w:r>
      <w:bookmarkEnd w:id="10"/>
    </w:p>
    <w:p w:rsidR="000B17C8" w:rsidRDefault="000B17C8" w:rsidP="00D97693">
      <w:r>
        <w:t>After Article XII of the 1969 Liability Convention two new Ar</w:t>
      </w:r>
      <w:r w:rsidR="006025BA">
        <w:t>ticles are inserted as follows:</w:t>
      </w:r>
    </w:p>
    <w:p w:rsidR="000B17C8" w:rsidRDefault="00EE1143" w:rsidP="00EE1143">
      <w:pPr>
        <w:pStyle w:val="Heading3"/>
      </w:pPr>
      <w:bookmarkStart w:id="11" w:name="_Toc31717545"/>
      <w:r>
        <w:t>Article XII bis</w:t>
      </w:r>
      <w:r w:rsidR="006025BA">
        <w:t xml:space="preserve"> </w:t>
      </w:r>
      <w:r>
        <w:br/>
      </w:r>
      <w:r w:rsidR="006025BA">
        <w:t>Transitional provisions</w:t>
      </w:r>
      <w:bookmarkEnd w:id="11"/>
    </w:p>
    <w:p w:rsidR="000B17C8" w:rsidRDefault="000B17C8" w:rsidP="00EE1143">
      <w:pPr>
        <w:ind w:left="720"/>
      </w:pPr>
      <w:r>
        <w:t>The following transitional provisions shall apply in the case of a State which at the time of an incident is a Party both to this Convention and to</w:t>
      </w:r>
      <w:r w:rsidR="006025BA">
        <w:t xml:space="preserve"> the 1969 Liability Convention:</w:t>
      </w:r>
    </w:p>
    <w:p w:rsidR="000B17C8" w:rsidRDefault="000B17C8" w:rsidP="00EE1143">
      <w:pPr>
        <w:ind w:left="1440"/>
      </w:pPr>
      <w:r>
        <w:t>(a) where an incident has caused pollution damage within the scope of this Convention, liability under this Convention shall be deemed to be discharged if, and to the extent that, it also arises under the 1969 Liability Convention;</w:t>
      </w:r>
    </w:p>
    <w:p w:rsidR="000B17C8" w:rsidRDefault="000B17C8" w:rsidP="00EE1143">
      <w:pPr>
        <w:ind w:left="1440"/>
      </w:pPr>
      <w:r>
        <w:t>(b) where an incident has caused pollution damage within the scope of this Convention, and the State is a Party both to this Convention and to the International Convention on the Establishment of an International Fund for Compensation for Oil Pollution Damage, 1971, liability remaining to be discharged after the application of subparagraph (a) of this Article shall arise under this Convention only to the extent that pollution damage remains uncompensated after application of the said 1971 Convention;</w:t>
      </w:r>
    </w:p>
    <w:p w:rsidR="000B17C8" w:rsidRDefault="000B17C8" w:rsidP="00EE1143">
      <w:pPr>
        <w:ind w:left="1440"/>
      </w:pPr>
      <w:r>
        <w:t>(c) in the application of Article III, paragraph 4, of this Convention the expression "this Convention" shall be interpreted as referring to this Convention or the 1969 Liability Convention, as appropriate;</w:t>
      </w:r>
    </w:p>
    <w:p w:rsidR="000B17C8" w:rsidRDefault="000B17C8" w:rsidP="00EE1143">
      <w:pPr>
        <w:ind w:left="1440"/>
      </w:pPr>
      <w:r>
        <w:t>(d) in the application of Article V, paragraph 3, of this Convention the total sum of the fund to be constituted shall be reduced by the amount by which liability has been deemed to be discharged in accordance with subparagraph (a) of this Article.</w:t>
      </w:r>
    </w:p>
    <w:p w:rsidR="000B17C8" w:rsidRDefault="00EE1143" w:rsidP="00EE1143">
      <w:pPr>
        <w:pStyle w:val="Heading3"/>
      </w:pPr>
      <w:bookmarkStart w:id="12" w:name="_Toc31717546"/>
      <w:r>
        <w:t xml:space="preserve">Article XII ter </w:t>
      </w:r>
      <w:r>
        <w:br/>
      </w:r>
      <w:r w:rsidR="006025BA">
        <w:t>Final clauses</w:t>
      </w:r>
      <w:bookmarkEnd w:id="12"/>
    </w:p>
    <w:p w:rsidR="000B17C8" w:rsidRDefault="000B17C8" w:rsidP="00EE1143">
      <w:pPr>
        <w:ind w:left="720"/>
      </w:pPr>
      <w:r>
        <w:t>The final clauses of this Convention shall be Articles 12 to 18 of the Protocol of 1992 to amend the 1969 Liability Convention. References in this Convention to Contracting States shall be taken to mean references to the Contracting States of that Protocol.</w:t>
      </w:r>
    </w:p>
    <w:p w:rsidR="000B17C8" w:rsidRDefault="000B17C8" w:rsidP="00EE1143">
      <w:pPr>
        <w:pStyle w:val="Heading2"/>
      </w:pPr>
      <w:bookmarkStart w:id="13" w:name="_Toc31717547"/>
      <w:r>
        <w:t>Article 10</w:t>
      </w:r>
      <w:bookmarkEnd w:id="13"/>
    </w:p>
    <w:p w:rsidR="000B17C8" w:rsidRDefault="000B17C8" w:rsidP="00EE1143">
      <w:pPr>
        <w:ind w:left="720"/>
      </w:pPr>
      <w:r>
        <w:t>The model of a certificate annexed to the 1969 Liability Convention is replaced by the model annexed to this Protocol.</w:t>
      </w:r>
    </w:p>
    <w:p w:rsidR="000B17C8" w:rsidRDefault="000B17C8" w:rsidP="00EE1143">
      <w:pPr>
        <w:pStyle w:val="Heading2"/>
      </w:pPr>
      <w:bookmarkStart w:id="14" w:name="_Toc31717548"/>
      <w:r>
        <w:t>Article 11</w:t>
      </w:r>
      <w:bookmarkEnd w:id="14"/>
    </w:p>
    <w:p w:rsidR="000B17C8" w:rsidRDefault="000B17C8" w:rsidP="00D97693">
      <w:r>
        <w:t>1. The 1969 Liability Convention and this Protocol shall, as between the Parties to this Protocol, be read and interpreted tog</w:t>
      </w:r>
      <w:r w:rsidR="006025BA">
        <w:t>ether as one single instrument.</w:t>
      </w:r>
    </w:p>
    <w:p w:rsidR="000B17C8" w:rsidRDefault="000B17C8" w:rsidP="00D97693">
      <w:r>
        <w:lastRenderedPageBreak/>
        <w:t>2. Articles I to XII ter, including the model certificate, of the 1969 Liability Convention as amended by this Protocol shall be known as the International Convention on Civil Liability for Oil Pollution Damage, 1992 (1992 Liability Convention).</w:t>
      </w:r>
    </w:p>
    <w:p w:rsidR="000B17C8" w:rsidRDefault="000B17C8" w:rsidP="00D97693">
      <w:pPr>
        <w:pStyle w:val="Heading1"/>
        <w:spacing w:after="120"/>
      </w:pPr>
      <w:bookmarkStart w:id="15" w:name="_Toc31717549"/>
      <w:r>
        <w:t>FINAL CLAUSES</w:t>
      </w:r>
      <w:bookmarkEnd w:id="15"/>
    </w:p>
    <w:p w:rsidR="000B17C8" w:rsidRDefault="000B17C8" w:rsidP="00D97693">
      <w:pPr>
        <w:pStyle w:val="Heading2"/>
      </w:pPr>
      <w:bookmarkStart w:id="16" w:name="_Toc31717550"/>
      <w:r>
        <w:t>Article 12</w:t>
      </w:r>
      <w:r w:rsidR="00EE1143">
        <w:br/>
      </w:r>
      <w:r>
        <w:t>Signature, ratification, acceptance, approval and accession</w:t>
      </w:r>
      <w:bookmarkEnd w:id="16"/>
    </w:p>
    <w:p w:rsidR="000B17C8" w:rsidRDefault="000B17C8" w:rsidP="00D97693">
      <w:r>
        <w:t>1. This Protocol shall be open for signature at London from 15 January 1993 to</w:t>
      </w:r>
      <w:r w:rsidR="006025BA">
        <w:t xml:space="preserve"> 14 January 1994 by all States.</w:t>
      </w:r>
    </w:p>
    <w:p w:rsidR="000B17C8" w:rsidRDefault="000B17C8" w:rsidP="00D97693">
      <w:r>
        <w:t>2. Subject to paragraph 4, any State may beco</w:t>
      </w:r>
      <w:r w:rsidR="006025BA">
        <w:t>me a Party to this Protocol by:</w:t>
      </w:r>
    </w:p>
    <w:p w:rsidR="000B17C8" w:rsidRDefault="000B17C8" w:rsidP="00D97693">
      <w:pPr>
        <w:ind w:left="720"/>
      </w:pPr>
      <w:r>
        <w:t>(a) signature subject to ratification, acceptance or approval followed by ratification, acceptance or approval; or</w:t>
      </w:r>
    </w:p>
    <w:p w:rsidR="000B17C8" w:rsidRDefault="000B17C8" w:rsidP="00D97693">
      <w:pPr>
        <w:ind w:left="720"/>
      </w:pPr>
      <w:r>
        <w:t>(b) accession.</w:t>
      </w:r>
    </w:p>
    <w:p w:rsidR="000B17C8" w:rsidRDefault="000B17C8" w:rsidP="00D97693">
      <w:r>
        <w:t>3. Ratification, acceptance, approval or accession shall be effected by the deposit of a formal instrument to that effect with the Secretary-General of the Organization.</w:t>
      </w:r>
    </w:p>
    <w:p w:rsidR="000B17C8" w:rsidRDefault="000B17C8" w:rsidP="00D97693">
      <w:r>
        <w:t>4. Any Contracting State to the International Convention on the Establishment of an International Fund for Compensation for Oil Pollution Damage, 1971, hereinafter referred to as the 1971 Fund Convention, may ratify, accept, approve or accede to this Protocol only if it ratifies, accepts, approves or accedes to the Protocol of 1992 to amend that Convention at the same time, unless it denounces the 1971 Fund Convention to take effect on the date when this Protocol en</w:t>
      </w:r>
      <w:r w:rsidR="006025BA">
        <w:t>ters into force for that State.</w:t>
      </w:r>
    </w:p>
    <w:p w:rsidR="000B17C8" w:rsidRDefault="000B17C8" w:rsidP="00D97693">
      <w:r>
        <w:t>5. A State which is a Party to this Protocol but not a Party to the 1969 Liability Convention shall be bound by the provisions of the 1969 Liability Convention as amended by this Protocol in relation to other States Parties hereto, but shall not be bound by the provisions of the 1969 Liability Convention in rela</w:t>
      </w:r>
      <w:r w:rsidR="006025BA">
        <w:t>tion to States Parties thereto.</w:t>
      </w:r>
    </w:p>
    <w:p w:rsidR="000B17C8" w:rsidRDefault="000B17C8" w:rsidP="00D97693">
      <w:r>
        <w:t>6. Any instrument of ratification, acceptance, approval or accession deposited after the entry into force of an amendment to the 1969 Liability Convention as amended by this Protocol shall be deemed to apply to the Convention so amended, as modified by such amendment.</w:t>
      </w:r>
    </w:p>
    <w:p w:rsidR="000B17C8" w:rsidRDefault="000B17C8" w:rsidP="00EE1143">
      <w:pPr>
        <w:pStyle w:val="Heading2"/>
      </w:pPr>
      <w:bookmarkStart w:id="17" w:name="_Toc31717551"/>
      <w:r>
        <w:t>Article 13</w:t>
      </w:r>
      <w:r w:rsidR="00EE1143">
        <w:t xml:space="preserve"> </w:t>
      </w:r>
      <w:r w:rsidR="00EE1143">
        <w:br/>
      </w:r>
      <w:r>
        <w:t>Entry into force</w:t>
      </w:r>
      <w:bookmarkEnd w:id="17"/>
    </w:p>
    <w:p w:rsidR="000B17C8" w:rsidRDefault="000B17C8" w:rsidP="00D97693">
      <w:r>
        <w:t>1. This Protocol shall enter into force twelve months following the date on which ten States including four States each with not less than one million units of gross tanker tonnage have deposited instruments of ratification, acceptance, approval or accession with the Secreta</w:t>
      </w:r>
      <w:r w:rsidR="000377CD">
        <w:t>ry-General of the Organization.</w:t>
      </w:r>
    </w:p>
    <w:p w:rsidR="000B17C8" w:rsidRDefault="00EE1143" w:rsidP="00D97693">
      <w:r>
        <w:br w:type="page"/>
      </w:r>
      <w:r w:rsidR="000B17C8">
        <w:lastRenderedPageBreak/>
        <w:t>2. However, any Contracting State to the 1971 Fund Convention may, at the time of the deposit of its instrument of ratification, acceptance, approval or accession in respect of this Protocol, declare that such instrument shall be deemed not to be effective for the purposes of this Article until the end of the six-month period in Article 31 of the Protocol of 1992 to amend the 1971 Fund Convention. A State which is not a Contracting State to the 1971 Fund Convention but which deposits an instrument of ratification, acceptance, approval or accession in respect of the Protocol of 1992 to amend the 1971 Fund Convention may also make a declaration in accordance with this p</w:t>
      </w:r>
      <w:r w:rsidR="000377CD">
        <w:t>aragraph at the same time.</w:t>
      </w:r>
    </w:p>
    <w:p w:rsidR="000B17C8" w:rsidRDefault="000B17C8" w:rsidP="00D97693">
      <w:r>
        <w:t>3. Any State which has made a declaration in accordance with the preceding paragraph may withdraw it at any time by means of a notification addressed to the Secretary-General of the Organization. Any such withdrawal shall take effect on the date the notification is received, provided that such State shall be deemed to have deposited its instrument of ratification, acceptance, approval or accession in respect</w:t>
      </w:r>
      <w:r w:rsidR="000377CD">
        <w:t xml:space="preserve"> of this Protocol on that date.</w:t>
      </w:r>
    </w:p>
    <w:p w:rsidR="000B17C8" w:rsidRDefault="000B17C8" w:rsidP="00D97693">
      <w:r>
        <w:t>4. For any State which ratifies, accepts, approves or accedes to it after the conditions in paragraph 1 for entry into force have been met, this Protocol shall enter into force twelve months following the date of deposit by such State of the appropriate instrument.</w:t>
      </w:r>
    </w:p>
    <w:p w:rsidR="000B17C8" w:rsidRDefault="000B17C8" w:rsidP="00EE1143">
      <w:pPr>
        <w:pStyle w:val="Heading2"/>
      </w:pPr>
      <w:bookmarkStart w:id="18" w:name="_Toc31717552"/>
      <w:r>
        <w:t>Article 14</w:t>
      </w:r>
      <w:r w:rsidR="00EE1143">
        <w:t xml:space="preserve"> </w:t>
      </w:r>
      <w:r w:rsidR="00EE1143">
        <w:br/>
      </w:r>
      <w:r>
        <w:t>Revision and amendment</w:t>
      </w:r>
      <w:bookmarkEnd w:id="18"/>
    </w:p>
    <w:p w:rsidR="000B17C8" w:rsidRDefault="000B17C8" w:rsidP="00D97693">
      <w:r>
        <w:t>1. A Conference for the purpose of revising or amending the 1992 Liability Convention may b</w:t>
      </w:r>
      <w:r w:rsidR="000377CD">
        <w:t>e convened by the Organization.</w:t>
      </w:r>
    </w:p>
    <w:p w:rsidR="000B17C8" w:rsidRDefault="000B17C8" w:rsidP="00D97693">
      <w:r>
        <w:t>2. The Organization shall convene a Conference of Contracting States for the purpose of revising or amending the 1992 Liability Convention at the request of not less than one t</w:t>
      </w:r>
      <w:r w:rsidR="000377CD">
        <w:t>hird of the Contracting States.</w:t>
      </w:r>
    </w:p>
    <w:p w:rsidR="000B17C8" w:rsidRDefault="000B17C8" w:rsidP="00EE1143">
      <w:pPr>
        <w:pStyle w:val="Heading2"/>
      </w:pPr>
      <w:bookmarkStart w:id="19" w:name="_Toc31717553"/>
      <w:r>
        <w:t>Article 15</w:t>
      </w:r>
      <w:r w:rsidR="00EE1143">
        <w:t xml:space="preserve"> </w:t>
      </w:r>
      <w:r w:rsidR="00EE1143">
        <w:br/>
      </w:r>
      <w:r>
        <w:t>Amendments of limitation amounts</w:t>
      </w:r>
      <w:bookmarkEnd w:id="19"/>
    </w:p>
    <w:p w:rsidR="000B17C8" w:rsidRDefault="000B17C8" w:rsidP="00D97693">
      <w:r>
        <w:t>1. Upon the request of at least one quarter of the Contracting States any proposal to amend the limits of liability laid down in Article V, paragraph 1, of the 1969 Liability Convention as amended by this Protocol shall be circulated by the Secretary-General to all Members of the Organization</w:t>
      </w:r>
      <w:r w:rsidR="000377CD">
        <w:t xml:space="preserve"> and to all Contracting States.</w:t>
      </w:r>
    </w:p>
    <w:p w:rsidR="000B17C8" w:rsidRDefault="000B17C8" w:rsidP="00D97693">
      <w:r>
        <w:t>2. Any amendment proposed and circulated as above shall be submitted to the Legal Committee of the Organization for consideration at a date at least six months after the date of its circ</w:t>
      </w:r>
      <w:r w:rsidR="000377CD">
        <w:t>ulation.</w:t>
      </w:r>
    </w:p>
    <w:p w:rsidR="000B17C8" w:rsidRDefault="000B17C8" w:rsidP="00D97693">
      <w:r>
        <w:t>3. All Contracting States to the 1969 Liability Convention as amended by this Protocol, whether or not Members of the Organization, shall be entitled to participate in the proceedings of the Legal Committee for the consideration and adoption of a</w:t>
      </w:r>
      <w:r w:rsidR="000377CD">
        <w:t>mendments.</w:t>
      </w:r>
    </w:p>
    <w:p w:rsidR="000B17C8" w:rsidRDefault="000B17C8" w:rsidP="00D97693">
      <w:r>
        <w:t>4. Amendments shall be adopted by a two-thirds majority of the Contracting States present and voting in the Legal Committee, expanded as provided for in paragraph 3, on condition that at least one half of the Contracting States shall be present</w:t>
      </w:r>
      <w:r w:rsidR="000377CD">
        <w:t xml:space="preserve"> at the time of voting.</w:t>
      </w:r>
    </w:p>
    <w:p w:rsidR="000B17C8" w:rsidRDefault="000B17C8" w:rsidP="00D97693">
      <w:r>
        <w:t xml:space="preserve">5. When acting on a proposal to amend the limits, the Legal Committee shall take into account the experience of incidents and in particular the amount of damage resulting therefrom, changes in the monetary values and the effect of the proposed amendment on the cost of insurance. It shall also take into account the relationship between the limits in Article V, paragraph 1, of the 1969 Liability Convention as amended by this Protocol and those in Article 4, paragraph 4, of the International </w:t>
      </w:r>
      <w:r>
        <w:lastRenderedPageBreak/>
        <w:t xml:space="preserve">Convention on the Establishment of an International Fund for Compensation </w:t>
      </w:r>
      <w:r w:rsidR="000377CD">
        <w:t>for Oil Pollution Damage, 1992.</w:t>
      </w:r>
    </w:p>
    <w:p w:rsidR="000B17C8" w:rsidRDefault="000377CD" w:rsidP="003D4EBE">
      <w:pPr>
        <w:ind w:left="630" w:hanging="630"/>
      </w:pPr>
      <w:r>
        <w:t xml:space="preserve">6. </w:t>
      </w:r>
      <w:r w:rsidR="003D4EBE">
        <w:tab/>
      </w:r>
      <w:r w:rsidR="000B17C8">
        <w:t>(a) No amendment of the limits of liability under this Article may be considered before 15 January 1998 nor less than five years from the date of entry into force of a previous amendment under this Article. No amendment under this Article shall be considered before this P</w:t>
      </w:r>
      <w:r>
        <w:t>rotocol has entered into force.</w:t>
      </w:r>
    </w:p>
    <w:p w:rsidR="000B17C8" w:rsidRDefault="000B17C8" w:rsidP="003D4EBE">
      <w:pPr>
        <w:ind w:left="630"/>
      </w:pPr>
      <w:r>
        <w:t>(b) No limit may be increased so as to exceed an amount which corresponds to the limit laid down in the 1969 Liability Convention as amended by this Protocol increased by 6 per cent per year calculated on a compound basis from 15 January 1993.</w:t>
      </w:r>
    </w:p>
    <w:p w:rsidR="000B17C8" w:rsidRDefault="000B17C8" w:rsidP="003D4EBE">
      <w:pPr>
        <w:ind w:left="630"/>
      </w:pPr>
      <w:r>
        <w:t>(c) No limit may be increased so as to exceed an amount which corresponds to the limit laid down in the 1969 Liability Convention as amended by</w:t>
      </w:r>
      <w:r w:rsidR="000377CD">
        <w:t xml:space="preserve"> this Protocol multiplied by 3.</w:t>
      </w:r>
    </w:p>
    <w:p w:rsidR="000B17C8" w:rsidRDefault="000B17C8" w:rsidP="00D97693">
      <w:r>
        <w:t>7. Any amendment adopted in accordance with paragraph 4 shall be notified by the Organization to all Contracting States. The amendment shall be deemed to have been accepted at the end of a period of eighteen months after the date of notification, unless within that period not less than one quarter of the States that were Contracting States at the time of the adoption of the amendment by the Legal Committee have communicated to the Organization that they do not accept the amendment in which case the amendment is rej</w:t>
      </w:r>
      <w:r w:rsidR="000377CD">
        <w:t>ected and shall have no effect.</w:t>
      </w:r>
    </w:p>
    <w:p w:rsidR="000B17C8" w:rsidRDefault="000B17C8" w:rsidP="00D97693">
      <w:r>
        <w:t>8. An amendment deemed to have been accepted in accordance with paragraph 7 shall enter into force eighte</w:t>
      </w:r>
      <w:r w:rsidR="000377CD">
        <w:t>en months after its acceptance.</w:t>
      </w:r>
    </w:p>
    <w:p w:rsidR="000B17C8" w:rsidRDefault="000B17C8" w:rsidP="00D97693">
      <w:r>
        <w:t>9. All Contracting States shall be bound by the amendment, unless they denounce this Protocol in accordance with Article 16, paragraphs 1 and 2, at least six months before the amendment enters into force. Such denunciation shall take effect when the amendmen</w:t>
      </w:r>
      <w:r w:rsidR="000377CD">
        <w:t>t enters into force.</w:t>
      </w:r>
    </w:p>
    <w:p w:rsidR="000B17C8" w:rsidRDefault="000B17C8" w:rsidP="00D97693">
      <w:r>
        <w:t>10. When an amendment has been adopted by the Legal Committee but the eighteen-month period for its acceptance has not yet expired, a State which becomes a Contracting State during that period shall be bound by the amendment if it enters into force. A State which becomes a Contracting State after that period shall be bound by an amendment which has been accepted in accordance with paragraph 7. In the cases referred to in this paragraph, a State becomes bound by an amendment when that amendment enters into force, or when this Protocol enters into force for that State, if later.</w:t>
      </w:r>
    </w:p>
    <w:p w:rsidR="000B17C8" w:rsidRDefault="000B17C8" w:rsidP="003D4EBE">
      <w:pPr>
        <w:pStyle w:val="Heading2"/>
      </w:pPr>
      <w:bookmarkStart w:id="20" w:name="_Toc31717554"/>
      <w:r>
        <w:t>Article 16</w:t>
      </w:r>
      <w:r w:rsidR="003D4EBE">
        <w:t xml:space="preserve"> </w:t>
      </w:r>
      <w:r w:rsidR="003D4EBE">
        <w:br/>
      </w:r>
      <w:r>
        <w:t>Denunciation</w:t>
      </w:r>
      <w:bookmarkEnd w:id="20"/>
    </w:p>
    <w:p w:rsidR="000B17C8" w:rsidRDefault="000B17C8" w:rsidP="00D97693">
      <w:r>
        <w:t>1. This Protocol may be denounced by any Party at any time after the date on which it en</w:t>
      </w:r>
      <w:r w:rsidR="000377CD">
        <w:t>ters into force for that Party.</w:t>
      </w:r>
    </w:p>
    <w:p w:rsidR="000B17C8" w:rsidRDefault="000B17C8" w:rsidP="00D97693">
      <w:r>
        <w:t>2. Denunciation shall be effected by the deposit of an instrument with the Secreta</w:t>
      </w:r>
      <w:r w:rsidR="000377CD">
        <w:t>ry-General of the Organization.</w:t>
      </w:r>
    </w:p>
    <w:p w:rsidR="000B17C8" w:rsidRDefault="000B17C8" w:rsidP="00D97693">
      <w:r>
        <w:t>3. A denunciation shall take effect twelve months, or such longer period as may be specified in the instrument of denunciation, after its deposit with the Secreta</w:t>
      </w:r>
      <w:r w:rsidR="000377CD">
        <w:t>ry-General of the Organization.</w:t>
      </w:r>
    </w:p>
    <w:p w:rsidR="000B17C8" w:rsidRDefault="000B17C8" w:rsidP="00D97693">
      <w:r>
        <w:t>4. As between the Parties to this Protocol, denunciation by any of them of the 1969 Liability Convention in accordance with Article XVI thereof shall not be construed in any way as a denunciation of the 1969 Liability Conventi</w:t>
      </w:r>
      <w:r w:rsidR="000377CD">
        <w:t>on as amended by this Protocol.</w:t>
      </w:r>
    </w:p>
    <w:p w:rsidR="000B17C8" w:rsidRDefault="003D4EBE" w:rsidP="0061219B">
      <w:r>
        <w:br w:type="page"/>
      </w:r>
      <w:r w:rsidR="000B17C8">
        <w:lastRenderedPageBreak/>
        <w:t>5. Denunciation of the Protocol of 1992 to amend the 1971 Fund Convention by a State which remains a Party to the 1971 Fund Convention shall be deemed to be a denunciation of this Protocol. Such denunciation shall take effect on the date on which denunciation of the Protocol of 1992 to amend the 1971 Fund Convention takes effect according to Article 34 of that Protocol.</w:t>
      </w:r>
      <w:r>
        <w:t xml:space="preserve"> </w:t>
      </w:r>
    </w:p>
    <w:p w:rsidR="000B17C8" w:rsidRDefault="000B17C8" w:rsidP="003D4EBE">
      <w:pPr>
        <w:pStyle w:val="Heading2"/>
      </w:pPr>
      <w:bookmarkStart w:id="21" w:name="_Toc31717555"/>
      <w:r>
        <w:t>Article 17</w:t>
      </w:r>
      <w:r w:rsidR="003D4EBE">
        <w:t xml:space="preserve"> </w:t>
      </w:r>
      <w:r w:rsidR="003D4EBE">
        <w:br/>
      </w:r>
      <w:r>
        <w:t>Depositary</w:t>
      </w:r>
      <w:bookmarkEnd w:id="21"/>
    </w:p>
    <w:p w:rsidR="000B17C8" w:rsidRDefault="000B17C8" w:rsidP="00D97693">
      <w:r>
        <w:t>1. This Protocol and any amendments accepted under Article 15 shall be deposited with the Secretary-General of the Organization.</w:t>
      </w:r>
    </w:p>
    <w:p w:rsidR="000B17C8" w:rsidRDefault="000B17C8" w:rsidP="00D97693">
      <w:r>
        <w:t>2. The Secretary-Gen</w:t>
      </w:r>
      <w:r w:rsidR="000377CD">
        <w:t>eral of the Organization shall:</w:t>
      </w:r>
    </w:p>
    <w:p w:rsidR="000B17C8" w:rsidRDefault="000B17C8" w:rsidP="003D4EBE">
      <w:pPr>
        <w:ind w:left="720"/>
      </w:pPr>
      <w:r>
        <w:t xml:space="preserve">(a) inform all States which have signed </w:t>
      </w:r>
      <w:r w:rsidR="000377CD">
        <w:t>or acceded to this Protocol of:</w:t>
      </w:r>
    </w:p>
    <w:p w:rsidR="000B17C8" w:rsidRDefault="000B17C8" w:rsidP="00D97693">
      <w:pPr>
        <w:ind w:left="1440"/>
      </w:pPr>
      <w:r>
        <w:t>(i) each new signature or deposit of an instrument togeth</w:t>
      </w:r>
      <w:r w:rsidR="000377CD">
        <w:t>er with the date thereof;</w:t>
      </w:r>
    </w:p>
    <w:p w:rsidR="000B17C8" w:rsidRDefault="000B17C8" w:rsidP="00D97693">
      <w:pPr>
        <w:ind w:left="1440"/>
      </w:pPr>
      <w:r>
        <w:t>(ii) each declaration and notification under Article 13 and each declaration and communication under Article V, paragraph 9, of</w:t>
      </w:r>
      <w:r w:rsidR="000377CD">
        <w:t xml:space="preserve"> the 1992 Liability Convention;</w:t>
      </w:r>
    </w:p>
    <w:p w:rsidR="000B17C8" w:rsidRDefault="000B17C8" w:rsidP="00D97693">
      <w:pPr>
        <w:ind w:left="1440"/>
      </w:pPr>
      <w:r>
        <w:t>(iii) the date of ent</w:t>
      </w:r>
      <w:r w:rsidR="000377CD">
        <w:t>ry into force of this Protocol;</w:t>
      </w:r>
    </w:p>
    <w:p w:rsidR="000B17C8" w:rsidRDefault="000B17C8" w:rsidP="00D97693">
      <w:pPr>
        <w:ind w:left="1440"/>
      </w:pPr>
      <w:r>
        <w:t>(iv) any proposal to amend limits of liability which has been made in accordanc</w:t>
      </w:r>
      <w:r w:rsidR="000377CD">
        <w:t>e with Article 15, paragraph 1;</w:t>
      </w:r>
    </w:p>
    <w:p w:rsidR="000B17C8" w:rsidRDefault="000B17C8" w:rsidP="00D97693">
      <w:pPr>
        <w:ind w:left="1440"/>
      </w:pPr>
      <w:r>
        <w:t>(v) any amendment which has been adopted in accordanc</w:t>
      </w:r>
      <w:r w:rsidR="000377CD">
        <w:t>e with Article 15, paragraph 4;</w:t>
      </w:r>
    </w:p>
    <w:p w:rsidR="000B17C8" w:rsidRDefault="000B17C8" w:rsidP="00D97693">
      <w:pPr>
        <w:ind w:left="1440"/>
      </w:pPr>
      <w:r>
        <w:t>(vi) any amendment deemed to have been accepted under Article 15, paragraph 7, together with the date on which that amendment shall enter into force in accordance with paragraphs 8 and 9 of that Article;</w:t>
      </w:r>
    </w:p>
    <w:p w:rsidR="000B17C8" w:rsidRDefault="000B17C8" w:rsidP="00D97693">
      <w:pPr>
        <w:ind w:left="1440"/>
      </w:pPr>
      <w:r>
        <w:t>(vii) the deposit of any instrument of denunciation of this Protocol together with the date of the deposit and the date on which it takes effect;</w:t>
      </w:r>
    </w:p>
    <w:p w:rsidR="000B17C8" w:rsidRDefault="000B17C8" w:rsidP="00D97693">
      <w:pPr>
        <w:ind w:left="1440"/>
      </w:pPr>
      <w:r>
        <w:t>(viii) any denunciation deemed to have been made under Article 16, paragraph 5;</w:t>
      </w:r>
    </w:p>
    <w:p w:rsidR="000B17C8" w:rsidRDefault="000B17C8" w:rsidP="00D97693">
      <w:pPr>
        <w:ind w:left="1440"/>
      </w:pPr>
      <w:r>
        <w:t>(ix) any communication called for b</w:t>
      </w:r>
      <w:r w:rsidR="000377CD">
        <w:t>y any Article of this Protocol;</w:t>
      </w:r>
    </w:p>
    <w:p w:rsidR="000B17C8" w:rsidRDefault="000B17C8" w:rsidP="00D97693">
      <w:pPr>
        <w:ind w:left="720"/>
      </w:pPr>
      <w:r>
        <w:t>(b) transmit certified true copies of this Protocol to all Signatory States and to all States which accede to this Protocol.</w:t>
      </w:r>
    </w:p>
    <w:p w:rsidR="000B17C8" w:rsidRDefault="000B17C8" w:rsidP="00D97693">
      <w:r>
        <w:t>3. As soon as this Protocol enters into force, the text shall be transmitted by the Secretary-General of the Organization to the Secretariat of the United Nations for registration and publication in accordance with Article 102 of the Charter of the United Nations.</w:t>
      </w:r>
    </w:p>
    <w:p w:rsidR="000B17C8" w:rsidRDefault="000B17C8" w:rsidP="003D4EBE">
      <w:pPr>
        <w:pStyle w:val="Heading2"/>
      </w:pPr>
      <w:bookmarkStart w:id="22" w:name="_Toc31717556"/>
      <w:r>
        <w:t>Article 18</w:t>
      </w:r>
      <w:r w:rsidR="003D4EBE">
        <w:t xml:space="preserve"> </w:t>
      </w:r>
      <w:r w:rsidR="003D4EBE">
        <w:br/>
      </w:r>
      <w:r>
        <w:t>Languages</w:t>
      </w:r>
      <w:bookmarkEnd w:id="22"/>
    </w:p>
    <w:p w:rsidR="000B17C8" w:rsidRDefault="000B17C8" w:rsidP="00D97693">
      <w:r>
        <w:t>This Protocol is established in a single original in the Arabic, Chinese, English, French, Russian and Spanish languages, eac</w:t>
      </w:r>
      <w:r w:rsidR="000377CD">
        <w:t>h text being equally authentic.</w:t>
      </w:r>
    </w:p>
    <w:p w:rsidR="000B17C8" w:rsidRDefault="003D4EBE" w:rsidP="00D97693">
      <w:r>
        <w:br w:type="page"/>
      </w:r>
      <w:r w:rsidR="000B17C8">
        <w:lastRenderedPageBreak/>
        <w:t>DONE AT LONDON, this twenty-seventh day of November one thousa</w:t>
      </w:r>
      <w:r w:rsidR="000377CD">
        <w:t>nd nine hundred and ninety-two.</w:t>
      </w:r>
    </w:p>
    <w:p w:rsidR="000B17C8" w:rsidRDefault="000B17C8" w:rsidP="00D97693">
      <w:r>
        <w:t xml:space="preserve">IN WITNESS WHEREOF the undersigned, being duly authorized by their respective Governments for that purpose, have signed this Protocol. </w:t>
      </w:r>
    </w:p>
    <w:p w:rsidR="000B17C8" w:rsidRDefault="000B17C8" w:rsidP="00D97693">
      <w:r>
        <w:t xml:space="preserve">  </w:t>
      </w:r>
    </w:p>
    <w:p w:rsidR="000B17C8" w:rsidRDefault="0061219B" w:rsidP="00E64615">
      <w:pPr>
        <w:pStyle w:val="Heading1"/>
        <w:spacing w:after="120"/>
      </w:pPr>
      <w:r>
        <w:br w:type="page"/>
      </w:r>
      <w:bookmarkStart w:id="23" w:name="_Toc31717557"/>
      <w:r w:rsidR="000B17C8">
        <w:lastRenderedPageBreak/>
        <w:t xml:space="preserve">ANNEX </w:t>
      </w:r>
      <w:r w:rsidR="00E64615">
        <w:br/>
      </w:r>
      <w:r w:rsidR="000B17C8">
        <w:t>CERTIFICATE OF INSURANCE OR OTHER FINANCIAL SECURITY IN RESPECT OF CIVIL LIABILITY FOR OIL POLLUTION DAMAGE</w:t>
      </w:r>
      <w:bookmarkEnd w:id="23"/>
    </w:p>
    <w:p w:rsidR="00B642DF" w:rsidRPr="00A65AE9" w:rsidRDefault="00B642DF" w:rsidP="00D97693">
      <w:pPr>
        <w:autoSpaceDE w:val="0"/>
        <w:autoSpaceDN w:val="0"/>
        <w:adjustRightInd w:val="0"/>
        <w:rPr>
          <w:rFonts w:cs="Arial"/>
          <w:szCs w:val="22"/>
        </w:rPr>
      </w:pPr>
      <w:r w:rsidRPr="00A65AE9">
        <w:rPr>
          <w:rFonts w:cs="Arial"/>
          <w:szCs w:val="22"/>
        </w:rPr>
        <w:t>Issued in accordance with the provisions of A</w:t>
      </w:r>
      <w:r>
        <w:rPr>
          <w:rFonts w:cs="Arial"/>
          <w:szCs w:val="22"/>
        </w:rPr>
        <w:t xml:space="preserve">rticle VII of the International </w:t>
      </w:r>
      <w:r w:rsidRPr="00A65AE9">
        <w:rPr>
          <w:rFonts w:cs="Arial"/>
          <w:szCs w:val="22"/>
        </w:rPr>
        <w:t xml:space="preserve">Convention on Civil Liability for Oil Pollution Damage, </w:t>
      </w:r>
      <w:r w:rsidRPr="00A65AE9">
        <w:rPr>
          <w:rFonts w:cs="Arial"/>
          <w:bCs/>
          <w:szCs w:val="22"/>
        </w:rPr>
        <w:t>1992</w:t>
      </w:r>
      <w:r w:rsidRPr="00A65AE9">
        <w:rPr>
          <w:rFonts w:cs="Arial"/>
          <w:b/>
          <w:bCs/>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6"/>
        <w:gridCol w:w="2216"/>
      </w:tblGrid>
      <w:tr w:rsidR="00B642DF" w:rsidRPr="00422344" w:rsidTr="00422344">
        <w:trPr>
          <w:jc w:val="center"/>
        </w:trPr>
        <w:tc>
          <w:tcPr>
            <w:tcW w:w="2215" w:type="dxa"/>
            <w:shd w:val="clear" w:color="auto" w:fill="auto"/>
          </w:tcPr>
          <w:p w:rsidR="00B642DF" w:rsidRPr="00422344" w:rsidRDefault="00B642DF" w:rsidP="00422344">
            <w:pPr>
              <w:autoSpaceDE w:val="0"/>
              <w:autoSpaceDN w:val="0"/>
              <w:adjustRightInd w:val="0"/>
              <w:jc w:val="center"/>
              <w:rPr>
                <w:rFonts w:cs="Arial"/>
                <w:bCs/>
              </w:rPr>
            </w:pPr>
            <w:r w:rsidRPr="00422344">
              <w:rPr>
                <w:rFonts w:cs="Arial"/>
              </w:rPr>
              <w:t>Name of ship</w:t>
            </w:r>
          </w:p>
        </w:tc>
        <w:tc>
          <w:tcPr>
            <w:tcW w:w="2215" w:type="dxa"/>
            <w:shd w:val="clear" w:color="auto" w:fill="auto"/>
          </w:tcPr>
          <w:p w:rsidR="00B642DF" w:rsidRPr="00422344" w:rsidRDefault="00B642DF" w:rsidP="00422344">
            <w:pPr>
              <w:autoSpaceDE w:val="0"/>
              <w:autoSpaceDN w:val="0"/>
              <w:adjustRightInd w:val="0"/>
              <w:jc w:val="center"/>
              <w:rPr>
                <w:rFonts w:cs="Arial"/>
                <w:bCs/>
              </w:rPr>
            </w:pPr>
            <w:r w:rsidRPr="00422344">
              <w:rPr>
                <w:rFonts w:cs="Arial"/>
              </w:rPr>
              <w:t>Distinctive number or letters</w:t>
            </w:r>
          </w:p>
        </w:tc>
        <w:tc>
          <w:tcPr>
            <w:tcW w:w="2216" w:type="dxa"/>
            <w:shd w:val="clear" w:color="auto" w:fill="auto"/>
          </w:tcPr>
          <w:p w:rsidR="00B642DF" w:rsidRPr="00422344" w:rsidRDefault="00B642DF" w:rsidP="00422344">
            <w:pPr>
              <w:autoSpaceDE w:val="0"/>
              <w:autoSpaceDN w:val="0"/>
              <w:adjustRightInd w:val="0"/>
              <w:jc w:val="center"/>
              <w:rPr>
                <w:rFonts w:cs="Arial"/>
                <w:bCs/>
              </w:rPr>
            </w:pPr>
            <w:r w:rsidRPr="00422344">
              <w:rPr>
                <w:rFonts w:cs="Arial"/>
              </w:rPr>
              <w:t>Port of registry</w:t>
            </w:r>
          </w:p>
        </w:tc>
        <w:tc>
          <w:tcPr>
            <w:tcW w:w="2216" w:type="dxa"/>
            <w:shd w:val="clear" w:color="auto" w:fill="auto"/>
          </w:tcPr>
          <w:p w:rsidR="00B642DF" w:rsidRPr="00422344" w:rsidRDefault="00B642DF" w:rsidP="00422344">
            <w:pPr>
              <w:autoSpaceDE w:val="0"/>
              <w:autoSpaceDN w:val="0"/>
              <w:adjustRightInd w:val="0"/>
              <w:jc w:val="center"/>
              <w:rPr>
                <w:rFonts w:cs="Arial"/>
                <w:bCs/>
              </w:rPr>
            </w:pPr>
            <w:r w:rsidRPr="00422344">
              <w:rPr>
                <w:rFonts w:cs="Arial"/>
                <w:bCs/>
              </w:rPr>
              <w:t xml:space="preserve">Name </w:t>
            </w:r>
            <w:r w:rsidRPr="00422344">
              <w:rPr>
                <w:rFonts w:cs="Arial"/>
              </w:rPr>
              <w:t>and address of owner</w:t>
            </w:r>
          </w:p>
        </w:tc>
      </w:tr>
      <w:tr w:rsidR="00B642DF" w:rsidRPr="00422344" w:rsidTr="00422344">
        <w:trPr>
          <w:jc w:val="center"/>
        </w:trPr>
        <w:tc>
          <w:tcPr>
            <w:tcW w:w="2215" w:type="dxa"/>
            <w:shd w:val="clear" w:color="auto" w:fill="auto"/>
          </w:tcPr>
          <w:p w:rsidR="00B642DF" w:rsidRPr="00422344" w:rsidRDefault="00B642DF" w:rsidP="00422344">
            <w:pPr>
              <w:autoSpaceDE w:val="0"/>
              <w:autoSpaceDN w:val="0"/>
              <w:adjustRightInd w:val="0"/>
              <w:rPr>
                <w:rFonts w:cs="Arial"/>
                <w:bCs/>
              </w:rPr>
            </w:pPr>
          </w:p>
        </w:tc>
        <w:tc>
          <w:tcPr>
            <w:tcW w:w="2215" w:type="dxa"/>
            <w:shd w:val="clear" w:color="auto" w:fill="auto"/>
          </w:tcPr>
          <w:p w:rsidR="00B642DF" w:rsidRPr="00422344" w:rsidRDefault="00B642DF" w:rsidP="00422344">
            <w:pPr>
              <w:autoSpaceDE w:val="0"/>
              <w:autoSpaceDN w:val="0"/>
              <w:adjustRightInd w:val="0"/>
              <w:rPr>
                <w:rFonts w:cs="Arial"/>
                <w:bCs/>
              </w:rPr>
            </w:pPr>
          </w:p>
        </w:tc>
        <w:tc>
          <w:tcPr>
            <w:tcW w:w="2216" w:type="dxa"/>
            <w:shd w:val="clear" w:color="auto" w:fill="auto"/>
          </w:tcPr>
          <w:p w:rsidR="00B642DF" w:rsidRPr="00422344" w:rsidRDefault="00B642DF" w:rsidP="00422344">
            <w:pPr>
              <w:autoSpaceDE w:val="0"/>
              <w:autoSpaceDN w:val="0"/>
              <w:adjustRightInd w:val="0"/>
              <w:rPr>
                <w:rFonts w:cs="Arial"/>
                <w:bCs/>
              </w:rPr>
            </w:pPr>
          </w:p>
        </w:tc>
        <w:tc>
          <w:tcPr>
            <w:tcW w:w="2216" w:type="dxa"/>
            <w:shd w:val="clear" w:color="auto" w:fill="auto"/>
          </w:tcPr>
          <w:p w:rsidR="00B642DF" w:rsidRPr="00422344" w:rsidRDefault="00B642DF" w:rsidP="00422344">
            <w:pPr>
              <w:autoSpaceDE w:val="0"/>
              <w:autoSpaceDN w:val="0"/>
              <w:adjustRightInd w:val="0"/>
              <w:rPr>
                <w:rFonts w:cs="Arial"/>
                <w:bCs/>
              </w:rPr>
            </w:pPr>
          </w:p>
        </w:tc>
      </w:tr>
    </w:tbl>
    <w:p w:rsidR="00B642DF" w:rsidRPr="00E83262" w:rsidRDefault="00B642DF" w:rsidP="00D97693">
      <w:pPr>
        <w:autoSpaceDE w:val="0"/>
        <w:autoSpaceDN w:val="0"/>
        <w:adjustRightInd w:val="0"/>
        <w:rPr>
          <w:rFonts w:cs="Arial"/>
          <w:szCs w:val="22"/>
        </w:rPr>
      </w:pPr>
      <w:r w:rsidRPr="00A65AE9">
        <w:rPr>
          <w:rFonts w:cs="Arial"/>
          <w:szCs w:val="22"/>
        </w:rPr>
        <w:t xml:space="preserve">This is to certify that there is in force in respect </w:t>
      </w:r>
      <w:r w:rsidRPr="00E83262">
        <w:rPr>
          <w:rFonts w:cs="Arial"/>
          <w:bCs/>
          <w:szCs w:val="22"/>
        </w:rPr>
        <w:t>of</w:t>
      </w:r>
      <w:r w:rsidRPr="00A65AE9">
        <w:rPr>
          <w:rFonts w:cs="Arial"/>
          <w:b/>
          <w:bCs/>
          <w:szCs w:val="22"/>
        </w:rPr>
        <w:t xml:space="preserve"> </w:t>
      </w:r>
      <w:r w:rsidRPr="00A65AE9">
        <w:rPr>
          <w:rFonts w:cs="Arial"/>
          <w:szCs w:val="22"/>
        </w:rPr>
        <w:t>the above-named</w:t>
      </w:r>
      <w:r>
        <w:rPr>
          <w:rFonts w:cs="Arial"/>
          <w:szCs w:val="22"/>
        </w:rPr>
        <w:t xml:space="preserve"> </w:t>
      </w:r>
      <w:r w:rsidRPr="00A65AE9">
        <w:rPr>
          <w:rFonts w:cs="Arial"/>
          <w:szCs w:val="22"/>
        </w:rPr>
        <w:t>ship a policy of insurance or other fi</w:t>
      </w:r>
      <w:r>
        <w:rPr>
          <w:rFonts w:cs="Arial"/>
          <w:szCs w:val="22"/>
        </w:rPr>
        <w:t xml:space="preserve">nancial security satisfying the </w:t>
      </w:r>
      <w:r w:rsidRPr="00A65AE9">
        <w:rPr>
          <w:rFonts w:cs="Arial"/>
          <w:szCs w:val="22"/>
        </w:rPr>
        <w:t>requirements of Article VII of the Internationa</w:t>
      </w:r>
      <w:r>
        <w:rPr>
          <w:rFonts w:cs="Arial"/>
          <w:szCs w:val="22"/>
        </w:rPr>
        <w:t xml:space="preserve">l Convention on Civil Liability </w:t>
      </w:r>
      <w:r w:rsidRPr="00A65AE9">
        <w:rPr>
          <w:rFonts w:cs="Arial"/>
          <w:szCs w:val="22"/>
        </w:rPr>
        <w:t xml:space="preserve">for Oil Pollution Damage, </w:t>
      </w:r>
      <w:r w:rsidRPr="00E83262">
        <w:rPr>
          <w:rFonts w:cs="Arial"/>
          <w:bCs/>
          <w:szCs w:val="22"/>
        </w:rPr>
        <w:t>1992</w:t>
      </w:r>
      <w:r w:rsidRPr="00A65AE9">
        <w:rPr>
          <w:rFonts w:cs="Arial"/>
          <w:b/>
          <w:bCs/>
          <w:szCs w:val="22"/>
        </w:rPr>
        <w:t>.</w:t>
      </w:r>
    </w:p>
    <w:p w:rsidR="00B642DF" w:rsidRDefault="00B642DF" w:rsidP="003D4EBE">
      <w:pPr>
        <w:autoSpaceDE w:val="0"/>
        <w:autoSpaceDN w:val="0"/>
        <w:adjustRightInd w:val="0"/>
        <w:spacing w:before="0" w:line="240" w:lineRule="auto"/>
        <w:rPr>
          <w:rFonts w:cs="Arial"/>
          <w:szCs w:val="22"/>
        </w:rPr>
      </w:pPr>
      <w:r w:rsidRPr="00A65AE9">
        <w:rPr>
          <w:rFonts w:cs="Arial"/>
          <w:szCs w:val="22"/>
        </w:rPr>
        <w:t xml:space="preserve">Type of Security </w:t>
      </w:r>
      <w:r>
        <w:rPr>
          <w:rFonts w:cs="Arial"/>
          <w:szCs w:val="22"/>
        </w:rPr>
        <w:t>………………………………………………………………………………......</w:t>
      </w:r>
    </w:p>
    <w:p w:rsidR="00B642DF" w:rsidRPr="00A65AE9" w:rsidRDefault="00B642DF" w:rsidP="003D4EBE">
      <w:pPr>
        <w:autoSpaceDE w:val="0"/>
        <w:autoSpaceDN w:val="0"/>
        <w:adjustRightInd w:val="0"/>
        <w:spacing w:before="0" w:line="240" w:lineRule="auto"/>
        <w:rPr>
          <w:rFonts w:cs="Arial"/>
          <w:b/>
          <w:bCs/>
          <w:szCs w:val="22"/>
        </w:rPr>
      </w:pPr>
      <w:r>
        <w:rPr>
          <w:rFonts w:cs="Arial"/>
          <w:szCs w:val="22"/>
        </w:rPr>
        <w:t>……………………………………………………………………………………………………….</w:t>
      </w:r>
    </w:p>
    <w:p w:rsidR="00B642DF" w:rsidRDefault="00B642DF" w:rsidP="003D4EBE">
      <w:pPr>
        <w:autoSpaceDE w:val="0"/>
        <w:autoSpaceDN w:val="0"/>
        <w:adjustRightInd w:val="0"/>
        <w:spacing w:before="0" w:line="240" w:lineRule="auto"/>
        <w:rPr>
          <w:rFonts w:cs="Arial"/>
          <w:bCs/>
          <w:szCs w:val="22"/>
        </w:rPr>
      </w:pPr>
      <w:r w:rsidRPr="00A65AE9">
        <w:rPr>
          <w:rFonts w:cs="Arial"/>
          <w:szCs w:val="22"/>
        </w:rPr>
        <w:t xml:space="preserve">Duration </w:t>
      </w:r>
      <w:r w:rsidRPr="00E83262">
        <w:rPr>
          <w:rFonts w:cs="Arial"/>
          <w:bCs/>
          <w:szCs w:val="22"/>
        </w:rPr>
        <w:t>of Security</w:t>
      </w:r>
      <w:r>
        <w:rPr>
          <w:rFonts w:cs="Arial"/>
          <w:bCs/>
          <w:szCs w:val="22"/>
        </w:rPr>
        <w:t>……………………………………………………………………………….</w:t>
      </w:r>
    </w:p>
    <w:p w:rsidR="00B642DF" w:rsidRPr="00A65AE9" w:rsidRDefault="00B642DF" w:rsidP="003D4EBE">
      <w:pPr>
        <w:autoSpaceDE w:val="0"/>
        <w:autoSpaceDN w:val="0"/>
        <w:adjustRightInd w:val="0"/>
        <w:spacing w:before="0" w:line="240" w:lineRule="auto"/>
        <w:rPr>
          <w:rFonts w:cs="Arial"/>
          <w:b/>
          <w:bCs/>
          <w:szCs w:val="22"/>
        </w:rPr>
      </w:pPr>
      <w:r>
        <w:rPr>
          <w:rFonts w:cs="Arial"/>
          <w:szCs w:val="22"/>
        </w:rPr>
        <w:t>……………………………………………………………………………………………………….</w:t>
      </w:r>
    </w:p>
    <w:p w:rsidR="00B642DF" w:rsidRPr="00A65AE9" w:rsidRDefault="00B642DF" w:rsidP="003D4EBE">
      <w:pPr>
        <w:autoSpaceDE w:val="0"/>
        <w:autoSpaceDN w:val="0"/>
        <w:adjustRightInd w:val="0"/>
        <w:spacing w:before="0" w:line="240" w:lineRule="auto"/>
        <w:rPr>
          <w:rFonts w:cs="Arial"/>
          <w:szCs w:val="22"/>
        </w:rPr>
      </w:pPr>
      <w:r w:rsidRPr="00A65AE9">
        <w:rPr>
          <w:rFonts w:cs="Arial"/>
          <w:szCs w:val="22"/>
        </w:rPr>
        <w:t>Name and Address of the Insurer(s) and/or Guarantor(s)</w:t>
      </w:r>
    </w:p>
    <w:p w:rsidR="00B642DF" w:rsidRDefault="00B642DF" w:rsidP="003D4EBE">
      <w:pPr>
        <w:autoSpaceDE w:val="0"/>
        <w:autoSpaceDN w:val="0"/>
        <w:adjustRightInd w:val="0"/>
        <w:spacing w:before="0" w:line="240" w:lineRule="auto"/>
        <w:rPr>
          <w:rFonts w:cs="Arial"/>
          <w:szCs w:val="22"/>
        </w:rPr>
      </w:pPr>
      <w:r w:rsidRPr="00A65AE9">
        <w:rPr>
          <w:rFonts w:cs="Arial"/>
          <w:szCs w:val="22"/>
        </w:rPr>
        <w:t xml:space="preserve">Name </w:t>
      </w:r>
      <w:r>
        <w:rPr>
          <w:rFonts w:cs="Arial"/>
          <w:szCs w:val="22"/>
        </w:rPr>
        <w:t>………………………………………………………………………………......................</w:t>
      </w:r>
    </w:p>
    <w:p w:rsidR="00B642DF" w:rsidRPr="00A65AE9" w:rsidRDefault="00B642DF" w:rsidP="003D4EBE">
      <w:pPr>
        <w:autoSpaceDE w:val="0"/>
        <w:autoSpaceDN w:val="0"/>
        <w:adjustRightInd w:val="0"/>
        <w:spacing w:before="0" w:line="240" w:lineRule="auto"/>
        <w:rPr>
          <w:rFonts w:cs="Arial"/>
          <w:b/>
          <w:bCs/>
          <w:szCs w:val="22"/>
        </w:rPr>
      </w:pPr>
      <w:r w:rsidRPr="00A65AE9">
        <w:rPr>
          <w:rFonts w:cs="Arial"/>
          <w:szCs w:val="22"/>
        </w:rPr>
        <w:t xml:space="preserve">Address </w:t>
      </w:r>
      <w:r>
        <w:rPr>
          <w:rFonts w:cs="Arial"/>
          <w:szCs w:val="22"/>
        </w:rPr>
        <w:t>…………………………………………………………………………………………….</w:t>
      </w:r>
    </w:p>
    <w:p w:rsidR="00B642DF" w:rsidRPr="00A65AE9" w:rsidRDefault="00B642DF" w:rsidP="003D4EBE">
      <w:pPr>
        <w:autoSpaceDE w:val="0"/>
        <w:autoSpaceDN w:val="0"/>
        <w:adjustRightInd w:val="0"/>
        <w:spacing w:before="0" w:line="240" w:lineRule="auto"/>
        <w:ind w:left="360" w:right="360"/>
        <w:rPr>
          <w:rFonts w:cs="Arial"/>
          <w:szCs w:val="22"/>
        </w:rPr>
      </w:pPr>
      <w:r w:rsidRPr="00A65AE9">
        <w:rPr>
          <w:rFonts w:cs="Arial"/>
          <w:szCs w:val="22"/>
        </w:rPr>
        <w:t xml:space="preserve">This certificate is valid until </w:t>
      </w:r>
      <w:r>
        <w:rPr>
          <w:rFonts w:cs="Arial"/>
          <w:szCs w:val="22"/>
        </w:rPr>
        <w:t>…………………………………………………………......</w:t>
      </w:r>
    </w:p>
    <w:p w:rsidR="00B642DF" w:rsidRDefault="00B642DF" w:rsidP="003D4EBE">
      <w:pPr>
        <w:autoSpaceDE w:val="0"/>
        <w:autoSpaceDN w:val="0"/>
        <w:adjustRightInd w:val="0"/>
        <w:spacing w:before="0" w:line="240" w:lineRule="auto"/>
        <w:ind w:left="360" w:right="360"/>
        <w:rPr>
          <w:rFonts w:cs="Arial"/>
          <w:szCs w:val="22"/>
        </w:rPr>
      </w:pPr>
      <w:r w:rsidRPr="00A65AE9">
        <w:rPr>
          <w:rFonts w:cs="Arial"/>
          <w:szCs w:val="22"/>
        </w:rPr>
        <w:t xml:space="preserve">Issued or certified </w:t>
      </w:r>
      <w:r w:rsidRPr="00E83262">
        <w:rPr>
          <w:rFonts w:cs="Arial"/>
          <w:bCs/>
          <w:szCs w:val="22"/>
        </w:rPr>
        <w:t>by</w:t>
      </w:r>
      <w:r w:rsidRPr="00A65AE9">
        <w:rPr>
          <w:rFonts w:cs="Arial"/>
          <w:b/>
          <w:bCs/>
          <w:szCs w:val="22"/>
        </w:rPr>
        <w:t xml:space="preserve"> </w:t>
      </w:r>
      <w:r w:rsidRPr="00A65AE9">
        <w:rPr>
          <w:rFonts w:cs="Arial"/>
          <w:szCs w:val="22"/>
        </w:rPr>
        <w:t>the Government of</w:t>
      </w:r>
      <w:r>
        <w:rPr>
          <w:rFonts w:cs="Arial"/>
          <w:szCs w:val="22"/>
        </w:rPr>
        <w:t xml:space="preserve"> ……………………………………………...</w:t>
      </w:r>
    </w:p>
    <w:p w:rsidR="00B642DF" w:rsidRPr="00A65AE9" w:rsidRDefault="00B642DF" w:rsidP="003D4EBE">
      <w:pPr>
        <w:autoSpaceDE w:val="0"/>
        <w:autoSpaceDN w:val="0"/>
        <w:adjustRightInd w:val="0"/>
        <w:spacing w:before="0" w:line="240" w:lineRule="auto"/>
        <w:ind w:left="360" w:right="360"/>
        <w:rPr>
          <w:rFonts w:cs="Arial"/>
          <w:szCs w:val="22"/>
        </w:rPr>
      </w:pPr>
      <w:r>
        <w:rPr>
          <w:rFonts w:cs="Arial"/>
          <w:szCs w:val="22"/>
        </w:rPr>
        <w:t>………………………………………………………………………………………………</w:t>
      </w:r>
    </w:p>
    <w:p w:rsidR="00B642DF" w:rsidRPr="00E83262" w:rsidRDefault="003D4EBE" w:rsidP="003D4EBE">
      <w:pPr>
        <w:autoSpaceDE w:val="0"/>
        <w:autoSpaceDN w:val="0"/>
        <w:adjustRightInd w:val="0"/>
        <w:spacing w:before="0" w:line="240" w:lineRule="auto"/>
        <w:ind w:left="360" w:right="360"/>
        <w:rPr>
          <w:rFonts w:cs="Arial"/>
          <w:bCs/>
          <w:szCs w:val="22"/>
        </w:rPr>
      </w:pPr>
      <w:r>
        <w:rPr>
          <w:rFonts w:cs="Arial"/>
          <w:szCs w:val="22"/>
        </w:rPr>
        <w:t>(F</w:t>
      </w:r>
      <w:r w:rsidR="00B642DF" w:rsidRPr="00A65AE9">
        <w:rPr>
          <w:rFonts w:cs="Arial"/>
          <w:szCs w:val="22"/>
        </w:rPr>
        <w:t xml:space="preserve">ull </w:t>
      </w:r>
      <w:r w:rsidR="00B642DF" w:rsidRPr="00E83262">
        <w:rPr>
          <w:rFonts w:cs="Arial"/>
          <w:bCs/>
          <w:szCs w:val="22"/>
        </w:rPr>
        <w:t>designation of the State)</w:t>
      </w:r>
    </w:p>
    <w:p w:rsidR="00B642DF" w:rsidRPr="00A65AE9" w:rsidRDefault="00B642DF" w:rsidP="003D4EBE">
      <w:pPr>
        <w:autoSpaceDE w:val="0"/>
        <w:autoSpaceDN w:val="0"/>
        <w:adjustRightInd w:val="0"/>
        <w:spacing w:before="0" w:line="240" w:lineRule="auto"/>
        <w:ind w:left="360" w:right="360"/>
        <w:rPr>
          <w:rFonts w:cs="Arial"/>
          <w:szCs w:val="22"/>
        </w:rPr>
      </w:pPr>
      <w:r w:rsidRPr="00A65AE9">
        <w:rPr>
          <w:rFonts w:cs="Arial"/>
          <w:szCs w:val="22"/>
        </w:rPr>
        <w:t xml:space="preserve">At </w:t>
      </w:r>
      <w:r>
        <w:rPr>
          <w:rFonts w:cs="Arial"/>
          <w:szCs w:val="22"/>
        </w:rPr>
        <w:t>………………………………………....</w:t>
      </w:r>
      <w:r w:rsidRPr="00A65AE9">
        <w:rPr>
          <w:rFonts w:cs="Arial"/>
          <w:szCs w:val="22"/>
        </w:rPr>
        <w:t xml:space="preserve"> </w:t>
      </w:r>
      <w:r w:rsidRPr="00E83262">
        <w:rPr>
          <w:rFonts w:cs="Arial"/>
          <w:bCs/>
          <w:szCs w:val="22"/>
        </w:rPr>
        <w:t>On</w:t>
      </w:r>
      <w:r>
        <w:rPr>
          <w:rFonts w:cs="Arial"/>
          <w:bCs/>
          <w:szCs w:val="22"/>
        </w:rPr>
        <w:t>……………………………………………</w:t>
      </w:r>
    </w:p>
    <w:p w:rsidR="00B642DF" w:rsidRPr="00D97693" w:rsidRDefault="00B642DF" w:rsidP="003D4EBE">
      <w:pPr>
        <w:autoSpaceDE w:val="0"/>
        <w:autoSpaceDN w:val="0"/>
        <w:adjustRightInd w:val="0"/>
        <w:spacing w:before="0" w:line="240" w:lineRule="auto"/>
        <w:ind w:left="720" w:right="360" w:firstLine="720"/>
        <w:rPr>
          <w:rFonts w:cs="Arial"/>
          <w:szCs w:val="22"/>
        </w:rPr>
      </w:pPr>
      <w:r w:rsidRPr="00A65AE9">
        <w:rPr>
          <w:rFonts w:cs="Arial"/>
          <w:szCs w:val="22"/>
        </w:rPr>
        <w:t xml:space="preserve">(Place) </w:t>
      </w:r>
      <w:r w:rsidR="003D4EBE">
        <w:rPr>
          <w:rFonts w:cs="Arial"/>
          <w:szCs w:val="22"/>
        </w:rPr>
        <w:tab/>
      </w:r>
      <w:r w:rsidR="003D4EBE">
        <w:rPr>
          <w:rFonts w:cs="Arial"/>
          <w:szCs w:val="22"/>
        </w:rPr>
        <w:tab/>
      </w:r>
      <w:r w:rsidR="003D4EBE">
        <w:rPr>
          <w:rFonts w:cs="Arial"/>
          <w:szCs w:val="22"/>
        </w:rPr>
        <w:tab/>
      </w:r>
      <w:r w:rsidR="003D4EBE">
        <w:rPr>
          <w:rFonts w:cs="Arial"/>
          <w:szCs w:val="22"/>
        </w:rPr>
        <w:tab/>
      </w:r>
      <w:r w:rsidR="003D4EBE">
        <w:rPr>
          <w:rFonts w:cs="Arial"/>
          <w:szCs w:val="22"/>
        </w:rPr>
        <w:tab/>
      </w:r>
      <w:r w:rsidR="00D97693">
        <w:rPr>
          <w:rFonts w:cs="Arial"/>
          <w:szCs w:val="22"/>
        </w:rPr>
        <w:t>(Date)</w:t>
      </w:r>
    </w:p>
    <w:p w:rsidR="00B642DF" w:rsidRPr="00E83262" w:rsidRDefault="00B642DF" w:rsidP="00D97693">
      <w:pPr>
        <w:autoSpaceDE w:val="0"/>
        <w:autoSpaceDN w:val="0"/>
        <w:adjustRightInd w:val="0"/>
        <w:jc w:val="right"/>
        <w:rPr>
          <w:rFonts w:cs="Arial"/>
          <w:bCs/>
          <w:szCs w:val="22"/>
        </w:rPr>
      </w:pPr>
      <w:r w:rsidRPr="00E83262">
        <w:rPr>
          <w:rFonts w:cs="Arial"/>
          <w:bCs/>
          <w:szCs w:val="22"/>
        </w:rPr>
        <w:t>………………………………………</w:t>
      </w:r>
      <w:r>
        <w:rPr>
          <w:rFonts w:cs="Arial"/>
          <w:bCs/>
          <w:szCs w:val="22"/>
        </w:rPr>
        <w:t>….</w:t>
      </w:r>
    </w:p>
    <w:p w:rsidR="00B642DF" w:rsidRDefault="00B642DF" w:rsidP="003D4EBE">
      <w:pPr>
        <w:autoSpaceDE w:val="0"/>
        <w:autoSpaceDN w:val="0"/>
        <w:adjustRightInd w:val="0"/>
        <w:spacing w:before="0" w:after="0" w:line="240" w:lineRule="auto"/>
        <w:ind w:left="5040" w:firstLine="720"/>
        <w:rPr>
          <w:rFonts w:cs="Arial"/>
          <w:szCs w:val="22"/>
        </w:rPr>
      </w:pPr>
      <w:r w:rsidRPr="00A65AE9">
        <w:rPr>
          <w:rFonts w:cs="Arial"/>
          <w:szCs w:val="22"/>
        </w:rPr>
        <w:t>Signature and Title of issuing or</w:t>
      </w:r>
    </w:p>
    <w:p w:rsidR="000B17C8" w:rsidRPr="00B642DF" w:rsidRDefault="00B642DF" w:rsidP="003D4EBE">
      <w:pPr>
        <w:autoSpaceDE w:val="0"/>
        <w:autoSpaceDN w:val="0"/>
        <w:adjustRightInd w:val="0"/>
        <w:spacing w:before="0" w:after="0" w:line="240" w:lineRule="auto"/>
        <w:ind w:left="5040" w:firstLine="720"/>
        <w:rPr>
          <w:rFonts w:cs="Arial"/>
          <w:szCs w:val="22"/>
        </w:rPr>
      </w:pPr>
      <w:r w:rsidRPr="00A65AE9">
        <w:rPr>
          <w:rFonts w:cs="Arial"/>
          <w:szCs w:val="22"/>
        </w:rPr>
        <w:t>certifying official</w:t>
      </w:r>
    </w:p>
    <w:p w:rsidR="000B17C8" w:rsidRDefault="000B17C8" w:rsidP="00D97693">
      <w:r>
        <w:t>Explanatory Notes:</w:t>
      </w:r>
    </w:p>
    <w:p w:rsidR="000B17C8" w:rsidRDefault="000B17C8" w:rsidP="00D97693">
      <w:r>
        <w:t>1. If desired, the designation of the State may include a reference to the competent public authority of the country w</w:t>
      </w:r>
      <w:r w:rsidR="00B642DF">
        <w:t>here the certificate is issued.</w:t>
      </w:r>
    </w:p>
    <w:p w:rsidR="000B17C8" w:rsidRDefault="000B17C8" w:rsidP="00D97693">
      <w:r>
        <w:t>2. If the total amount of security has been furnished by more than one source, the amount of ea</w:t>
      </w:r>
      <w:r w:rsidR="00B642DF">
        <w:t>ch of them should be indicated.</w:t>
      </w:r>
    </w:p>
    <w:p w:rsidR="000B17C8" w:rsidRDefault="000B17C8" w:rsidP="00D97693">
      <w:r>
        <w:t>3. If security is furnished in several for</w:t>
      </w:r>
      <w:r w:rsidR="00B642DF">
        <w:t>ms, these should be enumerated.</w:t>
      </w:r>
    </w:p>
    <w:p w:rsidR="00D11DE9" w:rsidRDefault="000B17C8" w:rsidP="00D97693">
      <w:r>
        <w:t>4. The entry "Duration of Security" must stipulate the date on which such security takes effect.</w:t>
      </w:r>
    </w:p>
    <w:sectPr w:rsidR="00D11DE9"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E0B" w:rsidRDefault="00064E0B" w:rsidP="00F61B4F">
      <w:pPr>
        <w:spacing w:before="0" w:after="0" w:line="240" w:lineRule="auto"/>
      </w:pPr>
      <w:r>
        <w:separator/>
      </w:r>
    </w:p>
  </w:endnote>
  <w:endnote w:type="continuationSeparator" w:id="0">
    <w:p w:rsidR="00064E0B" w:rsidRDefault="00064E0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E64615">
      <w:rPr>
        <w:rFonts w:cs="Arial"/>
        <w:noProof/>
        <w:color w:val="7F7F7F"/>
        <w:sz w:val="16"/>
        <w:szCs w:val="16"/>
      </w:rPr>
      <w:t>7</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E64615">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E0B" w:rsidRDefault="00064E0B" w:rsidP="00F61B4F">
      <w:pPr>
        <w:spacing w:before="0" w:after="0" w:line="240" w:lineRule="auto"/>
      </w:pPr>
      <w:r>
        <w:separator/>
      </w:r>
    </w:p>
  </w:footnote>
  <w:footnote w:type="continuationSeparator" w:id="0">
    <w:p w:rsidR="00064E0B" w:rsidRDefault="00064E0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2E2" w:rsidRPr="00F61B4F" w:rsidRDefault="00D11DE9" w:rsidP="00EE1143">
    <w:pPr>
      <w:pStyle w:val="Header"/>
      <w:pBdr>
        <w:bottom w:val="single" w:sz="4" w:space="1" w:color="auto"/>
      </w:pBdr>
      <w:rPr>
        <w:rFonts w:cs="Arial"/>
        <w:caps/>
        <w:color w:val="808080"/>
        <w:sz w:val="16"/>
        <w:szCs w:val="16"/>
      </w:rPr>
    </w:pPr>
    <w:r>
      <w:rPr>
        <w:rFonts w:cs="Arial"/>
        <w:caps/>
        <w:color w:val="808080"/>
        <w:sz w:val="16"/>
        <w:szCs w:val="16"/>
      </w:rPr>
      <w:t>1992</w:t>
    </w:r>
    <w:r w:rsidR="009C1F5A">
      <w:rPr>
        <w:rFonts w:cs="Arial"/>
        <w:caps/>
        <w:color w:val="808080"/>
        <w:sz w:val="16"/>
        <w:szCs w:val="16"/>
      </w:rPr>
      <w:t xml:space="preserve"> protocol to amend the</w:t>
    </w:r>
    <w:r>
      <w:rPr>
        <w:rFonts w:cs="Arial"/>
        <w:caps/>
        <w:color w:val="808080"/>
        <w:sz w:val="16"/>
        <w:szCs w:val="16"/>
      </w:rPr>
      <w:t xml:space="preserve"> international Convention on Civil Liability for oil pollution damage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C41"/>
    <w:multiLevelType w:val="hybridMultilevel"/>
    <w:tmpl w:val="82E4EB04"/>
    <w:lvl w:ilvl="0" w:tplc="9766BE5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85D75F8"/>
    <w:multiLevelType w:val="hybridMultilevel"/>
    <w:tmpl w:val="04383756"/>
    <w:lvl w:ilvl="0" w:tplc="9766BE5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CB81BE4"/>
    <w:multiLevelType w:val="hybridMultilevel"/>
    <w:tmpl w:val="7674C610"/>
    <w:lvl w:ilvl="0" w:tplc="055265F6">
      <w:start w:val="1"/>
      <w:numFmt w:val="lowerLetter"/>
      <w:lvlText w:val="(%1)"/>
      <w:lvlJc w:val="left"/>
      <w:pPr>
        <w:ind w:left="1080" w:hanging="360"/>
      </w:pPr>
      <w:rPr>
        <w:rFonts w:hint="default"/>
      </w:rPr>
    </w:lvl>
    <w:lvl w:ilvl="1" w:tplc="38706D2A">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0F281D1B"/>
    <w:multiLevelType w:val="hybridMultilevel"/>
    <w:tmpl w:val="8A74EF44"/>
    <w:lvl w:ilvl="0" w:tplc="28D603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0372F2C"/>
    <w:multiLevelType w:val="hybridMultilevel"/>
    <w:tmpl w:val="B38EF94A"/>
    <w:lvl w:ilvl="0" w:tplc="6B96B8EE">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8A789F"/>
    <w:multiLevelType w:val="hybridMultilevel"/>
    <w:tmpl w:val="00DC3682"/>
    <w:lvl w:ilvl="0" w:tplc="2270739A">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15B451F9"/>
    <w:multiLevelType w:val="hybridMultilevel"/>
    <w:tmpl w:val="A5869B20"/>
    <w:lvl w:ilvl="0" w:tplc="9766BE5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6804F72"/>
    <w:multiLevelType w:val="hybridMultilevel"/>
    <w:tmpl w:val="17823954"/>
    <w:lvl w:ilvl="0" w:tplc="C58AE34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B887833"/>
    <w:multiLevelType w:val="hybridMultilevel"/>
    <w:tmpl w:val="851AAE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801436"/>
    <w:multiLevelType w:val="hybridMultilevel"/>
    <w:tmpl w:val="5DCCDE18"/>
    <w:lvl w:ilvl="0" w:tplc="28D603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3053EF9"/>
    <w:multiLevelType w:val="hybridMultilevel"/>
    <w:tmpl w:val="4A0E55C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5ED212B"/>
    <w:multiLevelType w:val="hybridMultilevel"/>
    <w:tmpl w:val="12300FFA"/>
    <w:lvl w:ilvl="0" w:tplc="4809000F">
      <w:start w:val="1"/>
      <w:numFmt w:val="decimal"/>
      <w:lvlText w:val="%1."/>
      <w:lvlJc w:val="left"/>
      <w:pPr>
        <w:ind w:left="720" w:hanging="360"/>
      </w:pPr>
      <w:rPr>
        <w:rFonts w:hint="default"/>
      </w:rPr>
    </w:lvl>
    <w:lvl w:ilvl="1" w:tplc="33165246">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828405C"/>
    <w:multiLevelType w:val="hybridMultilevel"/>
    <w:tmpl w:val="9FC4BB78"/>
    <w:lvl w:ilvl="0" w:tplc="28D603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DED13E7"/>
    <w:multiLevelType w:val="hybridMultilevel"/>
    <w:tmpl w:val="0102E312"/>
    <w:lvl w:ilvl="0" w:tplc="28D603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5BA720A"/>
    <w:multiLevelType w:val="hybridMultilevel"/>
    <w:tmpl w:val="6218A45C"/>
    <w:lvl w:ilvl="0" w:tplc="9C1A39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5D67EF2"/>
    <w:multiLevelType w:val="hybridMultilevel"/>
    <w:tmpl w:val="69102B78"/>
    <w:lvl w:ilvl="0" w:tplc="F28A346C">
      <w:start w:val="2"/>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6957E94"/>
    <w:multiLevelType w:val="hybridMultilevel"/>
    <w:tmpl w:val="170458EE"/>
    <w:lvl w:ilvl="0" w:tplc="9C1A3902">
      <w:start w:val="1"/>
      <w:numFmt w:val="lowerLetter"/>
      <w:lvlText w:val="(%1)"/>
      <w:lvlJc w:val="left"/>
      <w:pPr>
        <w:ind w:left="1080" w:hanging="360"/>
      </w:pPr>
      <w:rPr>
        <w:rFonts w:hint="default"/>
      </w:rPr>
    </w:lvl>
    <w:lvl w:ilvl="1" w:tplc="0A48AAC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47165232"/>
    <w:multiLevelType w:val="hybridMultilevel"/>
    <w:tmpl w:val="2E9C67C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B0676FF"/>
    <w:multiLevelType w:val="hybridMultilevel"/>
    <w:tmpl w:val="330811B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E166646"/>
    <w:multiLevelType w:val="hybridMultilevel"/>
    <w:tmpl w:val="C2221C90"/>
    <w:lvl w:ilvl="0" w:tplc="055265F6">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503300A0"/>
    <w:multiLevelType w:val="hybridMultilevel"/>
    <w:tmpl w:val="58E2410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28C7EBB"/>
    <w:multiLevelType w:val="hybridMultilevel"/>
    <w:tmpl w:val="10EEFE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5875186"/>
    <w:multiLevelType w:val="hybridMultilevel"/>
    <w:tmpl w:val="58CAB4B6"/>
    <w:lvl w:ilvl="0" w:tplc="370C3F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79A03A9"/>
    <w:multiLevelType w:val="hybridMultilevel"/>
    <w:tmpl w:val="227436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5B837838"/>
    <w:multiLevelType w:val="hybridMultilevel"/>
    <w:tmpl w:val="8078FBDC"/>
    <w:lvl w:ilvl="0" w:tplc="28D603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24B32DA"/>
    <w:multiLevelType w:val="hybridMultilevel"/>
    <w:tmpl w:val="F2EA7BE8"/>
    <w:lvl w:ilvl="0" w:tplc="C85C0C0E">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6" w15:restartNumberingAfterBreak="0">
    <w:nsid w:val="63E336B2"/>
    <w:multiLevelType w:val="hybridMultilevel"/>
    <w:tmpl w:val="0DD4F3A6"/>
    <w:lvl w:ilvl="0" w:tplc="28D603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42A7513"/>
    <w:multiLevelType w:val="hybridMultilevel"/>
    <w:tmpl w:val="3014EB3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652D307E"/>
    <w:multiLevelType w:val="hybridMultilevel"/>
    <w:tmpl w:val="0B180E96"/>
    <w:lvl w:ilvl="0" w:tplc="28D603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66EF380A"/>
    <w:multiLevelType w:val="hybridMultilevel"/>
    <w:tmpl w:val="2294E440"/>
    <w:lvl w:ilvl="0" w:tplc="9766BE5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672F3DA3"/>
    <w:multiLevelType w:val="hybridMultilevel"/>
    <w:tmpl w:val="C022496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68AE23CE"/>
    <w:multiLevelType w:val="hybridMultilevel"/>
    <w:tmpl w:val="C1902618"/>
    <w:lvl w:ilvl="0" w:tplc="9C1A390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2" w15:restartNumberingAfterBreak="0">
    <w:nsid w:val="698557F6"/>
    <w:multiLevelType w:val="hybridMultilevel"/>
    <w:tmpl w:val="6F72CC4E"/>
    <w:lvl w:ilvl="0" w:tplc="28D603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B377B5C"/>
    <w:multiLevelType w:val="hybridMultilevel"/>
    <w:tmpl w:val="E4EE248A"/>
    <w:lvl w:ilvl="0" w:tplc="28D6037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D5A6301"/>
    <w:multiLevelType w:val="hybridMultilevel"/>
    <w:tmpl w:val="C6927A6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16D3BB5"/>
    <w:multiLevelType w:val="hybridMultilevel"/>
    <w:tmpl w:val="4C06DCDC"/>
    <w:lvl w:ilvl="0" w:tplc="D1A4209E">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36" w15:restartNumberingAfterBreak="0">
    <w:nsid w:val="75202818"/>
    <w:multiLevelType w:val="hybridMultilevel"/>
    <w:tmpl w:val="CBAAAEAC"/>
    <w:lvl w:ilvl="0" w:tplc="9C1A390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60608D8"/>
    <w:multiLevelType w:val="hybridMultilevel"/>
    <w:tmpl w:val="E892F0A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69A548C"/>
    <w:multiLevelType w:val="hybridMultilevel"/>
    <w:tmpl w:val="954607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8F813C6"/>
    <w:multiLevelType w:val="hybridMultilevel"/>
    <w:tmpl w:val="72FEE43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BDD1D73"/>
    <w:multiLevelType w:val="hybridMultilevel"/>
    <w:tmpl w:val="D4CC1B2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0"/>
  </w:num>
  <w:num w:numId="2">
    <w:abstractNumId w:val="8"/>
  </w:num>
  <w:num w:numId="3">
    <w:abstractNumId w:val="31"/>
  </w:num>
  <w:num w:numId="4">
    <w:abstractNumId w:val="34"/>
  </w:num>
  <w:num w:numId="5">
    <w:abstractNumId w:val="6"/>
  </w:num>
  <w:num w:numId="6">
    <w:abstractNumId w:val="5"/>
  </w:num>
  <w:num w:numId="7">
    <w:abstractNumId w:val="23"/>
  </w:num>
  <w:num w:numId="8">
    <w:abstractNumId w:val="0"/>
  </w:num>
  <w:num w:numId="9">
    <w:abstractNumId w:val="29"/>
  </w:num>
  <w:num w:numId="10">
    <w:abstractNumId w:val="18"/>
  </w:num>
  <w:num w:numId="11">
    <w:abstractNumId w:val="1"/>
  </w:num>
  <w:num w:numId="12">
    <w:abstractNumId w:val="14"/>
  </w:num>
  <w:num w:numId="13">
    <w:abstractNumId w:val="15"/>
  </w:num>
  <w:num w:numId="14">
    <w:abstractNumId w:val="40"/>
  </w:num>
  <w:num w:numId="15">
    <w:abstractNumId w:val="20"/>
  </w:num>
  <w:num w:numId="16">
    <w:abstractNumId w:val="22"/>
  </w:num>
  <w:num w:numId="17">
    <w:abstractNumId w:val="38"/>
  </w:num>
  <w:num w:numId="18">
    <w:abstractNumId w:val="7"/>
  </w:num>
  <w:num w:numId="19">
    <w:abstractNumId w:val="39"/>
  </w:num>
  <w:num w:numId="20">
    <w:abstractNumId w:val="21"/>
  </w:num>
  <w:num w:numId="21">
    <w:abstractNumId w:val="37"/>
  </w:num>
  <w:num w:numId="22">
    <w:abstractNumId w:val="11"/>
  </w:num>
  <w:num w:numId="23">
    <w:abstractNumId w:val="2"/>
  </w:num>
  <w:num w:numId="24">
    <w:abstractNumId w:val="30"/>
  </w:num>
  <w:num w:numId="25">
    <w:abstractNumId w:val="17"/>
  </w:num>
  <w:num w:numId="26">
    <w:abstractNumId w:val="27"/>
  </w:num>
  <w:num w:numId="27">
    <w:abstractNumId w:val="35"/>
  </w:num>
  <w:num w:numId="28">
    <w:abstractNumId w:val="19"/>
  </w:num>
  <w:num w:numId="29">
    <w:abstractNumId w:val="9"/>
  </w:num>
  <w:num w:numId="30">
    <w:abstractNumId w:val="24"/>
  </w:num>
  <w:num w:numId="31">
    <w:abstractNumId w:val="32"/>
  </w:num>
  <w:num w:numId="32">
    <w:abstractNumId w:val="12"/>
  </w:num>
  <w:num w:numId="33">
    <w:abstractNumId w:val="13"/>
  </w:num>
  <w:num w:numId="34">
    <w:abstractNumId w:val="36"/>
  </w:num>
  <w:num w:numId="35">
    <w:abstractNumId w:val="4"/>
  </w:num>
  <w:num w:numId="36">
    <w:abstractNumId w:val="3"/>
  </w:num>
  <w:num w:numId="37">
    <w:abstractNumId w:val="26"/>
  </w:num>
  <w:num w:numId="38">
    <w:abstractNumId w:val="28"/>
  </w:num>
  <w:num w:numId="39">
    <w:abstractNumId w:val="33"/>
  </w:num>
  <w:num w:numId="40">
    <w:abstractNumId w:val="1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85"/>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377CD"/>
    <w:rsid w:val="00040670"/>
    <w:rsid w:val="00045076"/>
    <w:rsid w:val="00045F9A"/>
    <w:rsid w:val="000460FD"/>
    <w:rsid w:val="00046C7E"/>
    <w:rsid w:val="0005003E"/>
    <w:rsid w:val="00050985"/>
    <w:rsid w:val="00055254"/>
    <w:rsid w:val="00055923"/>
    <w:rsid w:val="00061193"/>
    <w:rsid w:val="00061B8B"/>
    <w:rsid w:val="000627D9"/>
    <w:rsid w:val="00063C84"/>
    <w:rsid w:val="00064E0B"/>
    <w:rsid w:val="0007234F"/>
    <w:rsid w:val="000768A2"/>
    <w:rsid w:val="000771E0"/>
    <w:rsid w:val="00080879"/>
    <w:rsid w:val="00080FD6"/>
    <w:rsid w:val="00081E70"/>
    <w:rsid w:val="00082260"/>
    <w:rsid w:val="000922A6"/>
    <w:rsid w:val="0009558E"/>
    <w:rsid w:val="00097F77"/>
    <w:rsid w:val="000A329C"/>
    <w:rsid w:val="000B02EF"/>
    <w:rsid w:val="000B17C8"/>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47"/>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139F"/>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4EBE"/>
    <w:rsid w:val="003D66C8"/>
    <w:rsid w:val="003D682E"/>
    <w:rsid w:val="003D6E5B"/>
    <w:rsid w:val="003E0C85"/>
    <w:rsid w:val="003E69D4"/>
    <w:rsid w:val="003F148C"/>
    <w:rsid w:val="003F1817"/>
    <w:rsid w:val="00401F7F"/>
    <w:rsid w:val="00405210"/>
    <w:rsid w:val="0041215C"/>
    <w:rsid w:val="0042164B"/>
    <w:rsid w:val="00422344"/>
    <w:rsid w:val="0042562D"/>
    <w:rsid w:val="00430AD3"/>
    <w:rsid w:val="00432B9B"/>
    <w:rsid w:val="004410EB"/>
    <w:rsid w:val="00452091"/>
    <w:rsid w:val="00452452"/>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4F4B7A"/>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27B0"/>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25BA"/>
    <w:rsid w:val="006056CA"/>
    <w:rsid w:val="006077DA"/>
    <w:rsid w:val="0061219B"/>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A5B"/>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302D9"/>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5A"/>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462"/>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5067"/>
    <w:rsid w:val="00AE6181"/>
    <w:rsid w:val="00AE64FF"/>
    <w:rsid w:val="00AF1254"/>
    <w:rsid w:val="00AF2BF0"/>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642DF"/>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1DE9"/>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97693"/>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64615"/>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1143"/>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DFCD"/>
  <w15:docId w15:val="{B2FCBE53-F844-4905-9C86-E73F506A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EE1143"/>
    <w:pPr>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EE1143"/>
    <w:rPr>
      <w:rFonts w:ascii="Arial" w:hAnsi="Arial"/>
      <w:u w:val="single"/>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381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atever">
    <w:name w:val="whatever"/>
    <w:basedOn w:val="Normal"/>
    <w:uiPriority w:val="99"/>
    <w:rsid w:val="00B642DF"/>
    <w:pPr>
      <w:spacing w:before="360" w:after="240"/>
      <w:jc w:val="center"/>
      <w:outlineLvl w:val="4"/>
    </w:pPr>
    <w:rPr>
      <w:rFonts w:eastAsia="Times New Roman"/>
      <w:b/>
      <w:bCs/>
      <w:caps/>
      <w:kern w:val="3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034F-2711-4E12-99A5-3904E6F5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13</Pages>
  <Words>5106</Words>
  <Characters>25479</Characters>
  <Application>Microsoft Office Word</Application>
  <DocSecurity>0</DocSecurity>
  <Lines>417</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30387</CharactersWithSpaces>
  <SharedDoc>false</SharedDoc>
  <HLinks>
    <vt:vector size="180" baseType="variant">
      <vt:variant>
        <vt:i4>1900598</vt:i4>
      </vt:variant>
      <vt:variant>
        <vt:i4>164</vt:i4>
      </vt:variant>
      <vt:variant>
        <vt:i4>0</vt:i4>
      </vt:variant>
      <vt:variant>
        <vt:i4>5</vt:i4>
      </vt:variant>
      <vt:variant>
        <vt:lpwstr/>
      </vt:variant>
      <vt:variant>
        <vt:lpwstr>_Toc485740352</vt:lpwstr>
      </vt:variant>
      <vt:variant>
        <vt:i4>1900598</vt:i4>
      </vt:variant>
      <vt:variant>
        <vt:i4>158</vt:i4>
      </vt:variant>
      <vt:variant>
        <vt:i4>0</vt:i4>
      </vt:variant>
      <vt:variant>
        <vt:i4>5</vt:i4>
      </vt:variant>
      <vt:variant>
        <vt:lpwstr/>
      </vt:variant>
      <vt:variant>
        <vt:lpwstr>_Toc485740351</vt:lpwstr>
      </vt:variant>
      <vt:variant>
        <vt:i4>1900598</vt:i4>
      </vt:variant>
      <vt:variant>
        <vt:i4>152</vt:i4>
      </vt:variant>
      <vt:variant>
        <vt:i4>0</vt:i4>
      </vt:variant>
      <vt:variant>
        <vt:i4>5</vt:i4>
      </vt:variant>
      <vt:variant>
        <vt:lpwstr/>
      </vt:variant>
      <vt:variant>
        <vt:lpwstr>_Toc485740350</vt:lpwstr>
      </vt:variant>
      <vt:variant>
        <vt:i4>1835062</vt:i4>
      </vt:variant>
      <vt:variant>
        <vt:i4>146</vt:i4>
      </vt:variant>
      <vt:variant>
        <vt:i4>0</vt:i4>
      </vt:variant>
      <vt:variant>
        <vt:i4>5</vt:i4>
      </vt:variant>
      <vt:variant>
        <vt:lpwstr/>
      </vt:variant>
      <vt:variant>
        <vt:lpwstr>_Toc485740349</vt:lpwstr>
      </vt:variant>
      <vt:variant>
        <vt:i4>1835062</vt:i4>
      </vt:variant>
      <vt:variant>
        <vt:i4>140</vt:i4>
      </vt:variant>
      <vt:variant>
        <vt:i4>0</vt:i4>
      </vt:variant>
      <vt:variant>
        <vt:i4>5</vt:i4>
      </vt:variant>
      <vt:variant>
        <vt:lpwstr/>
      </vt:variant>
      <vt:variant>
        <vt:lpwstr>_Toc485740348</vt:lpwstr>
      </vt:variant>
      <vt:variant>
        <vt:i4>1835062</vt:i4>
      </vt:variant>
      <vt:variant>
        <vt:i4>134</vt:i4>
      </vt:variant>
      <vt:variant>
        <vt:i4>0</vt:i4>
      </vt:variant>
      <vt:variant>
        <vt:i4>5</vt:i4>
      </vt:variant>
      <vt:variant>
        <vt:lpwstr/>
      </vt:variant>
      <vt:variant>
        <vt:lpwstr>_Toc485740347</vt:lpwstr>
      </vt:variant>
      <vt:variant>
        <vt:i4>1835062</vt:i4>
      </vt:variant>
      <vt:variant>
        <vt:i4>128</vt:i4>
      </vt:variant>
      <vt:variant>
        <vt:i4>0</vt:i4>
      </vt:variant>
      <vt:variant>
        <vt:i4>5</vt:i4>
      </vt:variant>
      <vt:variant>
        <vt:lpwstr/>
      </vt:variant>
      <vt:variant>
        <vt:lpwstr>_Toc485740346</vt:lpwstr>
      </vt:variant>
      <vt:variant>
        <vt:i4>1835062</vt:i4>
      </vt:variant>
      <vt:variant>
        <vt:i4>122</vt:i4>
      </vt:variant>
      <vt:variant>
        <vt:i4>0</vt:i4>
      </vt:variant>
      <vt:variant>
        <vt:i4>5</vt:i4>
      </vt:variant>
      <vt:variant>
        <vt:lpwstr/>
      </vt:variant>
      <vt:variant>
        <vt:lpwstr>_Toc485740345</vt:lpwstr>
      </vt:variant>
      <vt:variant>
        <vt:i4>1835062</vt:i4>
      </vt:variant>
      <vt:variant>
        <vt:i4>116</vt:i4>
      </vt:variant>
      <vt:variant>
        <vt:i4>0</vt:i4>
      </vt:variant>
      <vt:variant>
        <vt:i4>5</vt:i4>
      </vt:variant>
      <vt:variant>
        <vt:lpwstr/>
      </vt:variant>
      <vt:variant>
        <vt:lpwstr>_Toc485740344</vt:lpwstr>
      </vt:variant>
      <vt:variant>
        <vt:i4>1835062</vt:i4>
      </vt:variant>
      <vt:variant>
        <vt:i4>110</vt:i4>
      </vt:variant>
      <vt:variant>
        <vt:i4>0</vt:i4>
      </vt:variant>
      <vt:variant>
        <vt:i4>5</vt:i4>
      </vt:variant>
      <vt:variant>
        <vt:lpwstr/>
      </vt:variant>
      <vt:variant>
        <vt:lpwstr>_Toc485740343</vt:lpwstr>
      </vt:variant>
      <vt:variant>
        <vt:i4>1835062</vt:i4>
      </vt:variant>
      <vt:variant>
        <vt:i4>104</vt:i4>
      </vt:variant>
      <vt:variant>
        <vt:i4>0</vt:i4>
      </vt:variant>
      <vt:variant>
        <vt:i4>5</vt:i4>
      </vt:variant>
      <vt:variant>
        <vt:lpwstr/>
      </vt:variant>
      <vt:variant>
        <vt:lpwstr>_Toc485740342</vt:lpwstr>
      </vt:variant>
      <vt:variant>
        <vt:i4>1835062</vt:i4>
      </vt:variant>
      <vt:variant>
        <vt:i4>98</vt:i4>
      </vt:variant>
      <vt:variant>
        <vt:i4>0</vt:i4>
      </vt:variant>
      <vt:variant>
        <vt:i4>5</vt:i4>
      </vt:variant>
      <vt:variant>
        <vt:lpwstr/>
      </vt:variant>
      <vt:variant>
        <vt:lpwstr>_Toc485740341</vt:lpwstr>
      </vt:variant>
      <vt:variant>
        <vt:i4>1835062</vt:i4>
      </vt:variant>
      <vt:variant>
        <vt:i4>92</vt:i4>
      </vt:variant>
      <vt:variant>
        <vt:i4>0</vt:i4>
      </vt:variant>
      <vt:variant>
        <vt:i4>5</vt:i4>
      </vt:variant>
      <vt:variant>
        <vt:lpwstr/>
      </vt:variant>
      <vt:variant>
        <vt:lpwstr>_Toc485740340</vt:lpwstr>
      </vt:variant>
      <vt:variant>
        <vt:i4>1769526</vt:i4>
      </vt:variant>
      <vt:variant>
        <vt:i4>86</vt:i4>
      </vt:variant>
      <vt:variant>
        <vt:i4>0</vt:i4>
      </vt:variant>
      <vt:variant>
        <vt:i4>5</vt:i4>
      </vt:variant>
      <vt:variant>
        <vt:lpwstr/>
      </vt:variant>
      <vt:variant>
        <vt:lpwstr>_Toc485740339</vt:lpwstr>
      </vt:variant>
      <vt:variant>
        <vt:i4>1769526</vt:i4>
      </vt:variant>
      <vt:variant>
        <vt:i4>80</vt:i4>
      </vt:variant>
      <vt:variant>
        <vt:i4>0</vt:i4>
      </vt:variant>
      <vt:variant>
        <vt:i4>5</vt:i4>
      </vt:variant>
      <vt:variant>
        <vt:lpwstr/>
      </vt:variant>
      <vt:variant>
        <vt:lpwstr>_Toc485740338</vt:lpwstr>
      </vt:variant>
      <vt:variant>
        <vt:i4>1769526</vt:i4>
      </vt:variant>
      <vt:variant>
        <vt:i4>74</vt:i4>
      </vt:variant>
      <vt:variant>
        <vt:i4>0</vt:i4>
      </vt:variant>
      <vt:variant>
        <vt:i4>5</vt:i4>
      </vt:variant>
      <vt:variant>
        <vt:lpwstr/>
      </vt:variant>
      <vt:variant>
        <vt:lpwstr>_Toc485740337</vt:lpwstr>
      </vt:variant>
      <vt:variant>
        <vt:i4>1769526</vt:i4>
      </vt:variant>
      <vt:variant>
        <vt:i4>68</vt:i4>
      </vt:variant>
      <vt:variant>
        <vt:i4>0</vt:i4>
      </vt:variant>
      <vt:variant>
        <vt:i4>5</vt:i4>
      </vt:variant>
      <vt:variant>
        <vt:lpwstr/>
      </vt:variant>
      <vt:variant>
        <vt:lpwstr>_Toc485740336</vt:lpwstr>
      </vt:variant>
      <vt:variant>
        <vt:i4>1769526</vt:i4>
      </vt:variant>
      <vt:variant>
        <vt:i4>62</vt:i4>
      </vt:variant>
      <vt:variant>
        <vt:i4>0</vt:i4>
      </vt:variant>
      <vt:variant>
        <vt:i4>5</vt:i4>
      </vt:variant>
      <vt:variant>
        <vt:lpwstr/>
      </vt:variant>
      <vt:variant>
        <vt:lpwstr>_Toc485740335</vt:lpwstr>
      </vt:variant>
      <vt:variant>
        <vt:i4>1769526</vt:i4>
      </vt:variant>
      <vt:variant>
        <vt:i4>56</vt:i4>
      </vt:variant>
      <vt:variant>
        <vt:i4>0</vt:i4>
      </vt:variant>
      <vt:variant>
        <vt:i4>5</vt:i4>
      </vt:variant>
      <vt:variant>
        <vt:lpwstr/>
      </vt:variant>
      <vt:variant>
        <vt:lpwstr>_Toc485740334</vt:lpwstr>
      </vt:variant>
      <vt:variant>
        <vt:i4>1769526</vt:i4>
      </vt:variant>
      <vt:variant>
        <vt:i4>50</vt:i4>
      </vt:variant>
      <vt:variant>
        <vt:i4>0</vt:i4>
      </vt:variant>
      <vt:variant>
        <vt:i4>5</vt:i4>
      </vt:variant>
      <vt:variant>
        <vt:lpwstr/>
      </vt:variant>
      <vt:variant>
        <vt:lpwstr>_Toc485740333</vt:lpwstr>
      </vt:variant>
      <vt:variant>
        <vt:i4>1769526</vt:i4>
      </vt:variant>
      <vt:variant>
        <vt:i4>44</vt:i4>
      </vt:variant>
      <vt:variant>
        <vt:i4>0</vt:i4>
      </vt:variant>
      <vt:variant>
        <vt:i4>5</vt:i4>
      </vt:variant>
      <vt:variant>
        <vt:lpwstr/>
      </vt:variant>
      <vt:variant>
        <vt:lpwstr>_Toc485740332</vt:lpwstr>
      </vt:variant>
      <vt:variant>
        <vt:i4>1769526</vt:i4>
      </vt:variant>
      <vt:variant>
        <vt:i4>38</vt:i4>
      </vt:variant>
      <vt:variant>
        <vt:i4>0</vt:i4>
      </vt:variant>
      <vt:variant>
        <vt:i4>5</vt:i4>
      </vt:variant>
      <vt:variant>
        <vt:lpwstr/>
      </vt:variant>
      <vt:variant>
        <vt:lpwstr>_Toc485740331</vt:lpwstr>
      </vt:variant>
      <vt:variant>
        <vt:i4>1769526</vt:i4>
      </vt:variant>
      <vt:variant>
        <vt:i4>32</vt:i4>
      </vt:variant>
      <vt:variant>
        <vt:i4>0</vt:i4>
      </vt:variant>
      <vt:variant>
        <vt:i4>5</vt:i4>
      </vt:variant>
      <vt:variant>
        <vt:lpwstr/>
      </vt:variant>
      <vt:variant>
        <vt:lpwstr>_Toc485740330</vt:lpwstr>
      </vt:variant>
      <vt:variant>
        <vt:i4>1703990</vt:i4>
      </vt:variant>
      <vt:variant>
        <vt:i4>26</vt:i4>
      </vt:variant>
      <vt:variant>
        <vt:i4>0</vt:i4>
      </vt:variant>
      <vt:variant>
        <vt:i4>5</vt:i4>
      </vt:variant>
      <vt:variant>
        <vt:lpwstr/>
      </vt:variant>
      <vt:variant>
        <vt:lpwstr>_Toc485740329</vt:lpwstr>
      </vt:variant>
      <vt:variant>
        <vt:i4>1703990</vt:i4>
      </vt:variant>
      <vt:variant>
        <vt:i4>20</vt:i4>
      </vt:variant>
      <vt:variant>
        <vt:i4>0</vt:i4>
      </vt:variant>
      <vt:variant>
        <vt:i4>5</vt:i4>
      </vt:variant>
      <vt:variant>
        <vt:lpwstr/>
      </vt:variant>
      <vt:variant>
        <vt:lpwstr>_Toc485740328</vt:lpwstr>
      </vt:variant>
      <vt:variant>
        <vt:i4>1703990</vt:i4>
      </vt:variant>
      <vt:variant>
        <vt:i4>14</vt:i4>
      </vt:variant>
      <vt:variant>
        <vt:i4>0</vt:i4>
      </vt:variant>
      <vt:variant>
        <vt:i4>5</vt:i4>
      </vt:variant>
      <vt:variant>
        <vt:lpwstr/>
      </vt:variant>
      <vt:variant>
        <vt:lpwstr>_Toc485740327</vt:lpwstr>
      </vt:variant>
      <vt:variant>
        <vt:i4>1703990</vt:i4>
      </vt:variant>
      <vt:variant>
        <vt:i4>8</vt:i4>
      </vt:variant>
      <vt:variant>
        <vt:i4>0</vt:i4>
      </vt:variant>
      <vt:variant>
        <vt:i4>5</vt:i4>
      </vt:variant>
      <vt:variant>
        <vt:lpwstr/>
      </vt:variant>
      <vt:variant>
        <vt:lpwstr>_Toc485740326</vt:lpwstr>
      </vt:variant>
      <vt:variant>
        <vt:i4>1703990</vt:i4>
      </vt:variant>
      <vt:variant>
        <vt:i4>2</vt:i4>
      </vt:variant>
      <vt:variant>
        <vt:i4>0</vt:i4>
      </vt:variant>
      <vt:variant>
        <vt:i4>5</vt:i4>
      </vt:variant>
      <vt:variant>
        <vt:lpwstr/>
      </vt:variant>
      <vt:variant>
        <vt:lpwstr>_Toc485740325</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dcterms:created xsi:type="dcterms:W3CDTF">2020-02-04T06:07:00Z</dcterms:created>
  <dcterms:modified xsi:type="dcterms:W3CDTF">2020-02-04T06:07:00Z</dcterms:modified>
</cp:coreProperties>
</file>