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2FA7" w14:textId="77777777" w:rsidR="00366B7D" w:rsidRDefault="1A3B01D7" w:rsidP="009D4184">
      <w:pPr>
        <w:pStyle w:val="FullTitle"/>
      </w:pPr>
      <w:r>
        <w:t>1995 ASEAN FRAMEWORK AGREEMENT ON SERVICES</w:t>
      </w:r>
    </w:p>
    <w:p w14:paraId="2497C207" w14:textId="07453204" w:rsidR="004F0275" w:rsidRDefault="00705195" w:rsidP="00C37EB2">
      <w:pPr>
        <w:pStyle w:val="Subtitle1"/>
      </w:pPr>
      <w:r>
        <w:t>Signed in Bangkok, Thailand on 15</w:t>
      </w:r>
      <w:r w:rsidR="00BC687D" w:rsidRPr="00BC687D">
        <w:rPr>
          <w:vertAlign w:val="superscript"/>
        </w:rPr>
        <w:t>th</w:t>
      </w:r>
      <w:r>
        <w:t xml:space="preserve"> December 1995</w:t>
      </w:r>
    </w:p>
    <w:p w14:paraId="14AE0D7F" w14:textId="77777777" w:rsidR="000B2F33" w:rsidRDefault="000B2F33" w:rsidP="00C37EB2">
      <w:pPr>
        <w:pStyle w:val="Subtitle1"/>
      </w:pPr>
    </w:p>
    <w:p w14:paraId="2BB32585" w14:textId="77777777" w:rsidR="005B7063" w:rsidRDefault="00F51DB2">
      <w:pPr>
        <w:pStyle w:val="TOC1"/>
        <w:rPr>
          <w:rFonts w:asciiTheme="minorHAnsi" w:eastAsiaTheme="minorEastAsia" w:hAnsiTheme="minorHAnsi" w:cstheme="minorBidi"/>
          <w:caps w:val="0"/>
          <w:noProof/>
          <w:sz w:val="22"/>
          <w:szCs w:val="22"/>
          <w:lang w:val="en-SG" w:eastAsia="en-SG"/>
        </w:rPr>
      </w:pPr>
      <w:r>
        <w:fldChar w:fldCharType="begin"/>
      </w:r>
      <w:r>
        <w:instrText xml:space="preserve"> TOC \h \z \t "Heading_1,1,Title,1,Subtitle,2,Heading_2,2" </w:instrText>
      </w:r>
      <w:r>
        <w:fldChar w:fldCharType="separate"/>
      </w:r>
      <w:hyperlink w:anchor="_Toc457570639" w:history="1">
        <w:r w:rsidR="005B7063" w:rsidRPr="001B4DF6">
          <w:rPr>
            <w:rStyle w:val="Hyperlink"/>
            <w:noProof/>
          </w:rPr>
          <w:t>Article I Objectives</w:t>
        </w:r>
        <w:r w:rsidR="005B7063">
          <w:rPr>
            <w:noProof/>
            <w:webHidden/>
          </w:rPr>
          <w:tab/>
        </w:r>
        <w:r w:rsidR="005B7063">
          <w:rPr>
            <w:noProof/>
            <w:webHidden/>
          </w:rPr>
          <w:fldChar w:fldCharType="begin"/>
        </w:r>
        <w:r w:rsidR="005B7063">
          <w:rPr>
            <w:noProof/>
            <w:webHidden/>
          </w:rPr>
          <w:instrText xml:space="preserve"> PAGEREF _Toc457570639 \h </w:instrText>
        </w:r>
        <w:r w:rsidR="005B7063">
          <w:rPr>
            <w:noProof/>
            <w:webHidden/>
          </w:rPr>
        </w:r>
        <w:r w:rsidR="005B7063">
          <w:rPr>
            <w:noProof/>
            <w:webHidden/>
          </w:rPr>
          <w:fldChar w:fldCharType="separate"/>
        </w:r>
        <w:r w:rsidR="00812CB2">
          <w:rPr>
            <w:noProof/>
            <w:webHidden/>
          </w:rPr>
          <w:t>2</w:t>
        </w:r>
        <w:r w:rsidR="005B7063">
          <w:rPr>
            <w:noProof/>
            <w:webHidden/>
          </w:rPr>
          <w:fldChar w:fldCharType="end"/>
        </w:r>
      </w:hyperlink>
    </w:p>
    <w:p w14:paraId="0452A083"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0" w:history="1">
        <w:r w:rsidRPr="001B4DF6">
          <w:rPr>
            <w:rStyle w:val="Hyperlink"/>
            <w:noProof/>
          </w:rPr>
          <w:t>Article II Areas of Cooperation</w:t>
        </w:r>
        <w:r>
          <w:rPr>
            <w:noProof/>
            <w:webHidden/>
          </w:rPr>
          <w:tab/>
        </w:r>
        <w:r>
          <w:rPr>
            <w:noProof/>
            <w:webHidden/>
          </w:rPr>
          <w:fldChar w:fldCharType="begin"/>
        </w:r>
        <w:r>
          <w:rPr>
            <w:noProof/>
            <w:webHidden/>
          </w:rPr>
          <w:instrText xml:space="preserve"> PAGEREF _Toc457570640 \h </w:instrText>
        </w:r>
        <w:r>
          <w:rPr>
            <w:noProof/>
            <w:webHidden/>
          </w:rPr>
        </w:r>
        <w:r>
          <w:rPr>
            <w:noProof/>
            <w:webHidden/>
          </w:rPr>
          <w:fldChar w:fldCharType="separate"/>
        </w:r>
        <w:r w:rsidR="00812CB2">
          <w:rPr>
            <w:noProof/>
            <w:webHidden/>
          </w:rPr>
          <w:t>3</w:t>
        </w:r>
        <w:r>
          <w:rPr>
            <w:noProof/>
            <w:webHidden/>
          </w:rPr>
          <w:fldChar w:fldCharType="end"/>
        </w:r>
      </w:hyperlink>
    </w:p>
    <w:p w14:paraId="1DCF1022"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1" w:history="1">
        <w:r w:rsidRPr="001B4DF6">
          <w:rPr>
            <w:rStyle w:val="Hyperlink"/>
            <w:noProof/>
          </w:rPr>
          <w:t>Article III Liberalisation</w:t>
        </w:r>
        <w:r>
          <w:rPr>
            <w:noProof/>
            <w:webHidden/>
          </w:rPr>
          <w:tab/>
        </w:r>
        <w:r>
          <w:rPr>
            <w:noProof/>
            <w:webHidden/>
          </w:rPr>
          <w:fldChar w:fldCharType="begin"/>
        </w:r>
        <w:r>
          <w:rPr>
            <w:noProof/>
            <w:webHidden/>
          </w:rPr>
          <w:instrText xml:space="preserve"> PAGEREF _Toc457570641 \h </w:instrText>
        </w:r>
        <w:r>
          <w:rPr>
            <w:noProof/>
            <w:webHidden/>
          </w:rPr>
        </w:r>
        <w:r>
          <w:rPr>
            <w:noProof/>
            <w:webHidden/>
          </w:rPr>
          <w:fldChar w:fldCharType="separate"/>
        </w:r>
        <w:r w:rsidR="00812CB2">
          <w:rPr>
            <w:noProof/>
            <w:webHidden/>
          </w:rPr>
          <w:t>3</w:t>
        </w:r>
        <w:r>
          <w:rPr>
            <w:noProof/>
            <w:webHidden/>
          </w:rPr>
          <w:fldChar w:fldCharType="end"/>
        </w:r>
      </w:hyperlink>
    </w:p>
    <w:p w14:paraId="169A7D2E"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2" w:history="1">
        <w:r w:rsidRPr="001B4DF6">
          <w:rPr>
            <w:rStyle w:val="Hyperlink"/>
            <w:noProof/>
          </w:rPr>
          <w:t>Article IV Negotiation of Specific Commitments</w:t>
        </w:r>
        <w:r>
          <w:rPr>
            <w:noProof/>
            <w:webHidden/>
          </w:rPr>
          <w:tab/>
        </w:r>
        <w:r>
          <w:rPr>
            <w:noProof/>
            <w:webHidden/>
          </w:rPr>
          <w:fldChar w:fldCharType="begin"/>
        </w:r>
        <w:r>
          <w:rPr>
            <w:noProof/>
            <w:webHidden/>
          </w:rPr>
          <w:instrText xml:space="preserve"> PAGEREF _Toc457570642 \h </w:instrText>
        </w:r>
        <w:r>
          <w:rPr>
            <w:noProof/>
            <w:webHidden/>
          </w:rPr>
        </w:r>
        <w:r>
          <w:rPr>
            <w:noProof/>
            <w:webHidden/>
          </w:rPr>
          <w:fldChar w:fldCharType="separate"/>
        </w:r>
        <w:r w:rsidR="00812CB2">
          <w:rPr>
            <w:noProof/>
            <w:webHidden/>
          </w:rPr>
          <w:t>3</w:t>
        </w:r>
        <w:r>
          <w:rPr>
            <w:noProof/>
            <w:webHidden/>
          </w:rPr>
          <w:fldChar w:fldCharType="end"/>
        </w:r>
      </w:hyperlink>
    </w:p>
    <w:p w14:paraId="3A38FFDF"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3" w:history="1">
        <w:r w:rsidRPr="001B4DF6">
          <w:rPr>
            <w:rStyle w:val="Hyperlink"/>
            <w:noProof/>
          </w:rPr>
          <w:t>Article V Mutual Recognition</w:t>
        </w:r>
        <w:r>
          <w:rPr>
            <w:noProof/>
            <w:webHidden/>
          </w:rPr>
          <w:tab/>
        </w:r>
        <w:r>
          <w:rPr>
            <w:noProof/>
            <w:webHidden/>
          </w:rPr>
          <w:fldChar w:fldCharType="begin"/>
        </w:r>
        <w:r>
          <w:rPr>
            <w:noProof/>
            <w:webHidden/>
          </w:rPr>
          <w:instrText xml:space="preserve"> PAGEREF _Toc457570643 \h </w:instrText>
        </w:r>
        <w:r>
          <w:rPr>
            <w:noProof/>
            <w:webHidden/>
          </w:rPr>
        </w:r>
        <w:r>
          <w:rPr>
            <w:noProof/>
            <w:webHidden/>
          </w:rPr>
          <w:fldChar w:fldCharType="separate"/>
        </w:r>
        <w:r w:rsidR="00812CB2">
          <w:rPr>
            <w:noProof/>
            <w:webHidden/>
          </w:rPr>
          <w:t>4</w:t>
        </w:r>
        <w:r>
          <w:rPr>
            <w:noProof/>
            <w:webHidden/>
          </w:rPr>
          <w:fldChar w:fldCharType="end"/>
        </w:r>
      </w:hyperlink>
    </w:p>
    <w:p w14:paraId="03485C6C"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4" w:history="1">
        <w:r w:rsidRPr="001B4DF6">
          <w:rPr>
            <w:rStyle w:val="Hyperlink"/>
            <w:noProof/>
          </w:rPr>
          <w:t>Article VI Denial of Benefits</w:t>
        </w:r>
        <w:r>
          <w:rPr>
            <w:noProof/>
            <w:webHidden/>
          </w:rPr>
          <w:tab/>
        </w:r>
        <w:r>
          <w:rPr>
            <w:noProof/>
            <w:webHidden/>
          </w:rPr>
          <w:fldChar w:fldCharType="begin"/>
        </w:r>
        <w:r>
          <w:rPr>
            <w:noProof/>
            <w:webHidden/>
          </w:rPr>
          <w:instrText xml:space="preserve"> PAGEREF _Toc457570644 \h </w:instrText>
        </w:r>
        <w:r>
          <w:rPr>
            <w:noProof/>
            <w:webHidden/>
          </w:rPr>
        </w:r>
        <w:r>
          <w:rPr>
            <w:noProof/>
            <w:webHidden/>
          </w:rPr>
          <w:fldChar w:fldCharType="separate"/>
        </w:r>
        <w:r w:rsidR="00812CB2">
          <w:rPr>
            <w:noProof/>
            <w:webHidden/>
          </w:rPr>
          <w:t>4</w:t>
        </w:r>
        <w:r>
          <w:rPr>
            <w:noProof/>
            <w:webHidden/>
          </w:rPr>
          <w:fldChar w:fldCharType="end"/>
        </w:r>
      </w:hyperlink>
    </w:p>
    <w:p w14:paraId="06A085C2"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5" w:history="1">
        <w:r w:rsidRPr="001B4DF6">
          <w:rPr>
            <w:rStyle w:val="Hyperlink"/>
            <w:noProof/>
          </w:rPr>
          <w:t>Article VII  Settlement of Disputes</w:t>
        </w:r>
        <w:r>
          <w:rPr>
            <w:noProof/>
            <w:webHidden/>
          </w:rPr>
          <w:tab/>
        </w:r>
        <w:r>
          <w:rPr>
            <w:noProof/>
            <w:webHidden/>
          </w:rPr>
          <w:fldChar w:fldCharType="begin"/>
        </w:r>
        <w:r>
          <w:rPr>
            <w:noProof/>
            <w:webHidden/>
          </w:rPr>
          <w:instrText xml:space="preserve"> PAGEREF _Toc457570645 \h </w:instrText>
        </w:r>
        <w:r>
          <w:rPr>
            <w:noProof/>
            <w:webHidden/>
          </w:rPr>
        </w:r>
        <w:r>
          <w:rPr>
            <w:noProof/>
            <w:webHidden/>
          </w:rPr>
          <w:fldChar w:fldCharType="separate"/>
        </w:r>
        <w:r w:rsidR="00812CB2">
          <w:rPr>
            <w:noProof/>
            <w:webHidden/>
          </w:rPr>
          <w:t>4</w:t>
        </w:r>
        <w:r>
          <w:rPr>
            <w:noProof/>
            <w:webHidden/>
          </w:rPr>
          <w:fldChar w:fldCharType="end"/>
        </w:r>
      </w:hyperlink>
    </w:p>
    <w:p w14:paraId="5EF2ECFC"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6" w:history="1">
        <w:r w:rsidRPr="001B4DF6">
          <w:rPr>
            <w:rStyle w:val="Hyperlink"/>
            <w:noProof/>
          </w:rPr>
          <w:t>Article VIII  Supplementary Agreements or Arrangements</w:t>
        </w:r>
        <w:r>
          <w:rPr>
            <w:noProof/>
            <w:webHidden/>
          </w:rPr>
          <w:tab/>
        </w:r>
        <w:r>
          <w:rPr>
            <w:noProof/>
            <w:webHidden/>
          </w:rPr>
          <w:fldChar w:fldCharType="begin"/>
        </w:r>
        <w:r>
          <w:rPr>
            <w:noProof/>
            <w:webHidden/>
          </w:rPr>
          <w:instrText xml:space="preserve"> PAGEREF _Toc457570646 \h </w:instrText>
        </w:r>
        <w:r>
          <w:rPr>
            <w:noProof/>
            <w:webHidden/>
          </w:rPr>
        </w:r>
        <w:r>
          <w:rPr>
            <w:noProof/>
            <w:webHidden/>
          </w:rPr>
          <w:fldChar w:fldCharType="separate"/>
        </w:r>
        <w:r w:rsidR="00812CB2">
          <w:rPr>
            <w:noProof/>
            <w:webHidden/>
          </w:rPr>
          <w:t>4</w:t>
        </w:r>
        <w:r>
          <w:rPr>
            <w:noProof/>
            <w:webHidden/>
          </w:rPr>
          <w:fldChar w:fldCharType="end"/>
        </w:r>
      </w:hyperlink>
    </w:p>
    <w:p w14:paraId="2FFAA2F1"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7" w:history="1">
        <w:r w:rsidRPr="001B4DF6">
          <w:rPr>
            <w:rStyle w:val="Hyperlink"/>
            <w:noProof/>
          </w:rPr>
          <w:t>Article IX  Other Agreements</w:t>
        </w:r>
        <w:r>
          <w:rPr>
            <w:noProof/>
            <w:webHidden/>
          </w:rPr>
          <w:tab/>
        </w:r>
        <w:r>
          <w:rPr>
            <w:noProof/>
            <w:webHidden/>
          </w:rPr>
          <w:fldChar w:fldCharType="begin"/>
        </w:r>
        <w:r>
          <w:rPr>
            <w:noProof/>
            <w:webHidden/>
          </w:rPr>
          <w:instrText xml:space="preserve"> PAGEREF _Toc457570647 \h </w:instrText>
        </w:r>
        <w:r>
          <w:rPr>
            <w:noProof/>
            <w:webHidden/>
          </w:rPr>
        </w:r>
        <w:r>
          <w:rPr>
            <w:noProof/>
            <w:webHidden/>
          </w:rPr>
          <w:fldChar w:fldCharType="separate"/>
        </w:r>
        <w:r w:rsidR="00812CB2">
          <w:rPr>
            <w:noProof/>
            <w:webHidden/>
          </w:rPr>
          <w:t>4</w:t>
        </w:r>
        <w:r>
          <w:rPr>
            <w:noProof/>
            <w:webHidden/>
          </w:rPr>
          <w:fldChar w:fldCharType="end"/>
        </w:r>
      </w:hyperlink>
    </w:p>
    <w:p w14:paraId="03316A6C"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8" w:history="1">
        <w:r w:rsidRPr="001B4DF6">
          <w:rPr>
            <w:rStyle w:val="Hyperlink"/>
            <w:noProof/>
          </w:rPr>
          <w:t>Article X  Modification of Schedules of Specific Commitments</w:t>
        </w:r>
        <w:r>
          <w:rPr>
            <w:noProof/>
            <w:webHidden/>
          </w:rPr>
          <w:tab/>
        </w:r>
        <w:r>
          <w:rPr>
            <w:noProof/>
            <w:webHidden/>
          </w:rPr>
          <w:fldChar w:fldCharType="begin"/>
        </w:r>
        <w:r>
          <w:rPr>
            <w:noProof/>
            <w:webHidden/>
          </w:rPr>
          <w:instrText xml:space="preserve"> PAGEREF _Toc457570648 \h </w:instrText>
        </w:r>
        <w:r>
          <w:rPr>
            <w:noProof/>
            <w:webHidden/>
          </w:rPr>
        </w:r>
        <w:r>
          <w:rPr>
            <w:noProof/>
            <w:webHidden/>
          </w:rPr>
          <w:fldChar w:fldCharType="separate"/>
        </w:r>
        <w:r w:rsidR="00812CB2">
          <w:rPr>
            <w:noProof/>
            <w:webHidden/>
          </w:rPr>
          <w:t>5</w:t>
        </w:r>
        <w:r>
          <w:rPr>
            <w:noProof/>
            <w:webHidden/>
          </w:rPr>
          <w:fldChar w:fldCharType="end"/>
        </w:r>
      </w:hyperlink>
    </w:p>
    <w:p w14:paraId="606C2C74"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49" w:history="1">
        <w:r w:rsidRPr="001B4DF6">
          <w:rPr>
            <w:rStyle w:val="Hyperlink"/>
            <w:noProof/>
          </w:rPr>
          <w:t>Article XI  Institutional Arrangements</w:t>
        </w:r>
        <w:r>
          <w:rPr>
            <w:noProof/>
            <w:webHidden/>
          </w:rPr>
          <w:tab/>
        </w:r>
        <w:r>
          <w:rPr>
            <w:noProof/>
            <w:webHidden/>
          </w:rPr>
          <w:fldChar w:fldCharType="begin"/>
        </w:r>
        <w:r>
          <w:rPr>
            <w:noProof/>
            <w:webHidden/>
          </w:rPr>
          <w:instrText xml:space="preserve"> PAGEREF _Toc457570649 \h </w:instrText>
        </w:r>
        <w:r>
          <w:rPr>
            <w:noProof/>
            <w:webHidden/>
          </w:rPr>
        </w:r>
        <w:r>
          <w:rPr>
            <w:noProof/>
            <w:webHidden/>
          </w:rPr>
          <w:fldChar w:fldCharType="separate"/>
        </w:r>
        <w:r w:rsidR="00812CB2">
          <w:rPr>
            <w:noProof/>
            <w:webHidden/>
          </w:rPr>
          <w:t>5</w:t>
        </w:r>
        <w:r>
          <w:rPr>
            <w:noProof/>
            <w:webHidden/>
          </w:rPr>
          <w:fldChar w:fldCharType="end"/>
        </w:r>
      </w:hyperlink>
    </w:p>
    <w:p w14:paraId="0705E8F3"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50" w:history="1">
        <w:r w:rsidRPr="001B4DF6">
          <w:rPr>
            <w:rStyle w:val="Hyperlink"/>
            <w:noProof/>
          </w:rPr>
          <w:t>Article XII  Amendments</w:t>
        </w:r>
        <w:r>
          <w:rPr>
            <w:noProof/>
            <w:webHidden/>
          </w:rPr>
          <w:tab/>
        </w:r>
        <w:r>
          <w:rPr>
            <w:noProof/>
            <w:webHidden/>
          </w:rPr>
          <w:fldChar w:fldCharType="begin"/>
        </w:r>
        <w:r>
          <w:rPr>
            <w:noProof/>
            <w:webHidden/>
          </w:rPr>
          <w:instrText xml:space="preserve"> PAGEREF _Toc457570650 \h </w:instrText>
        </w:r>
        <w:r>
          <w:rPr>
            <w:noProof/>
            <w:webHidden/>
          </w:rPr>
        </w:r>
        <w:r>
          <w:rPr>
            <w:noProof/>
            <w:webHidden/>
          </w:rPr>
          <w:fldChar w:fldCharType="separate"/>
        </w:r>
        <w:r w:rsidR="00812CB2">
          <w:rPr>
            <w:noProof/>
            <w:webHidden/>
          </w:rPr>
          <w:t>5</w:t>
        </w:r>
        <w:r>
          <w:rPr>
            <w:noProof/>
            <w:webHidden/>
          </w:rPr>
          <w:fldChar w:fldCharType="end"/>
        </w:r>
      </w:hyperlink>
    </w:p>
    <w:p w14:paraId="463D6A46"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51" w:history="1">
        <w:r w:rsidRPr="001B4DF6">
          <w:rPr>
            <w:rStyle w:val="Hyperlink"/>
            <w:noProof/>
          </w:rPr>
          <w:t>Article XIII  Accession of New Members</w:t>
        </w:r>
        <w:r>
          <w:rPr>
            <w:noProof/>
            <w:webHidden/>
          </w:rPr>
          <w:tab/>
        </w:r>
        <w:r>
          <w:rPr>
            <w:noProof/>
            <w:webHidden/>
          </w:rPr>
          <w:fldChar w:fldCharType="begin"/>
        </w:r>
        <w:r>
          <w:rPr>
            <w:noProof/>
            <w:webHidden/>
          </w:rPr>
          <w:instrText xml:space="preserve"> PAGEREF _Toc457570651 \h </w:instrText>
        </w:r>
        <w:r>
          <w:rPr>
            <w:noProof/>
            <w:webHidden/>
          </w:rPr>
        </w:r>
        <w:r>
          <w:rPr>
            <w:noProof/>
            <w:webHidden/>
          </w:rPr>
          <w:fldChar w:fldCharType="separate"/>
        </w:r>
        <w:r w:rsidR="00812CB2">
          <w:rPr>
            <w:noProof/>
            <w:webHidden/>
          </w:rPr>
          <w:t>6</w:t>
        </w:r>
        <w:r>
          <w:rPr>
            <w:noProof/>
            <w:webHidden/>
          </w:rPr>
          <w:fldChar w:fldCharType="end"/>
        </w:r>
      </w:hyperlink>
    </w:p>
    <w:p w14:paraId="38D4D317" w14:textId="77777777" w:rsidR="005B7063" w:rsidRDefault="005B7063">
      <w:pPr>
        <w:pStyle w:val="TOC1"/>
        <w:rPr>
          <w:rFonts w:asciiTheme="minorHAnsi" w:eastAsiaTheme="minorEastAsia" w:hAnsiTheme="minorHAnsi" w:cstheme="minorBidi"/>
          <w:caps w:val="0"/>
          <w:noProof/>
          <w:sz w:val="22"/>
          <w:szCs w:val="22"/>
          <w:lang w:val="en-SG" w:eastAsia="en-SG"/>
        </w:rPr>
      </w:pPr>
      <w:hyperlink w:anchor="_Toc457570652" w:history="1">
        <w:r w:rsidRPr="001B4DF6">
          <w:rPr>
            <w:rStyle w:val="Hyperlink"/>
            <w:noProof/>
          </w:rPr>
          <w:t>Article XIV  Final Provision</w:t>
        </w:r>
        <w:r>
          <w:rPr>
            <w:noProof/>
            <w:webHidden/>
          </w:rPr>
          <w:tab/>
        </w:r>
        <w:r>
          <w:rPr>
            <w:noProof/>
            <w:webHidden/>
          </w:rPr>
          <w:fldChar w:fldCharType="begin"/>
        </w:r>
        <w:r>
          <w:rPr>
            <w:noProof/>
            <w:webHidden/>
          </w:rPr>
          <w:instrText xml:space="preserve"> PAGEREF _Toc457570652 \h </w:instrText>
        </w:r>
        <w:r>
          <w:rPr>
            <w:noProof/>
            <w:webHidden/>
          </w:rPr>
        </w:r>
        <w:r>
          <w:rPr>
            <w:noProof/>
            <w:webHidden/>
          </w:rPr>
          <w:fldChar w:fldCharType="separate"/>
        </w:r>
        <w:r w:rsidR="00812CB2">
          <w:rPr>
            <w:noProof/>
            <w:webHidden/>
          </w:rPr>
          <w:t>6</w:t>
        </w:r>
        <w:r>
          <w:rPr>
            <w:noProof/>
            <w:webHidden/>
          </w:rPr>
          <w:fldChar w:fldCharType="end"/>
        </w:r>
      </w:hyperlink>
    </w:p>
    <w:p w14:paraId="2FF6EDA7" w14:textId="77777777" w:rsidR="00F51DB2" w:rsidRDefault="00F51DB2">
      <w:pPr>
        <w:spacing w:after="160" w:line="259" w:lineRule="auto"/>
      </w:pPr>
      <w:r>
        <w:fldChar w:fldCharType="end"/>
      </w:r>
    </w:p>
    <w:p w14:paraId="18CD2189" w14:textId="77777777" w:rsidR="00F51DB2" w:rsidRDefault="00F51DB2">
      <w:pPr>
        <w:spacing w:after="160" w:line="259" w:lineRule="auto"/>
      </w:pPr>
      <w:r>
        <w:br w:type="page"/>
      </w:r>
    </w:p>
    <w:p w14:paraId="16E24D54" w14:textId="77777777" w:rsidR="00BC687D" w:rsidRDefault="00BC687D" w:rsidP="00BC687D">
      <w:pPr>
        <w:pStyle w:val="FullTitle"/>
      </w:pPr>
      <w:r>
        <w:lastRenderedPageBreak/>
        <w:t>1995 ASEAN FRAMEWORK AGREEMENT ON SERVICES</w:t>
      </w:r>
    </w:p>
    <w:p w14:paraId="089D5569" w14:textId="30920987" w:rsidR="00BC687D" w:rsidRDefault="00BC687D" w:rsidP="00BC687D">
      <w:pPr>
        <w:pStyle w:val="Subtitle1"/>
      </w:pPr>
      <w:r>
        <w:t>Signed in Bangkok, Thailand on 15</w:t>
      </w:r>
      <w:r w:rsidRPr="00BC687D">
        <w:rPr>
          <w:vertAlign w:val="superscript"/>
        </w:rPr>
        <w:t>th</w:t>
      </w:r>
      <w:r>
        <w:t xml:space="preserve"> December 1995</w:t>
      </w:r>
    </w:p>
    <w:p w14:paraId="6D843DC9" w14:textId="77777777" w:rsidR="00BC687D" w:rsidRDefault="00BC687D" w:rsidP="00BC687D">
      <w:pPr>
        <w:pStyle w:val="Subtitle1"/>
      </w:pPr>
    </w:p>
    <w:p w14:paraId="4610DFF9" w14:textId="77777777" w:rsidR="00B307A2" w:rsidRPr="00B307A2" w:rsidRDefault="00B307A2" w:rsidP="00B307A2">
      <w:pPr>
        <w:pStyle w:val="ParagraphText"/>
      </w:pPr>
      <w:r w:rsidRPr="00B307A2">
        <w:t xml:space="preserve">The Governments of Brunei Darussalam, the Republic of Indonesia, Malaysia, the Republic of the Philippines, the Republic of Singapore, the Kingdom of Thailand, and the Socialist Republic of Vietnam, Member States of the Association of South East Asian Nations (hereinafter referred to as "ASEAN"); </w:t>
      </w:r>
    </w:p>
    <w:p w14:paraId="72522A52" w14:textId="77777777" w:rsidR="00B307A2" w:rsidRPr="00B307A2" w:rsidRDefault="00B307A2" w:rsidP="00B307A2">
      <w:pPr>
        <w:pStyle w:val="ParagraphText"/>
      </w:pPr>
      <w:r w:rsidRPr="00BC687D">
        <w:rPr>
          <w:b/>
        </w:rPr>
        <w:t>RECOGNISING</w:t>
      </w:r>
      <w:r w:rsidRPr="00B307A2">
        <w:t xml:space="preserve"> the Singapore Declaration of 1992 which provides that ASEAN shall move towards a higher plane of economic cooperation to secure regional peace and prosperity; </w:t>
      </w:r>
    </w:p>
    <w:p w14:paraId="49290727" w14:textId="77777777" w:rsidR="00B307A2" w:rsidRPr="00B307A2" w:rsidRDefault="00B307A2" w:rsidP="00B307A2">
      <w:pPr>
        <w:pStyle w:val="ParagraphText"/>
      </w:pPr>
      <w:r w:rsidRPr="00BC687D">
        <w:rPr>
          <w:b/>
        </w:rPr>
        <w:t>RECALLING</w:t>
      </w:r>
      <w:r w:rsidRPr="00B307A2">
        <w:t xml:space="preserve"> that the Heads of Government, at the Fourth Summit held in Singapore on 27-28 January 1992 declared that an ASEAN Free Trade Area (AFTA) shall be established in the region; </w:t>
      </w:r>
    </w:p>
    <w:p w14:paraId="6D97A628" w14:textId="77777777" w:rsidR="00B307A2" w:rsidRPr="00B307A2" w:rsidRDefault="00B307A2" w:rsidP="00B307A2">
      <w:pPr>
        <w:pStyle w:val="ParagraphText"/>
      </w:pPr>
      <w:r w:rsidRPr="00BC687D">
        <w:rPr>
          <w:b/>
        </w:rPr>
        <w:t>NOTING</w:t>
      </w:r>
      <w:r w:rsidRPr="00B307A2">
        <w:t xml:space="preserve"> that the Framework Agreement on Enhancing ASEAN Economic Cooperation signed in Singapore on 28 January 1992 provides that ASEAN Member States shall explore further measures on border and non-border areas of cooperation to supplement and complement the </w:t>
      </w:r>
      <w:proofErr w:type="spellStart"/>
      <w:r w:rsidRPr="00B307A2">
        <w:t>liberalisation</w:t>
      </w:r>
      <w:proofErr w:type="spellEnd"/>
      <w:r w:rsidRPr="00B307A2">
        <w:t xml:space="preserve"> of trade; </w:t>
      </w:r>
    </w:p>
    <w:p w14:paraId="501C4FB7" w14:textId="77777777" w:rsidR="00B307A2" w:rsidRPr="00B307A2" w:rsidRDefault="00B307A2" w:rsidP="00B307A2">
      <w:pPr>
        <w:pStyle w:val="ParagraphText"/>
      </w:pPr>
      <w:r w:rsidRPr="00BC687D">
        <w:rPr>
          <w:b/>
        </w:rPr>
        <w:t>RECOGNISING</w:t>
      </w:r>
      <w:r w:rsidRPr="00B307A2">
        <w:t xml:space="preserve"> that intra-ASEAN economic cooperation will secure a liberal trading framework for trade in services which would strengthen and enhance trade in services among ASEAN Member States; </w:t>
      </w:r>
    </w:p>
    <w:p w14:paraId="2F44CDE6" w14:textId="77777777" w:rsidR="00B307A2" w:rsidRPr="00B307A2" w:rsidRDefault="00B307A2" w:rsidP="00B307A2">
      <w:pPr>
        <w:pStyle w:val="ParagraphText"/>
      </w:pPr>
      <w:r w:rsidRPr="00BC687D">
        <w:rPr>
          <w:b/>
        </w:rPr>
        <w:t>DESIRING</w:t>
      </w:r>
      <w:r w:rsidRPr="00B307A2">
        <w:t xml:space="preserve"> to mobilise the private sector in the realisation of economic development of ASEAN Member States in order to improve the efficiency and competitiveness of their service industry sector; </w:t>
      </w:r>
    </w:p>
    <w:p w14:paraId="1FCD573B" w14:textId="77777777" w:rsidR="00B307A2" w:rsidRPr="00B307A2" w:rsidRDefault="00B307A2" w:rsidP="00B307A2">
      <w:pPr>
        <w:pStyle w:val="ParagraphText"/>
      </w:pPr>
      <w:r w:rsidRPr="00BC687D">
        <w:rPr>
          <w:b/>
        </w:rPr>
        <w:t>REITERATING</w:t>
      </w:r>
      <w:r w:rsidRPr="00B307A2">
        <w:t xml:space="preserve"> their commitments to the rules and principles of the General Agreement on Trade in Services (hereinafter referred to as "GATS") and noting that Article V of GATS permits the </w:t>
      </w:r>
      <w:proofErr w:type="spellStart"/>
      <w:r w:rsidRPr="00B307A2">
        <w:t>liberalising</w:t>
      </w:r>
      <w:proofErr w:type="spellEnd"/>
      <w:r w:rsidRPr="00B307A2">
        <w:t xml:space="preserve"> of trade in services between or among the parties to an economic integration agreement; </w:t>
      </w:r>
    </w:p>
    <w:p w14:paraId="252A04E4" w14:textId="77777777" w:rsidR="00B307A2" w:rsidRPr="00B307A2" w:rsidRDefault="00B307A2" w:rsidP="00B307A2">
      <w:pPr>
        <w:pStyle w:val="ParagraphText"/>
      </w:pPr>
      <w:r w:rsidRPr="00BC687D">
        <w:rPr>
          <w:b/>
        </w:rPr>
        <w:t>AFFIRMING</w:t>
      </w:r>
      <w:r w:rsidRPr="00B307A2">
        <w:t xml:space="preserve"> that ASEAN Member States shall extend to one another preference in trade in services; </w:t>
      </w:r>
    </w:p>
    <w:p w14:paraId="389C3045" w14:textId="77777777" w:rsidR="00B307A2" w:rsidRPr="00BC687D" w:rsidRDefault="00B307A2" w:rsidP="00B307A2">
      <w:pPr>
        <w:pStyle w:val="ParagraphText"/>
        <w:rPr>
          <w:b/>
        </w:rPr>
      </w:pPr>
      <w:r w:rsidRPr="00BC687D">
        <w:rPr>
          <w:b/>
        </w:rPr>
        <w:t>HAVE AGREED AS FOLLOWS:</w:t>
      </w:r>
    </w:p>
    <w:p w14:paraId="2AD84B11" w14:textId="7D0654C4" w:rsidR="00B307A2" w:rsidRPr="00EE092B" w:rsidRDefault="00B307A2" w:rsidP="00B307A2">
      <w:pPr>
        <w:pStyle w:val="Heading10"/>
      </w:pPr>
      <w:bookmarkStart w:id="0" w:name="_Toc379552096"/>
      <w:bookmarkStart w:id="1" w:name="_Toc457570639"/>
      <w:r>
        <w:t>Article I</w:t>
      </w:r>
      <w:r w:rsidR="00BC687D">
        <w:br/>
      </w:r>
      <w:r>
        <w:t>O</w:t>
      </w:r>
      <w:r w:rsidRPr="00EE092B">
        <w:t>bjectives</w:t>
      </w:r>
      <w:bookmarkEnd w:id="0"/>
      <w:bookmarkEnd w:id="1"/>
    </w:p>
    <w:p w14:paraId="507B3F7D" w14:textId="77777777" w:rsidR="00B307A2" w:rsidRPr="00EE092B" w:rsidRDefault="00B307A2" w:rsidP="00B307A2">
      <w:pPr>
        <w:pStyle w:val="ParagraphText"/>
      </w:pPr>
      <w:r w:rsidRPr="00EE092B">
        <w:t xml:space="preserve">The objectives of the Member States under the ASEAN Framework Agreement on Services (hereinafter referred to as "this Framework Agreement") are: </w:t>
      </w:r>
    </w:p>
    <w:p w14:paraId="64623F6B" w14:textId="77777777" w:rsidR="00B307A2" w:rsidRDefault="00B307A2" w:rsidP="00B307A2">
      <w:pPr>
        <w:pStyle w:val="ParagraphText"/>
        <w:ind w:left="720"/>
      </w:pPr>
      <w:r w:rsidRPr="00EE092B">
        <w:t xml:space="preserve">(a) to enhance cooperation in services amongst Member States </w:t>
      </w:r>
      <w:proofErr w:type="gramStart"/>
      <w:r w:rsidRPr="00EE092B">
        <w:t>in order to</w:t>
      </w:r>
      <w:proofErr w:type="gramEnd"/>
      <w:r w:rsidRPr="00EE092B">
        <w:t xml:space="preserve"> improve </w:t>
      </w:r>
      <w:proofErr w:type="gramStart"/>
      <w:r w:rsidRPr="00EE092B">
        <w:t>the efficiency</w:t>
      </w:r>
      <w:proofErr w:type="gramEnd"/>
      <w:r w:rsidRPr="00EE092B">
        <w:t xml:space="preserve"> and competitiveness, diversify production capacity and supply and distribution of services of their service suppliers within and outside </w:t>
      </w:r>
      <w:proofErr w:type="gramStart"/>
      <w:r w:rsidRPr="00EE092B">
        <w:t>ASEAN;</w:t>
      </w:r>
      <w:proofErr w:type="gramEnd"/>
      <w:r w:rsidRPr="00EE092B">
        <w:t xml:space="preserve"> </w:t>
      </w:r>
    </w:p>
    <w:p w14:paraId="4F0C6A96" w14:textId="77777777" w:rsidR="00B307A2" w:rsidRDefault="00B307A2" w:rsidP="00B307A2">
      <w:pPr>
        <w:pStyle w:val="ParagraphText"/>
        <w:ind w:left="720"/>
      </w:pPr>
      <w:r w:rsidRPr="00EE092B">
        <w:t xml:space="preserve">(b) to eliminate substantially restrictions </w:t>
      </w:r>
      <w:proofErr w:type="gramStart"/>
      <w:r w:rsidRPr="00EE092B">
        <w:t>to</w:t>
      </w:r>
      <w:proofErr w:type="gramEnd"/>
      <w:r w:rsidRPr="00EE092B">
        <w:t xml:space="preserve"> trade in services amongst Member States; and </w:t>
      </w:r>
    </w:p>
    <w:p w14:paraId="012CB4E7" w14:textId="77777777" w:rsidR="00B307A2" w:rsidRPr="00EE092B" w:rsidRDefault="00B307A2" w:rsidP="00B307A2">
      <w:pPr>
        <w:pStyle w:val="ParagraphText"/>
        <w:ind w:left="720"/>
      </w:pPr>
      <w:r w:rsidRPr="00EE092B">
        <w:t xml:space="preserve">(c) to </w:t>
      </w:r>
      <w:proofErr w:type="spellStart"/>
      <w:r w:rsidRPr="00EE092B">
        <w:t>liberalise</w:t>
      </w:r>
      <w:proofErr w:type="spellEnd"/>
      <w:r w:rsidRPr="00EE092B">
        <w:t xml:space="preserve"> trade in services by expanding the depth and scope of </w:t>
      </w:r>
      <w:proofErr w:type="spellStart"/>
      <w:r w:rsidRPr="00EE092B">
        <w:t>liberalisation</w:t>
      </w:r>
      <w:proofErr w:type="spellEnd"/>
      <w:r w:rsidRPr="00EE092B">
        <w:t xml:space="preserve"> beyond those undertaken by Member States under the GATS with the aim to </w:t>
      </w:r>
      <w:proofErr w:type="spellStart"/>
      <w:r w:rsidRPr="00EE092B">
        <w:t>realising</w:t>
      </w:r>
      <w:proofErr w:type="spellEnd"/>
      <w:r w:rsidRPr="00EE092B">
        <w:t xml:space="preserve"> a free trade area in services. </w:t>
      </w:r>
    </w:p>
    <w:p w14:paraId="7427432B" w14:textId="77777777" w:rsidR="00BC687D" w:rsidRDefault="00BC687D">
      <w:pPr>
        <w:spacing w:after="160" w:line="259" w:lineRule="auto"/>
        <w:rPr>
          <w:rFonts w:ascii="Arial" w:hAnsi="Arial" w:cs="Arial"/>
          <w:b/>
          <w:caps/>
          <w:sz w:val="28"/>
          <w:szCs w:val="28"/>
        </w:rPr>
      </w:pPr>
      <w:bookmarkStart w:id="2" w:name="_Toc379552097"/>
      <w:bookmarkStart w:id="3" w:name="_Toc457570640"/>
      <w:r>
        <w:br w:type="page"/>
      </w:r>
    </w:p>
    <w:p w14:paraId="56729716" w14:textId="46D1A803" w:rsidR="00B307A2" w:rsidRPr="00EE092B" w:rsidRDefault="00B307A2" w:rsidP="00B307A2">
      <w:pPr>
        <w:pStyle w:val="Heading10"/>
      </w:pPr>
      <w:r w:rsidRPr="00EE092B">
        <w:lastRenderedPageBreak/>
        <w:t>Article II Areas of Cooperation</w:t>
      </w:r>
      <w:bookmarkEnd w:id="2"/>
      <w:bookmarkEnd w:id="3"/>
    </w:p>
    <w:p w14:paraId="312D84AB" w14:textId="2148BEC9" w:rsidR="00B307A2" w:rsidRPr="00C55003" w:rsidRDefault="00B307A2" w:rsidP="00BC687D">
      <w:pPr>
        <w:pStyle w:val="ParagraphText"/>
      </w:pPr>
      <w:r>
        <w:t xml:space="preserve">1. </w:t>
      </w:r>
      <w:r w:rsidRPr="00EE092B">
        <w:t xml:space="preserve">All Member States shall participate in the cooperation arrangements under this Framework Agreement. However, taking cognizance of paragraph 3 of Article I of this Framework Agreement on Enhancing ASEAN Economic Cooperation, two or more Member States may proceed first if other Member States are not ready to implement these arrangements. </w:t>
      </w:r>
    </w:p>
    <w:p w14:paraId="7AC5B3B0" w14:textId="77777777" w:rsidR="00B307A2" w:rsidRPr="00EE092B" w:rsidRDefault="00B307A2" w:rsidP="00B307A2">
      <w:pPr>
        <w:pStyle w:val="ParagraphText"/>
      </w:pPr>
      <w:r w:rsidRPr="00EE092B">
        <w:t xml:space="preserve">2. Member States shall strengthen and enhance existing cooperation efforts in service sectors and develop cooperation in sectors that are not covered by existing cooperation arrangements, through inter alia: </w:t>
      </w:r>
    </w:p>
    <w:p w14:paraId="13A5E6D5" w14:textId="77777777" w:rsidR="00B307A2" w:rsidRDefault="00B307A2" w:rsidP="00B307A2">
      <w:pPr>
        <w:pStyle w:val="ParagraphText"/>
        <w:ind w:left="720"/>
      </w:pPr>
      <w:r w:rsidRPr="00EE092B">
        <w:t xml:space="preserve">(a) establishing or improving infrastructural </w:t>
      </w:r>
      <w:proofErr w:type="gramStart"/>
      <w:r w:rsidRPr="00EE092B">
        <w:t>facilities;</w:t>
      </w:r>
      <w:proofErr w:type="gramEnd"/>
      <w:r w:rsidRPr="00EE092B">
        <w:t xml:space="preserve"> </w:t>
      </w:r>
    </w:p>
    <w:p w14:paraId="08DD95DF" w14:textId="77777777" w:rsidR="00B307A2" w:rsidRDefault="00B307A2" w:rsidP="00B307A2">
      <w:pPr>
        <w:pStyle w:val="ParagraphText"/>
        <w:ind w:left="720"/>
      </w:pPr>
      <w:r w:rsidRPr="00EE092B">
        <w:t xml:space="preserve">(b) joint production, marketing and purchasing </w:t>
      </w:r>
      <w:proofErr w:type="gramStart"/>
      <w:r w:rsidRPr="00EE092B">
        <w:t>arrangements;</w:t>
      </w:r>
      <w:proofErr w:type="gramEnd"/>
      <w:r w:rsidRPr="00EE092B">
        <w:t xml:space="preserve"> </w:t>
      </w:r>
    </w:p>
    <w:p w14:paraId="45D11531" w14:textId="77777777" w:rsidR="00B307A2" w:rsidRDefault="00B307A2" w:rsidP="00B307A2">
      <w:pPr>
        <w:pStyle w:val="ParagraphText"/>
        <w:ind w:left="720"/>
      </w:pPr>
      <w:r w:rsidRPr="00EE092B">
        <w:t xml:space="preserve">(c) research and development; and </w:t>
      </w:r>
    </w:p>
    <w:p w14:paraId="7234BD9C" w14:textId="77777777" w:rsidR="00B307A2" w:rsidRPr="00EE092B" w:rsidRDefault="00B307A2" w:rsidP="00B307A2">
      <w:pPr>
        <w:pStyle w:val="ParagraphText"/>
        <w:ind w:left="720"/>
      </w:pPr>
      <w:r w:rsidRPr="00EE092B">
        <w:t xml:space="preserve">(d) exchange of information. </w:t>
      </w:r>
    </w:p>
    <w:p w14:paraId="2D2B1488" w14:textId="77777777" w:rsidR="00B307A2" w:rsidRPr="00EE092B" w:rsidRDefault="00B307A2" w:rsidP="00B307A2">
      <w:pPr>
        <w:pStyle w:val="ParagraphText"/>
      </w:pPr>
      <w:r w:rsidRPr="00EE092B">
        <w:t xml:space="preserve">3. Member States shall identify sectors for cooperation and formulate Action Plans, Programmes and Understandings that shall provide details on the nature and extent of cooperation. </w:t>
      </w:r>
    </w:p>
    <w:p w14:paraId="6D19BF65" w14:textId="6FD27410" w:rsidR="00B307A2" w:rsidRPr="00EE092B" w:rsidRDefault="00B307A2" w:rsidP="00B307A2">
      <w:pPr>
        <w:pStyle w:val="Heading10"/>
      </w:pPr>
      <w:bookmarkStart w:id="4" w:name="_Toc379552098"/>
      <w:bookmarkStart w:id="5" w:name="_Toc457570641"/>
      <w:r w:rsidRPr="00EE092B">
        <w:t>Article III</w:t>
      </w:r>
      <w:r w:rsidR="00BC687D">
        <w:br/>
      </w:r>
      <w:r w:rsidRPr="00EE092B">
        <w:t>Liberalisation</w:t>
      </w:r>
      <w:bookmarkEnd w:id="4"/>
      <w:bookmarkEnd w:id="5"/>
    </w:p>
    <w:p w14:paraId="46DCDF2D" w14:textId="77777777" w:rsidR="00B307A2" w:rsidRPr="00B307A2" w:rsidRDefault="00B307A2" w:rsidP="00B307A2">
      <w:pPr>
        <w:pStyle w:val="ParagraphText"/>
      </w:pPr>
      <w:r w:rsidRPr="00B307A2">
        <w:t xml:space="preserve">Pursuant to Article 1 (c), Member States shall </w:t>
      </w:r>
      <w:proofErr w:type="spellStart"/>
      <w:r w:rsidRPr="00B307A2">
        <w:t>liberalise</w:t>
      </w:r>
      <w:proofErr w:type="spellEnd"/>
      <w:r w:rsidRPr="00B307A2">
        <w:t xml:space="preserve"> trade in services in a substantial number of sectors within a reasonable time-frame by: </w:t>
      </w:r>
    </w:p>
    <w:p w14:paraId="2903294E" w14:textId="77777777" w:rsidR="00B307A2" w:rsidRPr="00B307A2" w:rsidRDefault="00B307A2" w:rsidP="00B307A2">
      <w:pPr>
        <w:pStyle w:val="ParagraphText"/>
        <w:ind w:left="720"/>
      </w:pPr>
      <w:r w:rsidRPr="00B307A2">
        <w:t xml:space="preserve">(a) eliminating substantially all existing discriminatory measures and market access limitations amongst Member States; and </w:t>
      </w:r>
    </w:p>
    <w:p w14:paraId="4702185A" w14:textId="77777777" w:rsidR="00B307A2" w:rsidRPr="00B307A2" w:rsidRDefault="00B307A2" w:rsidP="00B307A2">
      <w:pPr>
        <w:pStyle w:val="ParagraphText"/>
        <w:ind w:left="720"/>
      </w:pPr>
      <w:r w:rsidRPr="00B307A2">
        <w:t xml:space="preserve">(b) prohibiting new or more discriminatory measures and market access limitations. </w:t>
      </w:r>
    </w:p>
    <w:p w14:paraId="6195EB5F" w14:textId="6C88BCCA" w:rsidR="00B307A2" w:rsidRPr="00EE092B" w:rsidRDefault="00BC687D" w:rsidP="00B307A2">
      <w:pPr>
        <w:pStyle w:val="Heading10"/>
      </w:pPr>
      <w:bookmarkStart w:id="6" w:name="_Toc379552099"/>
      <w:bookmarkStart w:id="7" w:name="_Toc457570642"/>
      <w:r>
        <w:t>Article IV</w:t>
      </w:r>
      <w:r>
        <w:br/>
      </w:r>
      <w:r w:rsidR="00B307A2" w:rsidRPr="00EE092B">
        <w:t>Negotiation of Specific Commitments</w:t>
      </w:r>
      <w:bookmarkEnd w:id="6"/>
      <w:bookmarkEnd w:id="7"/>
    </w:p>
    <w:p w14:paraId="29C4CEB8" w14:textId="77777777" w:rsidR="00B307A2" w:rsidRDefault="00B307A2" w:rsidP="00B307A2">
      <w:pPr>
        <w:pStyle w:val="ParagraphText"/>
      </w:pPr>
      <w:r w:rsidRPr="00EE092B">
        <w:t xml:space="preserve">1. Member States shall enter into negotiations on measures affecting trade in specific service sectors. Such negotiations shall be directed towards achieving commitments which are beyond those inscribed in each </w:t>
      </w:r>
      <w:smartTag w:uri="urn:schemas-microsoft-com:office:smarttags" w:element="place">
        <w:smartTag w:uri="urn:schemas-microsoft-com:office:smarttags" w:element="PlaceName">
          <w:r w:rsidRPr="00EE092B">
            <w:t>Member</w:t>
          </w:r>
        </w:smartTag>
        <w:r w:rsidRPr="00EE092B">
          <w:t xml:space="preserve"> </w:t>
        </w:r>
        <w:smartTag w:uri="urn:schemas-microsoft-com:office:smarttags" w:element="PlaceType">
          <w:r w:rsidRPr="00EE092B">
            <w:t>State</w:t>
          </w:r>
        </w:smartTag>
      </w:smartTag>
      <w:r w:rsidRPr="00EE092B">
        <w:t>'s schedule of specific commitments under the GATS and for which Member States shall accord preferential treatment to one another on</w:t>
      </w:r>
      <w:r>
        <w:t xml:space="preserve"> an MFN basis. </w:t>
      </w:r>
    </w:p>
    <w:p w14:paraId="0595EA5E" w14:textId="77777777" w:rsidR="00B307A2" w:rsidRDefault="00B307A2" w:rsidP="00B307A2">
      <w:pPr>
        <w:pStyle w:val="ParagraphText"/>
      </w:pPr>
      <w:r w:rsidRPr="00EE092B">
        <w:t>2. Each Member State shall set out in a schedule, the specific commitments it shal</w:t>
      </w:r>
      <w:r>
        <w:t>l undertake under paragraph 1.</w:t>
      </w:r>
    </w:p>
    <w:p w14:paraId="3BD8AA66" w14:textId="77777777" w:rsidR="00B307A2" w:rsidRDefault="00B307A2" w:rsidP="00B307A2">
      <w:pPr>
        <w:pStyle w:val="ParagraphText"/>
      </w:pPr>
      <w:r w:rsidRPr="00EE092B">
        <w:t xml:space="preserve">3. The provisions of this Framework Agreement shall not be so construed as to prevent any Member State from conferring or according advantages to adjacent countries in order to facilitate exchanges limited to contiguous frontier zones of services that are both locally produced and consumed. </w:t>
      </w:r>
    </w:p>
    <w:p w14:paraId="67E09BD8" w14:textId="77777777" w:rsidR="00075358" w:rsidRPr="00EE092B" w:rsidRDefault="00075358" w:rsidP="00B307A2">
      <w:pPr>
        <w:pStyle w:val="ParagraphText"/>
      </w:pPr>
    </w:p>
    <w:p w14:paraId="5EBBCEA4" w14:textId="528C0CE5" w:rsidR="00B307A2" w:rsidRPr="00EE092B" w:rsidRDefault="00BC687D" w:rsidP="00B307A2">
      <w:pPr>
        <w:pStyle w:val="Heading10"/>
      </w:pPr>
      <w:bookmarkStart w:id="8" w:name="_Toc379552100"/>
      <w:bookmarkStart w:id="9" w:name="_Toc457570643"/>
      <w:r>
        <w:lastRenderedPageBreak/>
        <w:t>Article V</w:t>
      </w:r>
      <w:r>
        <w:br/>
      </w:r>
      <w:r w:rsidR="00B307A2" w:rsidRPr="00EE092B">
        <w:t>Mutual Recognition</w:t>
      </w:r>
      <w:bookmarkEnd w:id="8"/>
      <w:bookmarkEnd w:id="9"/>
    </w:p>
    <w:p w14:paraId="1BA43883" w14:textId="3C223673" w:rsidR="00B307A2" w:rsidRDefault="00B307A2" w:rsidP="00B307A2">
      <w:pPr>
        <w:pStyle w:val="ParagraphText"/>
      </w:pPr>
      <w:r>
        <w:t xml:space="preserve">1. </w:t>
      </w:r>
      <w:r w:rsidRPr="00EE092B">
        <w:t xml:space="preserve">Each Member State may </w:t>
      </w:r>
      <w:proofErr w:type="spellStart"/>
      <w:r w:rsidRPr="00EE092B">
        <w:t>recognise</w:t>
      </w:r>
      <w:proofErr w:type="spellEnd"/>
      <w:r w:rsidRPr="00EE092B">
        <w:t xml:space="preserve"> the education or experience obtained,</w:t>
      </w:r>
      <w:r>
        <w:t xml:space="preserve"> </w:t>
      </w:r>
      <w:r w:rsidRPr="00EE092B">
        <w:t xml:space="preserve">requirements met, or licenses or certifications granted in another Member State, for the purpose of licensing or certification </w:t>
      </w:r>
      <w:r w:rsidR="00070A16">
        <w:t>o</w:t>
      </w:r>
      <w:r w:rsidRPr="00EE092B">
        <w:t xml:space="preserve">f service suppliers. Such recognition may be based upon an agreement or arrangement with the Member State concerned or may be accorded autonomously. </w:t>
      </w:r>
    </w:p>
    <w:p w14:paraId="79844A0A" w14:textId="29EF7534" w:rsidR="00B307A2" w:rsidRPr="00EE092B" w:rsidRDefault="00B307A2" w:rsidP="00B307A2">
      <w:pPr>
        <w:pStyle w:val="ParagraphText"/>
      </w:pPr>
      <w:r w:rsidRPr="00EE092B">
        <w:t>2. Nothing in paragraph 1 shall be so construed as to require any Member State to accept or to enter into such mutual recognition agreements or arrangements.</w:t>
      </w:r>
      <w:r w:rsidR="00851E77">
        <w:rPr>
          <w:rStyle w:val="FootnoteReference"/>
        </w:rPr>
        <w:footnoteReference w:id="1"/>
      </w:r>
    </w:p>
    <w:p w14:paraId="43DCCF81" w14:textId="27410E9A" w:rsidR="00B307A2" w:rsidRPr="00EE092B" w:rsidRDefault="00BC687D" w:rsidP="00B307A2">
      <w:pPr>
        <w:pStyle w:val="Heading10"/>
      </w:pPr>
      <w:bookmarkStart w:id="10" w:name="_Toc379552101"/>
      <w:bookmarkStart w:id="11" w:name="_Toc457570644"/>
      <w:r>
        <w:t>Article VI</w:t>
      </w:r>
      <w:r>
        <w:br/>
      </w:r>
      <w:r w:rsidR="00B307A2" w:rsidRPr="00EE092B">
        <w:t>Denial of Benefits</w:t>
      </w:r>
      <w:bookmarkEnd w:id="10"/>
      <w:bookmarkEnd w:id="11"/>
    </w:p>
    <w:p w14:paraId="2E2CEB63" w14:textId="5D213C3F" w:rsidR="00B307A2" w:rsidRPr="00BC687D" w:rsidRDefault="00B307A2" w:rsidP="00BC687D">
      <w:pPr>
        <w:spacing w:after="120"/>
        <w:jc w:val="both"/>
        <w:rPr>
          <w:rFonts w:ascii="Arial" w:hAnsi="Arial" w:cs="Arial"/>
          <w:sz w:val="20"/>
          <w:szCs w:val="20"/>
        </w:rPr>
      </w:pPr>
      <w:r w:rsidRPr="00BC687D">
        <w:rPr>
          <w:rFonts w:ascii="Arial" w:hAnsi="Arial" w:cs="Arial"/>
          <w:sz w:val="20"/>
          <w:szCs w:val="20"/>
        </w:rPr>
        <w:t>The benefits of this Framework Agreement shall be denied to a service supplier who is a natural person of a non-Member State or a juridical person owned or controlled by persons of a non-Member State constituted under the laws of a Member State, but not engaged in substantive business operations in the territory of Member State(s)</w:t>
      </w:r>
      <w:r w:rsidR="00BC687D">
        <w:rPr>
          <w:rFonts w:ascii="Arial" w:hAnsi="Arial" w:cs="Arial"/>
          <w:sz w:val="20"/>
          <w:szCs w:val="20"/>
        </w:rPr>
        <w:t>.</w:t>
      </w:r>
      <w:r w:rsidRPr="00BC687D">
        <w:rPr>
          <w:rFonts w:ascii="Arial" w:hAnsi="Arial" w:cs="Arial"/>
          <w:sz w:val="20"/>
          <w:szCs w:val="20"/>
        </w:rPr>
        <w:t xml:space="preserve"> </w:t>
      </w:r>
    </w:p>
    <w:p w14:paraId="11D92880" w14:textId="77777777" w:rsidR="00B307A2" w:rsidRPr="00EE092B" w:rsidRDefault="00B307A2" w:rsidP="00B307A2">
      <w:pPr>
        <w:pStyle w:val="Heading10"/>
      </w:pPr>
      <w:bookmarkStart w:id="12" w:name="_Toc379552102"/>
      <w:bookmarkStart w:id="13" w:name="_Toc457570645"/>
      <w:r w:rsidRPr="00EE092B">
        <w:t xml:space="preserve">Article VII </w:t>
      </w:r>
      <w:r w:rsidRPr="00FF5B8D">
        <w:br/>
      </w:r>
      <w:r w:rsidRPr="00EE092B">
        <w:t>Settlement of Disputes</w:t>
      </w:r>
      <w:bookmarkEnd w:id="12"/>
      <w:bookmarkEnd w:id="13"/>
    </w:p>
    <w:p w14:paraId="37001BDE" w14:textId="77777777" w:rsidR="00B307A2" w:rsidRDefault="00B307A2" w:rsidP="00B307A2">
      <w:pPr>
        <w:pStyle w:val="ParagraphText"/>
      </w:pPr>
      <w:r>
        <w:t>1</w:t>
      </w:r>
      <w:r w:rsidRPr="00EE092B">
        <w:t xml:space="preserve">. The Protocol on Dispute Settlement Mechanism for ASEAN shall generally be referred to and applied with respect to any disputes arising from, or any differences between Member States concerning the interpretation or application of, this Framework Agreement or any arrangements arising therefrom. </w:t>
      </w:r>
    </w:p>
    <w:p w14:paraId="4491BDC7" w14:textId="77777777" w:rsidR="00B307A2" w:rsidRPr="00EE092B" w:rsidRDefault="00B307A2" w:rsidP="00B307A2">
      <w:pPr>
        <w:pStyle w:val="ParagraphText"/>
      </w:pPr>
      <w:r w:rsidRPr="00EE092B">
        <w:t xml:space="preserve">2. A specific dispute settlement mechanism may be established for the purposes of this Framework Agreement which shall form an integral part of this Framework Agreement. </w:t>
      </w:r>
    </w:p>
    <w:p w14:paraId="7C6E579E" w14:textId="77777777" w:rsidR="00B307A2" w:rsidRPr="00EE092B" w:rsidRDefault="00B307A2" w:rsidP="00B307A2">
      <w:pPr>
        <w:pStyle w:val="Heading10"/>
      </w:pPr>
      <w:bookmarkStart w:id="14" w:name="_Toc379552103"/>
      <w:bookmarkStart w:id="15" w:name="_Toc457570646"/>
      <w:r w:rsidRPr="00EE092B">
        <w:t xml:space="preserve">Article VIII </w:t>
      </w:r>
      <w:r w:rsidRPr="00FF5B8D">
        <w:br/>
      </w:r>
      <w:r w:rsidRPr="00EE092B">
        <w:t>Supplementary Agreements or Arrangements</w:t>
      </w:r>
      <w:bookmarkEnd w:id="14"/>
      <w:bookmarkEnd w:id="15"/>
    </w:p>
    <w:p w14:paraId="64854947" w14:textId="77777777" w:rsidR="00B307A2" w:rsidRDefault="00B307A2" w:rsidP="00B307A2">
      <w:pPr>
        <w:pStyle w:val="ParagraphText"/>
      </w:pPr>
      <w:r w:rsidRPr="00EE092B">
        <w:t xml:space="preserve">Schedules of specific commitments and Understandings arising from subsequent negotiations under this Framework Agreement and any other agreements or arrangements, Action Plans and Programmes arising thereunder shall form an integral part of this Framework Agreement. </w:t>
      </w:r>
    </w:p>
    <w:p w14:paraId="32CD1CEE" w14:textId="77777777" w:rsidR="00B307A2" w:rsidRPr="00EE092B" w:rsidRDefault="00B307A2" w:rsidP="00B307A2">
      <w:pPr>
        <w:pStyle w:val="Heading10"/>
      </w:pPr>
      <w:bookmarkStart w:id="16" w:name="_Toc379552104"/>
      <w:bookmarkStart w:id="17" w:name="_Toc457570647"/>
      <w:r>
        <w:t xml:space="preserve">Article IX </w:t>
      </w:r>
      <w:r w:rsidRPr="00FF5B8D">
        <w:br/>
      </w:r>
      <w:r w:rsidRPr="00EE092B">
        <w:t>Other Agreements</w:t>
      </w:r>
      <w:bookmarkEnd w:id="16"/>
      <w:bookmarkEnd w:id="17"/>
    </w:p>
    <w:p w14:paraId="223E4656" w14:textId="77777777" w:rsidR="00B307A2" w:rsidRDefault="00B307A2" w:rsidP="00B307A2">
      <w:pPr>
        <w:pStyle w:val="ParagraphText"/>
      </w:pPr>
      <w:r>
        <w:t>1</w:t>
      </w:r>
      <w:r w:rsidRPr="00EE092B">
        <w:t>. This Framework Agreement or any action taken under it shall not affect the rights and obligations of the Member States under any existing agreeme</w:t>
      </w:r>
      <w:r>
        <w:t>nts</w:t>
      </w:r>
      <w:r>
        <w:rPr>
          <w:rStyle w:val="FootnoteReference"/>
          <w:rFonts w:cs="Arial"/>
          <w:sz w:val="22"/>
          <w:szCs w:val="22"/>
        </w:rPr>
        <w:footnoteReference w:id="2"/>
      </w:r>
      <w:r>
        <w:t xml:space="preserve"> to which they are parties.</w:t>
      </w:r>
    </w:p>
    <w:p w14:paraId="0FE68266" w14:textId="77777777" w:rsidR="00B307A2" w:rsidRDefault="00B307A2" w:rsidP="00B307A2">
      <w:pPr>
        <w:pStyle w:val="ParagraphText"/>
      </w:pPr>
      <w:r w:rsidRPr="00EE092B">
        <w:t xml:space="preserve">2. Nothing in this Framework Agreement shall affect the rights of the Member States to enter into other agreements not contrary to the principles, objectives and terms of this Framework Agreement. </w:t>
      </w:r>
    </w:p>
    <w:p w14:paraId="2ECDEE0A" w14:textId="77777777" w:rsidR="00B307A2" w:rsidRPr="00EE092B" w:rsidRDefault="00B307A2" w:rsidP="00B307A2">
      <w:pPr>
        <w:pStyle w:val="ParagraphText"/>
      </w:pPr>
      <w:r w:rsidRPr="00EE092B">
        <w:lastRenderedPageBreak/>
        <w:t xml:space="preserve">3. Upon the signing of this Framework Agreement, Member States shall promptly notify the ASEAN Secretariat of any agreements pertaining to or affecting trade in services to which that Member is a signatory. </w:t>
      </w:r>
    </w:p>
    <w:p w14:paraId="2CBED355" w14:textId="77777777" w:rsidR="00B307A2" w:rsidRPr="00EE092B" w:rsidRDefault="00B307A2" w:rsidP="00B307A2">
      <w:pPr>
        <w:pStyle w:val="Heading10"/>
      </w:pPr>
      <w:bookmarkStart w:id="18" w:name="_Toc379552105"/>
      <w:bookmarkStart w:id="19" w:name="_Toc457570648"/>
      <w:r w:rsidRPr="00EE092B">
        <w:t xml:space="preserve">Article X </w:t>
      </w:r>
      <w:r w:rsidRPr="00FF5B8D">
        <w:br/>
      </w:r>
      <w:r w:rsidRPr="00EE092B">
        <w:t>Modification of Schedules of Specific Commitments</w:t>
      </w:r>
      <w:bookmarkEnd w:id="18"/>
      <w:bookmarkEnd w:id="19"/>
    </w:p>
    <w:p w14:paraId="07559864" w14:textId="77777777" w:rsidR="00B307A2" w:rsidRPr="00EE092B" w:rsidRDefault="00B307A2" w:rsidP="00B307A2">
      <w:pPr>
        <w:pStyle w:val="ParagraphText"/>
      </w:pPr>
      <w:r>
        <w:t>1</w:t>
      </w:r>
      <w:r w:rsidRPr="00EE092B">
        <w:t xml:space="preserve">. A </w:t>
      </w:r>
      <w:smartTag w:uri="urn:schemas-microsoft-com:office:smarttags" w:element="place">
        <w:smartTag w:uri="urn:schemas-microsoft-com:office:smarttags" w:element="PlaceName">
          <w:r w:rsidRPr="00EE092B">
            <w:t>Member</w:t>
          </w:r>
        </w:smartTag>
        <w:r w:rsidRPr="00EE092B">
          <w:t xml:space="preserve"> </w:t>
        </w:r>
        <w:smartTag w:uri="urn:schemas-microsoft-com:office:smarttags" w:element="PlaceType">
          <w:r w:rsidRPr="00EE092B">
            <w:t>State</w:t>
          </w:r>
        </w:smartTag>
      </w:smartTag>
      <w:r w:rsidRPr="00EE092B">
        <w:t xml:space="preserve"> may modify or withdraw any commitment in its schedule of specific commitments, at any time after three years from the date on which that commitment entered into force provided: </w:t>
      </w:r>
    </w:p>
    <w:p w14:paraId="0C403542" w14:textId="77777777" w:rsidR="00B307A2" w:rsidRDefault="00B307A2" w:rsidP="002C612F">
      <w:pPr>
        <w:pStyle w:val="ParagraphText"/>
        <w:ind w:left="720"/>
      </w:pPr>
      <w:r w:rsidRPr="00EE092B">
        <w:t>(a) that it notifies other Member States and the ASEAN Secretariat of the intent to modify or withdraw a commitment three months before the intended date of implementation of the m</w:t>
      </w:r>
      <w:r>
        <w:t xml:space="preserve">odification or withdrawal; and </w:t>
      </w:r>
    </w:p>
    <w:p w14:paraId="32978371" w14:textId="77777777" w:rsidR="00B307A2" w:rsidRPr="00EE092B" w:rsidRDefault="00B307A2" w:rsidP="002C612F">
      <w:pPr>
        <w:pStyle w:val="ParagraphText"/>
        <w:ind w:left="720"/>
      </w:pPr>
      <w:r w:rsidRPr="00EE092B">
        <w:t xml:space="preserve">(b) that it enters into negotiations with an affected Member State to agree to necessary compensatory adjustment. </w:t>
      </w:r>
    </w:p>
    <w:p w14:paraId="2FF73D38" w14:textId="77777777" w:rsidR="00B307A2" w:rsidRDefault="00B307A2" w:rsidP="00B307A2">
      <w:pPr>
        <w:pStyle w:val="ParagraphText"/>
      </w:pPr>
      <w:r w:rsidRPr="00EE092B">
        <w:t xml:space="preserve">2. In achieving a compensatory adjustment, Member States shall ensure that the general level of mutually advantageous commitment is not less </w:t>
      </w:r>
      <w:proofErr w:type="spellStart"/>
      <w:r w:rsidRPr="00EE092B">
        <w:t>favourable</w:t>
      </w:r>
      <w:proofErr w:type="spellEnd"/>
      <w:r w:rsidRPr="00EE092B">
        <w:t xml:space="preserve"> to trade than that provided for in the schedules of specific commitments prior to such negotiations. </w:t>
      </w:r>
    </w:p>
    <w:p w14:paraId="6A25D875" w14:textId="77777777" w:rsidR="00B307A2" w:rsidRDefault="00B307A2" w:rsidP="00B307A2">
      <w:pPr>
        <w:pStyle w:val="ParagraphText"/>
      </w:pPr>
      <w:r w:rsidRPr="00EE092B">
        <w:t xml:space="preserve">3. Compensatory adjustment shall be made on an MFN basis to all other Member States. </w:t>
      </w:r>
    </w:p>
    <w:p w14:paraId="269863EC" w14:textId="77777777" w:rsidR="00B307A2" w:rsidRPr="00EE092B" w:rsidRDefault="00B307A2" w:rsidP="00B307A2">
      <w:pPr>
        <w:pStyle w:val="ParagraphText"/>
      </w:pPr>
      <w:r w:rsidRPr="00EE092B">
        <w:t xml:space="preserve">4. The SEOM with the endorsement of the AEM may draw up additional procedures to give effect to this Article. </w:t>
      </w:r>
    </w:p>
    <w:p w14:paraId="18E5CB71" w14:textId="77777777" w:rsidR="00B307A2" w:rsidRPr="00EE092B" w:rsidRDefault="00B307A2" w:rsidP="00B307A2">
      <w:pPr>
        <w:pStyle w:val="Heading10"/>
      </w:pPr>
      <w:bookmarkStart w:id="20" w:name="_Toc379552106"/>
      <w:bookmarkStart w:id="21" w:name="_Toc457570649"/>
      <w:r>
        <w:t xml:space="preserve">Article XI </w:t>
      </w:r>
      <w:r w:rsidRPr="00EE092B">
        <w:br/>
        <w:t>Institutional Arrangements</w:t>
      </w:r>
      <w:bookmarkEnd w:id="20"/>
      <w:bookmarkEnd w:id="21"/>
    </w:p>
    <w:p w14:paraId="05386AED" w14:textId="77777777" w:rsidR="00B307A2" w:rsidRDefault="00B307A2" w:rsidP="00B307A2">
      <w:pPr>
        <w:pStyle w:val="ParagraphText"/>
      </w:pPr>
      <w:r>
        <w:t>1</w:t>
      </w:r>
      <w:r w:rsidRPr="00EE092B">
        <w:t xml:space="preserve">. The SEOM shall carry out such functions to facilitate the operation of this Framework Agreement and further its objectives, including the Organisation of the conduct of negotiations, review and supervision of the implementation of this Framework Agreement. </w:t>
      </w:r>
    </w:p>
    <w:p w14:paraId="024C27FA" w14:textId="77777777" w:rsidR="00B307A2" w:rsidRDefault="00B307A2" w:rsidP="00B307A2">
      <w:pPr>
        <w:pStyle w:val="ParagraphText"/>
      </w:pPr>
      <w:r w:rsidRPr="00EE092B">
        <w:t xml:space="preserve">2. The ASEAN Secretariat shall assist SEOM in carrying out its functions, including providing the support for supervising, coordinating and reviewing the implementation of this Framework Agreement. </w:t>
      </w:r>
    </w:p>
    <w:p w14:paraId="44947CDA" w14:textId="77777777" w:rsidR="00B307A2" w:rsidRPr="00EE092B" w:rsidRDefault="00B307A2" w:rsidP="00B307A2">
      <w:pPr>
        <w:pStyle w:val="Heading10"/>
      </w:pPr>
      <w:bookmarkStart w:id="22" w:name="_Toc379552107"/>
      <w:bookmarkStart w:id="23" w:name="_Toc457570650"/>
      <w:r w:rsidRPr="00EE092B">
        <w:t xml:space="preserve">Article XII </w:t>
      </w:r>
      <w:r w:rsidRPr="00EE092B">
        <w:br/>
        <w:t>Amendments</w:t>
      </w:r>
      <w:bookmarkEnd w:id="22"/>
      <w:bookmarkEnd w:id="23"/>
    </w:p>
    <w:p w14:paraId="091A375D" w14:textId="77777777" w:rsidR="00B307A2" w:rsidRPr="00EE092B" w:rsidRDefault="00B307A2" w:rsidP="00B307A2">
      <w:pPr>
        <w:pStyle w:val="ParagraphText"/>
      </w:pPr>
      <w:r w:rsidRPr="00EE092B">
        <w:t xml:space="preserve">The provisions of this Framework Agreement may be amended through the consent of all the Member States and such amendments shall become effective upon acceptance by all Member States. </w:t>
      </w:r>
    </w:p>
    <w:p w14:paraId="309E4CD8" w14:textId="77777777" w:rsidR="00BC687D" w:rsidRDefault="00BC687D">
      <w:pPr>
        <w:spacing w:after="160" w:line="259" w:lineRule="auto"/>
        <w:rPr>
          <w:rFonts w:ascii="Arial" w:hAnsi="Arial" w:cs="Arial"/>
          <w:b/>
          <w:caps/>
          <w:sz w:val="28"/>
          <w:szCs w:val="28"/>
        </w:rPr>
      </w:pPr>
      <w:bookmarkStart w:id="24" w:name="_Toc379552108"/>
      <w:bookmarkStart w:id="25" w:name="_Toc457570651"/>
      <w:r>
        <w:br w:type="page"/>
      </w:r>
    </w:p>
    <w:p w14:paraId="4DAEE286" w14:textId="5F112AA8" w:rsidR="00B307A2" w:rsidRPr="00EE092B" w:rsidRDefault="00B307A2" w:rsidP="00B307A2">
      <w:pPr>
        <w:pStyle w:val="Heading10"/>
      </w:pPr>
      <w:r w:rsidRPr="00EE092B">
        <w:lastRenderedPageBreak/>
        <w:t xml:space="preserve">Article XIII </w:t>
      </w:r>
      <w:r w:rsidRPr="00EE092B">
        <w:br/>
        <w:t>Accession of New Members</w:t>
      </w:r>
      <w:bookmarkEnd w:id="24"/>
      <w:bookmarkEnd w:id="25"/>
    </w:p>
    <w:p w14:paraId="76088882" w14:textId="77777777" w:rsidR="00B307A2" w:rsidRPr="00EE092B" w:rsidRDefault="00B307A2" w:rsidP="00B307A2">
      <w:pPr>
        <w:pStyle w:val="ParagraphText"/>
      </w:pPr>
      <w:r w:rsidRPr="00EE092B">
        <w:t xml:space="preserve">New Members of ASEAN shall accede to this Framework Agreement on terms and conditions agreed between them and signatories to this Framework Agreement. </w:t>
      </w:r>
    </w:p>
    <w:p w14:paraId="1F941A86" w14:textId="77777777" w:rsidR="00B307A2" w:rsidRPr="00EE092B" w:rsidRDefault="00B307A2" w:rsidP="00B307A2">
      <w:pPr>
        <w:pStyle w:val="Heading10"/>
      </w:pPr>
      <w:bookmarkStart w:id="26" w:name="_Toc379552109"/>
      <w:bookmarkStart w:id="27" w:name="_Toc457570652"/>
      <w:r w:rsidRPr="00EE092B">
        <w:t xml:space="preserve">Article XIV </w:t>
      </w:r>
      <w:r w:rsidRPr="00EE092B">
        <w:br/>
        <w:t>Final Provision</w:t>
      </w:r>
      <w:bookmarkEnd w:id="26"/>
      <w:bookmarkEnd w:id="27"/>
    </w:p>
    <w:p w14:paraId="7CC385DE" w14:textId="77777777" w:rsidR="00B307A2" w:rsidRDefault="00B307A2" w:rsidP="00B307A2">
      <w:pPr>
        <w:pStyle w:val="ParagraphText"/>
      </w:pPr>
      <w:r>
        <w:t>1</w:t>
      </w:r>
      <w:r w:rsidRPr="00EE092B">
        <w:t xml:space="preserve">. The terms and definitions and other provisions of the GATS shall be referred to and applied to matters arising under this Framework Agreement for which no specific provision has been made under it. </w:t>
      </w:r>
    </w:p>
    <w:p w14:paraId="42F7AF38" w14:textId="77777777" w:rsidR="00B307A2" w:rsidRDefault="00B307A2" w:rsidP="00B307A2">
      <w:pPr>
        <w:pStyle w:val="ParagraphText"/>
      </w:pPr>
      <w:r w:rsidRPr="00EE092B">
        <w:t xml:space="preserve">2. This Framework Agreement shall be deposited with the Secretary-General of ASEAN, who shall promptly furnish a certified copy thereof to each Member State. </w:t>
      </w:r>
    </w:p>
    <w:p w14:paraId="71BF70D8" w14:textId="77777777" w:rsidR="00B307A2" w:rsidRPr="00EE092B" w:rsidRDefault="00B307A2" w:rsidP="00B307A2">
      <w:pPr>
        <w:pStyle w:val="ParagraphText"/>
      </w:pPr>
      <w:r w:rsidRPr="00EE092B">
        <w:t xml:space="preserve">3. This Framework Agreement shall enter into force upon the deposit of instruments of ratification or acceptance by all signatory governments with the Secretary-General of ASEAN. </w:t>
      </w:r>
    </w:p>
    <w:p w14:paraId="706E47F8" w14:textId="77777777" w:rsidR="0083200A" w:rsidRDefault="0083200A" w:rsidP="00B307A2">
      <w:pPr>
        <w:pStyle w:val="ParagraphText"/>
        <w:rPr>
          <w:b/>
        </w:rPr>
      </w:pPr>
    </w:p>
    <w:p w14:paraId="5DB90A97" w14:textId="795F518E" w:rsidR="002C612F" w:rsidRDefault="00B307A2" w:rsidP="00B307A2">
      <w:pPr>
        <w:pStyle w:val="ParagraphText"/>
      </w:pPr>
      <w:r w:rsidRPr="00986A34">
        <w:rPr>
          <w:b/>
        </w:rPr>
        <w:t>IN WITNESS WHEREOF</w:t>
      </w:r>
      <w:r w:rsidRPr="00EE092B">
        <w:t xml:space="preserve">, the undersigned, being duly </w:t>
      </w:r>
      <w:proofErr w:type="spellStart"/>
      <w:r w:rsidRPr="00EE092B">
        <w:t>authorised</w:t>
      </w:r>
      <w:proofErr w:type="spellEnd"/>
      <w:r w:rsidRPr="00EE092B">
        <w:t xml:space="preserve"> by their respective Governments, have signed the ASEAN Framework Agreement on Services. </w:t>
      </w:r>
    </w:p>
    <w:p w14:paraId="6BDD532B" w14:textId="7FEA8819" w:rsidR="00BC687D" w:rsidRPr="005D3164" w:rsidRDefault="00BC687D" w:rsidP="00B307A2">
      <w:pPr>
        <w:pStyle w:val="ParagraphText"/>
      </w:pPr>
      <w:r w:rsidRPr="00BC687D">
        <w:rPr>
          <w:b/>
        </w:rPr>
        <w:t>DONE</w:t>
      </w:r>
      <w:r>
        <w:t xml:space="preserve"> at </w:t>
      </w:r>
      <w:r w:rsidRPr="00BC687D">
        <w:rPr>
          <w:b/>
          <w:i/>
        </w:rPr>
        <w:t>Bangkok</w:t>
      </w:r>
      <w:r>
        <w:t xml:space="preserve">, this </w:t>
      </w:r>
      <w:r w:rsidRPr="00BC687D">
        <w:rPr>
          <w:b/>
          <w:i/>
        </w:rPr>
        <w:t>15</w:t>
      </w:r>
      <w:r w:rsidRPr="00BC687D">
        <w:rPr>
          <w:b/>
          <w:i/>
          <w:vertAlign w:val="superscript"/>
        </w:rPr>
        <w:t>th</w:t>
      </w:r>
      <w:r w:rsidRPr="00BC687D">
        <w:rPr>
          <w:b/>
          <w:i/>
        </w:rPr>
        <w:t xml:space="preserve"> day of December 1995</w:t>
      </w:r>
      <w:r>
        <w:t xml:space="preserve"> in a single copy in the English Language. </w:t>
      </w:r>
    </w:p>
    <w:p w14:paraId="51CBDA19" w14:textId="77777777" w:rsidR="0083200A" w:rsidRDefault="0083200A" w:rsidP="00B307A2">
      <w:pPr>
        <w:pStyle w:val="ParagraphText"/>
      </w:pPr>
    </w:p>
    <w:p w14:paraId="0B6EA969" w14:textId="71D11B77" w:rsidR="00BC687D" w:rsidRPr="00BC687D" w:rsidRDefault="00BC687D" w:rsidP="00B307A2">
      <w:pPr>
        <w:pStyle w:val="ParagraphText"/>
      </w:pPr>
      <w:r>
        <w:t xml:space="preserve">For the Government of Brunei Darussalam: </w:t>
      </w:r>
      <w:r>
        <w:rPr>
          <w:b/>
        </w:rPr>
        <w:t>ABDUL RAHMAN TAIB</w:t>
      </w:r>
      <w:r>
        <w:t>, Minister of Industry and Primary Resources</w:t>
      </w:r>
    </w:p>
    <w:p w14:paraId="371B95F4" w14:textId="24F1CAB8" w:rsidR="00E37739" w:rsidRDefault="00BC687D" w:rsidP="00B307A2">
      <w:pPr>
        <w:pStyle w:val="ParagraphText"/>
      </w:pPr>
      <w:r>
        <w:t xml:space="preserve">For the Government of the Republic of Indonesia: </w:t>
      </w:r>
      <w:r>
        <w:rPr>
          <w:b/>
        </w:rPr>
        <w:t>T. ARIWIBOWO</w:t>
      </w:r>
      <w:r>
        <w:t xml:space="preserve">, Minister of Industry and Trade </w:t>
      </w:r>
    </w:p>
    <w:p w14:paraId="1274C68D" w14:textId="724BCC40" w:rsidR="00BC687D" w:rsidRDefault="00BC687D" w:rsidP="00B307A2">
      <w:pPr>
        <w:pStyle w:val="ParagraphText"/>
      </w:pPr>
      <w:r>
        <w:t xml:space="preserve">For the Government of Malaysia: </w:t>
      </w:r>
      <w:r>
        <w:rPr>
          <w:b/>
        </w:rPr>
        <w:t>RAFIDAH AZIZ</w:t>
      </w:r>
      <w:r>
        <w:t>, Minister of International Trade and Industry</w:t>
      </w:r>
    </w:p>
    <w:p w14:paraId="27909FB6" w14:textId="32121D73" w:rsidR="00BC687D" w:rsidRDefault="00BC687D" w:rsidP="00B307A2">
      <w:pPr>
        <w:pStyle w:val="ParagraphText"/>
      </w:pPr>
      <w:r>
        <w:t xml:space="preserve">For the Government of the Republic of the Philippines: </w:t>
      </w:r>
      <w:r>
        <w:rPr>
          <w:b/>
        </w:rPr>
        <w:t>RIZALINO S. NAVARRO</w:t>
      </w:r>
      <w:r>
        <w:t xml:space="preserve">, Secretary of Trade and Industry </w:t>
      </w:r>
    </w:p>
    <w:p w14:paraId="5FA0ACCD" w14:textId="13ED2A10" w:rsidR="00BC687D" w:rsidRDefault="00BC687D" w:rsidP="00B307A2">
      <w:pPr>
        <w:pStyle w:val="ParagraphText"/>
      </w:pPr>
      <w:r>
        <w:t xml:space="preserve">For the Government of the Republic of Singapore: </w:t>
      </w:r>
      <w:r>
        <w:rPr>
          <w:b/>
        </w:rPr>
        <w:t>YEO CHEOW TONG</w:t>
      </w:r>
      <w:r>
        <w:t>, Minister for Trade and Industry</w:t>
      </w:r>
    </w:p>
    <w:p w14:paraId="71C0FE6A" w14:textId="58F794DA" w:rsidR="00BC687D" w:rsidRDefault="00BC687D" w:rsidP="00B307A2">
      <w:pPr>
        <w:pStyle w:val="ParagraphText"/>
      </w:pPr>
      <w:r>
        <w:t xml:space="preserve">For the Government of the Kingdom of Thailand: </w:t>
      </w:r>
      <w:r w:rsidR="0083200A">
        <w:rPr>
          <w:b/>
        </w:rPr>
        <w:t>AMNUAY VIRAVAN</w:t>
      </w:r>
      <w:r w:rsidR="0083200A">
        <w:t xml:space="preserve">, Deputy Prime Minister </w:t>
      </w:r>
    </w:p>
    <w:p w14:paraId="237EF7DD" w14:textId="4096B36E" w:rsidR="0083200A" w:rsidRPr="0083200A" w:rsidRDefault="0083200A" w:rsidP="00B307A2">
      <w:pPr>
        <w:pStyle w:val="ParagraphText"/>
      </w:pPr>
      <w:r>
        <w:t xml:space="preserve">For the Government of the Socialist Republic of Vietnam: </w:t>
      </w:r>
      <w:r>
        <w:rPr>
          <w:b/>
        </w:rPr>
        <w:t>LE VAN TRIET</w:t>
      </w:r>
      <w:r>
        <w:t xml:space="preserve">, Minister of Trade </w:t>
      </w:r>
    </w:p>
    <w:sectPr w:rsidR="0083200A" w:rsidRPr="0083200A" w:rsidSect="00BE184A">
      <w:headerReference w:type="default" r:id="rId8"/>
      <w:footerReference w:type="default" r:id="rId9"/>
      <w:footerReference w:type="first" r:id="rId10"/>
      <w:pgSz w:w="11909" w:h="16834"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1AC3" w14:textId="77777777" w:rsidR="00A57DE5" w:rsidRDefault="00A57DE5" w:rsidP="00FC31EC">
      <w:pPr>
        <w:spacing w:after="0" w:line="240" w:lineRule="auto"/>
      </w:pPr>
      <w:r>
        <w:separator/>
      </w:r>
    </w:p>
  </w:endnote>
  <w:endnote w:type="continuationSeparator" w:id="0">
    <w:p w14:paraId="65CD2070" w14:textId="77777777" w:rsidR="00A57DE5" w:rsidRDefault="00A57DE5" w:rsidP="00FC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248767"/>
      <w:docPartObj>
        <w:docPartGallery w:val="Page Numbers (Bottom of Page)"/>
        <w:docPartUnique/>
      </w:docPartObj>
    </w:sdtPr>
    <w:sdtEndPr>
      <w:rPr>
        <w:noProof/>
      </w:rPr>
    </w:sdtEndPr>
    <w:sdtContent>
      <w:p w14:paraId="079C7C91" w14:textId="77777777" w:rsidR="00C55003" w:rsidRDefault="00C55003" w:rsidP="00C55003">
        <w:pPr>
          <w:pStyle w:val="Footer"/>
          <w:pBdr>
            <w:top w:val="single" w:sz="4" w:space="8" w:color="auto"/>
          </w:pBdr>
          <w:tabs>
            <w:tab w:val="left" w:pos="7938"/>
          </w:tabs>
          <w:ind w:right="91"/>
        </w:pPr>
        <w:r w:rsidRPr="000935DC">
          <w:rPr>
            <w:rFonts w:ascii="Arial" w:hAnsi="Arial" w:cs="Arial"/>
            <w:color w:val="808080"/>
            <w:sz w:val="16"/>
            <w:szCs w:val="16"/>
          </w:rPr>
          <w:t xml:space="preserve">UNOFFICIAL TEXT · CENTRE FOR INTERNATIONAL LAW · </w:t>
        </w:r>
        <w:hyperlink r:id="rId1" w:history="1">
          <w:r w:rsidRPr="00D01971">
            <w:rPr>
              <w:rStyle w:val="Hyperlink"/>
              <w:rFonts w:ascii="Arial" w:hAnsi="Arial" w:cs="Arial"/>
              <w:sz w:val="16"/>
              <w:szCs w:val="16"/>
            </w:rPr>
            <w:t>www.cil.nus.edu</w:t>
          </w:r>
        </w:hyperlink>
        <w:r>
          <w:rPr>
            <w:rFonts w:ascii="Arial" w:hAnsi="Arial" w:cs="Arial"/>
            <w:sz w:val="16"/>
            <w:szCs w:val="16"/>
          </w:rPr>
          <w:t>.</w:t>
        </w:r>
        <w:r>
          <w:rPr>
            <w:rFonts w:ascii="Arial" w:hAnsi="Arial" w:cs="Arial"/>
            <w:sz w:val="16"/>
            <w:szCs w:val="16"/>
          </w:rPr>
          <w:tab/>
        </w:r>
        <w:r>
          <w:rPr>
            <w:rFonts w:cs="Arial"/>
            <w:color w:val="7F7F7F"/>
            <w:sz w:val="16"/>
            <w:szCs w:val="16"/>
          </w:rPr>
          <w:t xml:space="preserve">Page </w:t>
        </w:r>
        <w:r>
          <w:rPr>
            <w:rFonts w:cs="Arial"/>
            <w:color w:val="7F7F7F"/>
            <w:sz w:val="16"/>
            <w:szCs w:val="16"/>
          </w:rPr>
          <w:fldChar w:fldCharType="begin"/>
        </w:r>
        <w:r>
          <w:rPr>
            <w:rFonts w:cs="Arial"/>
            <w:color w:val="7F7F7F"/>
            <w:sz w:val="16"/>
            <w:szCs w:val="16"/>
          </w:rPr>
          <w:instrText xml:space="preserve"> PAGE </w:instrText>
        </w:r>
        <w:r>
          <w:rPr>
            <w:rFonts w:cs="Arial"/>
            <w:color w:val="7F7F7F"/>
            <w:sz w:val="16"/>
            <w:szCs w:val="16"/>
          </w:rPr>
          <w:fldChar w:fldCharType="separate"/>
        </w:r>
        <w:r w:rsidR="00812CB2">
          <w:rPr>
            <w:rFonts w:cs="Arial"/>
            <w:noProof/>
            <w:color w:val="7F7F7F"/>
            <w:sz w:val="16"/>
            <w:szCs w:val="16"/>
          </w:rPr>
          <w:t>6</w:t>
        </w:r>
        <w:r>
          <w:rPr>
            <w:rFonts w:cs="Arial"/>
            <w:color w:val="7F7F7F"/>
            <w:sz w:val="16"/>
            <w:szCs w:val="16"/>
          </w:rPr>
          <w:fldChar w:fldCharType="end"/>
        </w:r>
        <w:r>
          <w:rPr>
            <w:rFonts w:cs="Arial"/>
            <w:color w:val="7F7F7F"/>
            <w:sz w:val="16"/>
            <w:szCs w:val="16"/>
          </w:rPr>
          <w:t xml:space="preserve"> of </w:t>
        </w:r>
        <w:r>
          <w:rPr>
            <w:rFonts w:cs="Arial"/>
            <w:color w:val="7F7F7F"/>
            <w:sz w:val="16"/>
            <w:szCs w:val="16"/>
          </w:rPr>
          <w:fldChar w:fldCharType="begin"/>
        </w:r>
        <w:r>
          <w:rPr>
            <w:rFonts w:cs="Arial"/>
            <w:color w:val="7F7F7F"/>
            <w:sz w:val="16"/>
            <w:szCs w:val="16"/>
          </w:rPr>
          <w:instrText xml:space="preserve"> NUMPAGES  </w:instrText>
        </w:r>
        <w:r>
          <w:rPr>
            <w:rFonts w:cs="Arial"/>
            <w:color w:val="7F7F7F"/>
            <w:sz w:val="16"/>
            <w:szCs w:val="16"/>
          </w:rPr>
          <w:fldChar w:fldCharType="separate"/>
        </w:r>
        <w:r w:rsidR="00812CB2">
          <w:rPr>
            <w:rFonts w:cs="Arial"/>
            <w:noProof/>
            <w:color w:val="7F7F7F"/>
            <w:sz w:val="16"/>
            <w:szCs w:val="16"/>
          </w:rPr>
          <w:t>6</w:t>
        </w:r>
        <w:r>
          <w:rPr>
            <w:rFonts w:cs="Arial"/>
            <w:color w:val="7F7F7F"/>
            <w:sz w:val="16"/>
            <w:szCs w:val="16"/>
          </w:rPr>
          <w:fldChar w:fldCharType="end"/>
        </w:r>
      </w:p>
    </w:sdtContent>
  </w:sdt>
  <w:p w14:paraId="726B9F03" w14:textId="77777777" w:rsidR="00393662" w:rsidRDefault="003936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600D" w14:textId="77777777" w:rsidR="00393662" w:rsidRDefault="00393662" w:rsidP="00BE214B">
    <w:pPr>
      <w:pStyle w:val="Footer"/>
      <w:framePr w:wrap="around" w:vAnchor="text" w:hAnchor="margin" w:xAlign="right" w:y="1"/>
      <w:rPr>
        <w:rStyle w:val="PageNumber"/>
      </w:rPr>
    </w:pPr>
  </w:p>
  <w:sdt>
    <w:sdtPr>
      <w:id w:val="-549614844"/>
      <w:docPartObj>
        <w:docPartGallery w:val="Page Numbers (Bottom of Page)"/>
        <w:docPartUnique/>
      </w:docPartObj>
    </w:sdtPr>
    <w:sdtEndPr>
      <w:rPr>
        <w:noProof/>
      </w:rPr>
    </w:sdtEndPr>
    <w:sdtContent>
      <w:p w14:paraId="39152557" w14:textId="77777777" w:rsidR="00C55003" w:rsidRDefault="00C55003" w:rsidP="00C55003">
        <w:pPr>
          <w:pStyle w:val="Footer"/>
          <w:pBdr>
            <w:top w:val="single" w:sz="4" w:space="8" w:color="auto"/>
          </w:pBdr>
          <w:tabs>
            <w:tab w:val="left" w:pos="7938"/>
          </w:tabs>
          <w:ind w:right="91"/>
        </w:pPr>
        <w:r w:rsidRPr="000935DC">
          <w:rPr>
            <w:rFonts w:ascii="Arial" w:hAnsi="Arial" w:cs="Arial"/>
            <w:color w:val="808080"/>
            <w:sz w:val="16"/>
            <w:szCs w:val="16"/>
          </w:rPr>
          <w:t xml:space="preserve">UNOFFICIAL TEXT · CENTRE FOR INTERNATIONAL LAW · </w:t>
        </w:r>
        <w:hyperlink r:id="rId1" w:history="1">
          <w:r w:rsidRPr="00D01971">
            <w:rPr>
              <w:rStyle w:val="Hyperlink"/>
              <w:rFonts w:ascii="Arial" w:hAnsi="Arial" w:cs="Arial"/>
              <w:sz w:val="16"/>
              <w:szCs w:val="16"/>
            </w:rPr>
            <w:t>www.cil.nus.edu</w:t>
          </w:r>
        </w:hyperlink>
        <w:r>
          <w:rPr>
            <w:rFonts w:ascii="Arial" w:hAnsi="Arial" w:cs="Arial"/>
            <w:sz w:val="16"/>
            <w:szCs w:val="16"/>
          </w:rPr>
          <w:t>.</w:t>
        </w:r>
        <w:r>
          <w:rPr>
            <w:rFonts w:ascii="Arial" w:hAnsi="Arial" w:cs="Arial"/>
            <w:sz w:val="16"/>
            <w:szCs w:val="16"/>
          </w:rPr>
          <w:tab/>
        </w:r>
        <w:r>
          <w:rPr>
            <w:rFonts w:cs="Arial"/>
            <w:color w:val="7F7F7F"/>
            <w:sz w:val="16"/>
            <w:szCs w:val="16"/>
          </w:rPr>
          <w:t xml:space="preserve">Page </w:t>
        </w:r>
        <w:r>
          <w:rPr>
            <w:rFonts w:cs="Arial"/>
            <w:color w:val="7F7F7F"/>
            <w:sz w:val="16"/>
            <w:szCs w:val="16"/>
          </w:rPr>
          <w:fldChar w:fldCharType="begin"/>
        </w:r>
        <w:r>
          <w:rPr>
            <w:rFonts w:cs="Arial"/>
            <w:color w:val="7F7F7F"/>
            <w:sz w:val="16"/>
            <w:szCs w:val="16"/>
          </w:rPr>
          <w:instrText xml:space="preserve"> PAGE </w:instrText>
        </w:r>
        <w:r>
          <w:rPr>
            <w:rFonts w:cs="Arial"/>
            <w:color w:val="7F7F7F"/>
            <w:sz w:val="16"/>
            <w:szCs w:val="16"/>
          </w:rPr>
          <w:fldChar w:fldCharType="separate"/>
        </w:r>
        <w:r w:rsidR="00812CB2">
          <w:rPr>
            <w:rFonts w:cs="Arial"/>
            <w:noProof/>
            <w:color w:val="7F7F7F"/>
            <w:sz w:val="16"/>
            <w:szCs w:val="16"/>
          </w:rPr>
          <w:t>1</w:t>
        </w:r>
        <w:r>
          <w:rPr>
            <w:rFonts w:cs="Arial"/>
            <w:color w:val="7F7F7F"/>
            <w:sz w:val="16"/>
            <w:szCs w:val="16"/>
          </w:rPr>
          <w:fldChar w:fldCharType="end"/>
        </w:r>
        <w:r>
          <w:rPr>
            <w:rFonts w:cs="Arial"/>
            <w:color w:val="7F7F7F"/>
            <w:sz w:val="16"/>
            <w:szCs w:val="16"/>
          </w:rPr>
          <w:t xml:space="preserve"> of </w:t>
        </w:r>
        <w:r>
          <w:rPr>
            <w:rFonts w:cs="Arial"/>
            <w:color w:val="7F7F7F"/>
            <w:sz w:val="16"/>
            <w:szCs w:val="16"/>
          </w:rPr>
          <w:fldChar w:fldCharType="begin"/>
        </w:r>
        <w:r>
          <w:rPr>
            <w:rFonts w:cs="Arial"/>
            <w:color w:val="7F7F7F"/>
            <w:sz w:val="16"/>
            <w:szCs w:val="16"/>
          </w:rPr>
          <w:instrText xml:space="preserve"> NUMPAGES  </w:instrText>
        </w:r>
        <w:r>
          <w:rPr>
            <w:rFonts w:cs="Arial"/>
            <w:color w:val="7F7F7F"/>
            <w:sz w:val="16"/>
            <w:szCs w:val="16"/>
          </w:rPr>
          <w:fldChar w:fldCharType="separate"/>
        </w:r>
        <w:r w:rsidR="00812CB2">
          <w:rPr>
            <w:rFonts w:cs="Arial"/>
            <w:noProof/>
            <w:color w:val="7F7F7F"/>
            <w:sz w:val="16"/>
            <w:szCs w:val="16"/>
          </w:rPr>
          <w:t>6</w:t>
        </w:r>
        <w:r>
          <w:rPr>
            <w:rFonts w:cs="Arial"/>
            <w:color w:val="7F7F7F"/>
            <w:sz w:val="16"/>
            <w:szCs w:val="16"/>
          </w:rPr>
          <w:fldChar w:fldCharType="end"/>
        </w:r>
      </w:p>
    </w:sdtContent>
  </w:sdt>
  <w:p w14:paraId="2AF70410" w14:textId="77777777" w:rsidR="00393662" w:rsidRPr="006D038E" w:rsidRDefault="00393662" w:rsidP="00C55003">
    <w:pPr>
      <w:pStyle w:val="Footer"/>
      <w:tabs>
        <w:tab w:val="left" w:pos="7655"/>
      </w:tabs>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E695" w14:textId="77777777" w:rsidR="00A57DE5" w:rsidRDefault="00A57DE5" w:rsidP="00FC31EC">
      <w:pPr>
        <w:spacing w:after="0" w:line="240" w:lineRule="auto"/>
      </w:pPr>
      <w:r>
        <w:separator/>
      </w:r>
    </w:p>
  </w:footnote>
  <w:footnote w:type="continuationSeparator" w:id="0">
    <w:p w14:paraId="65C36B2C" w14:textId="77777777" w:rsidR="00A57DE5" w:rsidRDefault="00A57DE5" w:rsidP="00FC31EC">
      <w:pPr>
        <w:spacing w:after="0" w:line="240" w:lineRule="auto"/>
      </w:pPr>
      <w:r>
        <w:continuationSeparator/>
      </w:r>
    </w:p>
  </w:footnote>
  <w:footnote w:id="1">
    <w:p w14:paraId="62701CD0" w14:textId="6C73D649" w:rsidR="00851E77" w:rsidRPr="00851E77" w:rsidRDefault="00851E77">
      <w:pPr>
        <w:pStyle w:val="FootnoteText"/>
        <w:rPr>
          <w:lang w:val="en-US"/>
        </w:rPr>
      </w:pPr>
      <w:r>
        <w:rPr>
          <w:rStyle w:val="FootnoteReference"/>
        </w:rPr>
        <w:footnoteRef/>
      </w:r>
      <w:r>
        <w:t xml:space="preserve"> </w:t>
      </w:r>
      <w:r w:rsidRPr="00070A16">
        <w:rPr>
          <w:rStyle w:val="ParagraphTextChar"/>
          <w:sz w:val="16"/>
          <w:szCs w:val="16"/>
        </w:rPr>
        <w:t>These agreements or arrangements are concluded for Member State only. In the event a Member State wishes to join such agreements or arrangements, it should be given equal opportunity to do at any time</w:t>
      </w:r>
      <w:r w:rsidRPr="00070A16">
        <w:rPr>
          <w:sz w:val="16"/>
          <w:szCs w:val="16"/>
        </w:rPr>
        <w:t>.</w:t>
      </w:r>
    </w:p>
  </w:footnote>
  <w:footnote w:id="2">
    <w:p w14:paraId="2EC4916C" w14:textId="77777777" w:rsidR="00B307A2" w:rsidRPr="002C612F" w:rsidRDefault="00B307A2" w:rsidP="002C612F">
      <w:pPr>
        <w:pStyle w:val="ParagraphText"/>
      </w:pPr>
      <w:r w:rsidRPr="00070A16">
        <w:rPr>
          <w:rStyle w:val="FootnoteReference"/>
          <w:rFonts w:cs="Arial"/>
          <w:sz w:val="16"/>
          <w:szCs w:val="16"/>
        </w:rPr>
        <w:footnoteRef/>
      </w:r>
      <w:r w:rsidRPr="00070A16">
        <w:rPr>
          <w:sz w:val="16"/>
          <w:szCs w:val="16"/>
          <w:vertAlign w:val="superscript"/>
        </w:rPr>
        <w:t xml:space="preserve"> </w:t>
      </w:r>
      <w:r w:rsidRPr="00070A16">
        <w:rPr>
          <w:sz w:val="16"/>
          <w:szCs w:val="16"/>
        </w:rPr>
        <w:t>Existing Agreements are not affected as these have been notified in the MFN Exemption List of the GATS.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866A" w14:textId="77777777" w:rsidR="00393662" w:rsidRPr="001F1C27" w:rsidRDefault="00705195" w:rsidP="00BE214B">
    <w:pPr>
      <w:pBdr>
        <w:bottom w:val="single" w:sz="4" w:space="1" w:color="auto"/>
      </w:pBdr>
      <w:spacing w:after="120"/>
      <w:rPr>
        <w:b/>
        <w:color w:val="808080"/>
        <w:sz w:val="16"/>
        <w:szCs w:val="16"/>
      </w:rPr>
    </w:pPr>
    <w:r>
      <w:rPr>
        <w:rStyle w:val="BookTitle"/>
        <w:rFonts w:ascii="Arial" w:hAnsi="Arial" w:cs="Arial"/>
        <w:b w:val="0"/>
        <w:i w:val="0"/>
        <w:caps/>
        <w:color w:val="808080"/>
        <w:sz w:val="16"/>
        <w:szCs w:val="16"/>
        <w:lang w:val="en-GB"/>
      </w:rPr>
      <w:t>1995 ASEAN FRAMEWORK AGREEMENT 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B49"/>
    <w:multiLevelType w:val="multilevel"/>
    <w:tmpl w:val="F34C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D5134"/>
    <w:multiLevelType w:val="multilevel"/>
    <w:tmpl w:val="F9003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6B226F"/>
    <w:multiLevelType w:val="multilevel"/>
    <w:tmpl w:val="9C22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F3634"/>
    <w:multiLevelType w:val="multilevel"/>
    <w:tmpl w:val="475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B1FEC"/>
    <w:multiLevelType w:val="multilevel"/>
    <w:tmpl w:val="9A78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F2AEC"/>
    <w:multiLevelType w:val="multilevel"/>
    <w:tmpl w:val="B74C73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70487"/>
    <w:multiLevelType w:val="multilevel"/>
    <w:tmpl w:val="CF0A70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C4CE3"/>
    <w:multiLevelType w:val="multilevel"/>
    <w:tmpl w:val="C956A6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40D08"/>
    <w:multiLevelType w:val="multilevel"/>
    <w:tmpl w:val="2350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C2E10"/>
    <w:multiLevelType w:val="hybridMultilevel"/>
    <w:tmpl w:val="386620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BD977F4"/>
    <w:multiLevelType w:val="hybridMultilevel"/>
    <w:tmpl w:val="BC7A3AFC"/>
    <w:lvl w:ilvl="0" w:tplc="F23CA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8268A6"/>
    <w:multiLevelType w:val="multilevel"/>
    <w:tmpl w:val="EA685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D712FC"/>
    <w:multiLevelType w:val="multilevel"/>
    <w:tmpl w:val="F4E218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C0B43"/>
    <w:multiLevelType w:val="hybridMultilevel"/>
    <w:tmpl w:val="AE8E2190"/>
    <w:lvl w:ilvl="0" w:tplc="1B8042CE">
      <w:start w:val="1"/>
      <w:numFmt w:val="lowerLetter"/>
      <w:lvlText w:val="%1)"/>
      <w:lvlJc w:val="left"/>
      <w:pPr>
        <w:ind w:left="720" w:hanging="360"/>
      </w:pPr>
      <w:rPr>
        <w:rFonts w:ascii="Arial" w:eastAsia="Calibri" w:hAnsi="Arial" w:cs="Arial"/>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F1A2F1D"/>
    <w:multiLevelType w:val="hybridMultilevel"/>
    <w:tmpl w:val="B1E2C1A2"/>
    <w:lvl w:ilvl="0" w:tplc="F23CA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684BFF"/>
    <w:multiLevelType w:val="multilevel"/>
    <w:tmpl w:val="511A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307B9C"/>
    <w:multiLevelType w:val="multilevel"/>
    <w:tmpl w:val="D50014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29A4E30"/>
    <w:multiLevelType w:val="multilevel"/>
    <w:tmpl w:val="7852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F06A3"/>
    <w:multiLevelType w:val="hybridMultilevel"/>
    <w:tmpl w:val="B1E2C1A2"/>
    <w:lvl w:ilvl="0" w:tplc="F23CA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48180A"/>
    <w:multiLevelType w:val="multilevel"/>
    <w:tmpl w:val="E124A4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04236"/>
    <w:multiLevelType w:val="multilevel"/>
    <w:tmpl w:val="B06A6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064756">
    <w:abstractNumId w:val="14"/>
  </w:num>
  <w:num w:numId="2" w16cid:durableId="1578784887">
    <w:abstractNumId w:val="18"/>
  </w:num>
  <w:num w:numId="3" w16cid:durableId="1795560779">
    <w:abstractNumId w:val="10"/>
  </w:num>
  <w:num w:numId="4" w16cid:durableId="1685477122">
    <w:abstractNumId w:val="2"/>
  </w:num>
  <w:num w:numId="5" w16cid:durableId="834879576">
    <w:abstractNumId w:val="11"/>
  </w:num>
  <w:num w:numId="6" w16cid:durableId="5716365">
    <w:abstractNumId w:val="7"/>
  </w:num>
  <w:num w:numId="7" w16cid:durableId="1221551617">
    <w:abstractNumId w:val="12"/>
  </w:num>
  <w:num w:numId="8" w16cid:durableId="736588743">
    <w:abstractNumId w:val="6"/>
  </w:num>
  <w:num w:numId="9" w16cid:durableId="774979632">
    <w:abstractNumId w:val="20"/>
  </w:num>
  <w:num w:numId="10" w16cid:durableId="1411542533">
    <w:abstractNumId w:val="16"/>
  </w:num>
  <w:num w:numId="11" w16cid:durableId="1564486989">
    <w:abstractNumId w:val="1"/>
  </w:num>
  <w:num w:numId="12" w16cid:durableId="945188905">
    <w:abstractNumId w:val="17"/>
  </w:num>
  <w:num w:numId="13" w16cid:durableId="1069115359">
    <w:abstractNumId w:val="15"/>
  </w:num>
  <w:num w:numId="14" w16cid:durableId="716703082">
    <w:abstractNumId w:val="19"/>
  </w:num>
  <w:num w:numId="15" w16cid:durableId="962076870">
    <w:abstractNumId w:val="5"/>
  </w:num>
  <w:num w:numId="16" w16cid:durableId="18824174">
    <w:abstractNumId w:val="3"/>
  </w:num>
  <w:num w:numId="17" w16cid:durableId="1981762776">
    <w:abstractNumId w:val="0"/>
  </w:num>
  <w:num w:numId="18" w16cid:durableId="1773162087">
    <w:abstractNumId w:val="4"/>
  </w:num>
  <w:num w:numId="19" w16cid:durableId="1938320844">
    <w:abstractNumId w:val="8"/>
  </w:num>
  <w:num w:numId="20" w16cid:durableId="1980648529">
    <w:abstractNumId w:val="13"/>
  </w:num>
  <w:num w:numId="21" w16cid:durableId="885213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63"/>
    <w:rsid w:val="000053E5"/>
    <w:rsid w:val="00005566"/>
    <w:rsid w:val="00020FCE"/>
    <w:rsid w:val="00022662"/>
    <w:rsid w:val="00025279"/>
    <w:rsid w:val="00031E3A"/>
    <w:rsid w:val="00032179"/>
    <w:rsid w:val="000517B2"/>
    <w:rsid w:val="00056002"/>
    <w:rsid w:val="00070A16"/>
    <w:rsid w:val="00071DEB"/>
    <w:rsid w:val="00075358"/>
    <w:rsid w:val="00091CB6"/>
    <w:rsid w:val="000927BC"/>
    <w:rsid w:val="0009322B"/>
    <w:rsid w:val="000A0777"/>
    <w:rsid w:val="000A20B4"/>
    <w:rsid w:val="000A2A83"/>
    <w:rsid w:val="000B2F33"/>
    <w:rsid w:val="000B38F8"/>
    <w:rsid w:val="000C0938"/>
    <w:rsid w:val="000D639B"/>
    <w:rsid w:val="000E032D"/>
    <w:rsid w:val="00133A56"/>
    <w:rsid w:val="00153158"/>
    <w:rsid w:val="00160819"/>
    <w:rsid w:val="00176930"/>
    <w:rsid w:val="001901B5"/>
    <w:rsid w:val="00195774"/>
    <w:rsid w:val="001C5255"/>
    <w:rsid w:val="001D23E1"/>
    <w:rsid w:val="001D6B82"/>
    <w:rsid w:val="001D7363"/>
    <w:rsid w:val="001E338F"/>
    <w:rsid w:val="00226EE3"/>
    <w:rsid w:val="00235EE9"/>
    <w:rsid w:val="002540CF"/>
    <w:rsid w:val="00265CE9"/>
    <w:rsid w:val="00270F22"/>
    <w:rsid w:val="002722EA"/>
    <w:rsid w:val="002732BD"/>
    <w:rsid w:val="002801A3"/>
    <w:rsid w:val="00291438"/>
    <w:rsid w:val="00294AA0"/>
    <w:rsid w:val="002C612F"/>
    <w:rsid w:val="002E5AF1"/>
    <w:rsid w:val="00313DD3"/>
    <w:rsid w:val="00325B75"/>
    <w:rsid w:val="00332826"/>
    <w:rsid w:val="003331BE"/>
    <w:rsid w:val="00334154"/>
    <w:rsid w:val="00343A4A"/>
    <w:rsid w:val="00344987"/>
    <w:rsid w:val="00357A47"/>
    <w:rsid w:val="003623A2"/>
    <w:rsid w:val="00365F19"/>
    <w:rsid w:val="00366B7D"/>
    <w:rsid w:val="0037290B"/>
    <w:rsid w:val="00393662"/>
    <w:rsid w:val="003A1855"/>
    <w:rsid w:val="003A23C3"/>
    <w:rsid w:val="003A29DC"/>
    <w:rsid w:val="003A33AA"/>
    <w:rsid w:val="003C0653"/>
    <w:rsid w:val="003C5F1A"/>
    <w:rsid w:val="003D3DF9"/>
    <w:rsid w:val="003E4E8C"/>
    <w:rsid w:val="003F4524"/>
    <w:rsid w:val="003F45F2"/>
    <w:rsid w:val="003F50A9"/>
    <w:rsid w:val="004077FA"/>
    <w:rsid w:val="0041101D"/>
    <w:rsid w:val="00431978"/>
    <w:rsid w:val="00455E9F"/>
    <w:rsid w:val="00466AE6"/>
    <w:rsid w:val="004944B6"/>
    <w:rsid w:val="00494E10"/>
    <w:rsid w:val="004B0982"/>
    <w:rsid w:val="004B2C5C"/>
    <w:rsid w:val="004B5D4B"/>
    <w:rsid w:val="004E5AF1"/>
    <w:rsid w:val="004F0275"/>
    <w:rsid w:val="00502D51"/>
    <w:rsid w:val="005178DC"/>
    <w:rsid w:val="005277F2"/>
    <w:rsid w:val="00527886"/>
    <w:rsid w:val="00527C44"/>
    <w:rsid w:val="00556CA4"/>
    <w:rsid w:val="005A3EA3"/>
    <w:rsid w:val="005B7063"/>
    <w:rsid w:val="005C174D"/>
    <w:rsid w:val="005C34D6"/>
    <w:rsid w:val="005C387E"/>
    <w:rsid w:val="005C3EC7"/>
    <w:rsid w:val="005C6A7A"/>
    <w:rsid w:val="005E2C91"/>
    <w:rsid w:val="005E4755"/>
    <w:rsid w:val="005E6C74"/>
    <w:rsid w:val="005F0CDC"/>
    <w:rsid w:val="005F2049"/>
    <w:rsid w:val="00620805"/>
    <w:rsid w:val="00636489"/>
    <w:rsid w:val="006442A4"/>
    <w:rsid w:val="00646A8E"/>
    <w:rsid w:val="00646B8B"/>
    <w:rsid w:val="00657627"/>
    <w:rsid w:val="006757A7"/>
    <w:rsid w:val="006930D2"/>
    <w:rsid w:val="00705195"/>
    <w:rsid w:val="0072590A"/>
    <w:rsid w:val="0074341F"/>
    <w:rsid w:val="007476D1"/>
    <w:rsid w:val="00756AE6"/>
    <w:rsid w:val="00780B19"/>
    <w:rsid w:val="007A0CE1"/>
    <w:rsid w:val="007A2C7A"/>
    <w:rsid w:val="007D5461"/>
    <w:rsid w:val="007F6ECE"/>
    <w:rsid w:val="00807C56"/>
    <w:rsid w:val="00812CB2"/>
    <w:rsid w:val="00820548"/>
    <w:rsid w:val="00822313"/>
    <w:rsid w:val="00822B9F"/>
    <w:rsid w:val="0083200A"/>
    <w:rsid w:val="00851E77"/>
    <w:rsid w:val="00867C5F"/>
    <w:rsid w:val="00870650"/>
    <w:rsid w:val="00883289"/>
    <w:rsid w:val="008D5CC1"/>
    <w:rsid w:val="008E3018"/>
    <w:rsid w:val="009204ED"/>
    <w:rsid w:val="00926A9A"/>
    <w:rsid w:val="009453BE"/>
    <w:rsid w:val="009610D1"/>
    <w:rsid w:val="00983050"/>
    <w:rsid w:val="0098625E"/>
    <w:rsid w:val="00992FE8"/>
    <w:rsid w:val="009973C2"/>
    <w:rsid w:val="009A07DC"/>
    <w:rsid w:val="009B104E"/>
    <w:rsid w:val="009B5024"/>
    <w:rsid w:val="009B6600"/>
    <w:rsid w:val="009C410C"/>
    <w:rsid w:val="009D4184"/>
    <w:rsid w:val="009E0DD3"/>
    <w:rsid w:val="00A10E6B"/>
    <w:rsid w:val="00A2282A"/>
    <w:rsid w:val="00A50BEA"/>
    <w:rsid w:val="00A57D06"/>
    <w:rsid w:val="00A57DE5"/>
    <w:rsid w:val="00A7204F"/>
    <w:rsid w:val="00AA15D0"/>
    <w:rsid w:val="00AB5DBE"/>
    <w:rsid w:val="00AB6617"/>
    <w:rsid w:val="00AC53D5"/>
    <w:rsid w:val="00AD71CE"/>
    <w:rsid w:val="00AF4264"/>
    <w:rsid w:val="00AF698A"/>
    <w:rsid w:val="00AF70E2"/>
    <w:rsid w:val="00AF7998"/>
    <w:rsid w:val="00B0438D"/>
    <w:rsid w:val="00B05094"/>
    <w:rsid w:val="00B06866"/>
    <w:rsid w:val="00B153BE"/>
    <w:rsid w:val="00B27DE0"/>
    <w:rsid w:val="00B307A2"/>
    <w:rsid w:val="00B30BE2"/>
    <w:rsid w:val="00B329F5"/>
    <w:rsid w:val="00B51A1C"/>
    <w:rsid w:val="00B51CE7"/>
    <w:rsid w:val="00B558C5"/>
    <w:rsid w:val="00B619F8"/>
    <w:rsid w:val="00B94BD6"/>
    <w:rsid w:val="00BB44A9"/>
    <w:rsid w:val="00BB5EEE"/>
    <w:rsid w:val="00BB5FD5"/>
    <w:rsid w:val="00BC6379"/>
    <w:rsid w:val="00BC687D"/>
    <w:rsid w:val="00BC77B9"/>
    <w:rsid w:val="00BD225D"/>
    <w:rsid w:val="00BD4AB3"/>
    <w:rsid w:val="00BD4E85"/>
    <w:rsid w:val="00BE184A"/>
    <w:rsid w:val="00BE214B"/>
    <w:rsid w:val="00C12204"/>
    <w:rsid w:val="00C1510D"/>
    <w:rsid w:val="00C37EB2"/>
    <w:rsid w:val="00C53B71"/>
    <w:rsid w:val="00C55003"/>
    <w:rsid w:val="00C611A9"/>
    <w:rsid w:val="00C61B33"/>
    <w:rsid w:val="00C72803"/>
    <w:rsid w:val="00C803D2"/>
    <w:rsid w:val="00C9260F"/>
    <w:rsid w:val="00C943F0"/>
    <w:rsid w:val="00CA0CDC"/>
    <w:rsid w:val="00CA1660"/>
    <w:rsid w:val="00CA3915"/>
    <w:rsid w:val="00CA3BB2"/>
    <w:rsid w:val="00CD28DB"/>
    <w:rsid w:val="00CE2624"/>
    <w:rsid w:val="00CF7F8B"/>
    <w:rsid w:val="00D22588"/>
    <w:rsid w:val="00D25360"/>
    <w:rsid w:val="00D27F9A"/>
    <w:rsid w:val="00D4588E"/>
    <w:rsid w:val="00D554B3"/>
    <w:rsid w:val="00D66F29"/>
    <w:rsid w:val="00D85FD1"/>
    <w:rsid w:val="00D87FE0"/>
    <w:rsid w:val="00D909F9"/>
    <w:rsid w:val="00D97DED"/>
    <w:rsid w:val="00DA2ED6"/>
    <w:rsid w:val="00DA320C"/>
    <w:rsid w:val="00DB23ED"/>
    <w:rsid w:val="00DC5E58"/>
    <w:rsid w:val="00DC66F3"/>
    <w:rsid w:val="00DE488C"/>
    <w:rsid w:val="00DF35C9"/>
    <w:rsid w:val="00E032AB"/>
    <w:rsid w:val="00E11892"/>
    <w:rsid w:val="00E302EE"/>
    <w:rsid w:val="00E37739"/>
    <w:rsid w:val="00E453EE"/>
    <w:rsid w:val="00E50D99"/>
    <w:rsid w:val="00E51321"/>
    <w:rsid w:val="00E52981"/>
    <w:rsid w:val="00E6226E"/>
    <w:rsid w:val="00E649CE"/>
    <w:rsid w:val="00E71A2A"/>
    <w:rsid w:val="00E76781"/>
    <w:rsid w:val="00E770DD"/>
    <w:rsid w:val="00E847B9"/>
    <w:rsid w:val="00E8595B"/>
    <w:rsid w:val="00E93E46"/>
    <w:rsid w:val="00EA18DF"/>
    <w:rsid w:val="00EB2D85"/>
    <w:rsid w:val="00EC3293"/>
    <w:rsid w:val="00EC518B"/>
    <w:rsid w:val="00EE03EE"/>
    <w:rsid w:val="00EE3888"/>
    <w:rsid w:val="00F25BD9"/>
    <w:rsid w:val="00F2628F"/>
    <w:rsid w:val="00F275A5"/>
    <w:rsid w:val="00F32199"/>
    <w:rsid w:val="00F41FC4"/>
    <w:rsid w:val="00F51DB2"/>
    <w:rsid w:val="00F541E7"/>
    <w:rsid w:val="00F64047"/>
    <w:rsid w:val="00F85F82"/>
    <w:rsid w:val="00F870B8"/>
    <w:rsid w:val="00F87B2C"/>
    <w:rsid w:val="00FA7FC6"/>
    <w:rsid w:val="00FC31EC"/>
    <w:rsid w:val="00FC7E4E"/>
    <w:rsid w:val="1A3B01D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2065F62"/>
  <w15:chartTrackingRefBased/>
  <w15:docId w15:val="{8156814C-215F-4B7C-8E2C-DBF055B1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63"/>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556C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EC32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EC3293"/>
    <w:pPr>
      <w:keepNext/>
      <w:spacing w:before="240" w:after="60" w:line="24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EC3293"/>
    <w:pPr>
      <w:keepNext/>
      <w:spacing w:before="240" w:after="60" w:line="240" w:lineRule="auto"/>
      <w:jc w:val="both"/>
      <w:outlineLvl w:val="3"/>
    </w:pPr>
    <w:rPr>
      <w:rFonts w:eastAsia="Times New Roman"/>
      <w:b/>
      <w:bCs/>
      <w:sz w:val="28"/>
      <w:szCs w:val="28"/>
    </w:rPr>
  </w:style>
  <w:style w:type="paragraph" w:styleId="Heading5">
    <w:name w:val="heading 5"/>
    <w:basedOn w:val="Normal"/>
    <w:next w:val="Normal"/>
    <w:link w:val="Heading5Char"/>
    <w:uiPriority w:val="99"/>
    <w:qFormat/>
    <w:rsid w:val="00EC3293"/>
    <w:pPr>
      <w:spacing w:before="240" w:after="60" w:line="240" w:lineRule="auto"/>
      <w:jc w:val="both"/>
      <w:outlineLvl w:val="4"/>
    </w:pPr>
    <w:rPr>
      <w:rFonts w:eastAsia="Times New Roman"/>
      <w:b/>
      <w:bCs/>
      <w:i/>
      <w:iCs/>
      <w:sz w:val="26"/>
      <w:szCs w:val="26"/>
    </w:rPr>
  </w:style>
  <w:style w:type="paragraph" w:styleId="Heading6">
    <w:name w:val="heading 6"/>
    <w:basedOn w:val="Normal"/>
    <w:next w:val="Normal"/>
    <w:link w:val="Heading6Char"/>
    <w:uiPriority w:val="99"/>
    <w:qFormat/>
    <w:rsid w:val="00EC3293"/>
    <w:pPr>
      <w:spacing w:before="240" w:after="60" w:line="240" w:lineRule="auto"/>
      <w:jc w:val="both"/>
      <w:outlineLvl w:val="5"/>
    </w:pPr>
    <w:rPr>
      <w:rFonts w:eastAsia="Times New Roman"/>
      <w:b/>
      <w:bCs/>
    </w:rPr>
  </w:style>
  <w:style w:type="paragraph" w:styleId="Heading7">
    <w:name w:val="heading 7"/>
    <w:basedOn w:val="Normal"/>
    <w:next w:val="Normal"/>
    <w:link w:val="Heading7Char"/>
    <w:uiPriority w:val="99"/>
    <w:qFormat/>
    <w:rsid w:val="00EC3293"/>
    <w:pPr>
      <w:spacing w:before="240" w:after="60" w:line="240" w:lineRule="auto"/>
      <w:jc w:val="both"/>
      <w:outlineLvl w:val="6"/>
    </w:pPr>
    <w:rPr>
      <w:rFonts w:eastAsia="Times New Roman"/>
      <w:szCs w:val="24"/>
    </w:rPr>
  </w:style>
  <w:style w:type="paragraph" w:styleId="Heading8">
    <w:name w:val="heading 8"/>
    <w:basedOn w:val="Normal"/>
    <w:next w:val="Normal"/>
    <w:link w:val="Heading8Char"/>
    <w:uiPriority w:val="99"/>
    <w:qFormat/>
    <w:rsid w:val="00EC3293"/>
    <w:pPr>
      <w:spacing w:before="240" w:after="60" w:line="240" w:lineRule="auto"/>
      <w:jc w:val="both"/>
      <w:outlineLvl w:val="7"/>
    </w:pPr>
    <w:rPr>
      <w:rFonts w:eastAsia="Times New Roman"/>
      <w:i/>
      <w:iCs/>
      <w:szCs w:val="24"/>
    </w:rPr>
  </w:style>
  <w:style w:type="paragraph" w:styleId="Heading9">
    <w:name w:val="heading 9"/>
    <w:basedOn w:val="Normal"/>
    <w:next w:val="Normal"/>
    <w:link w:val="Heading9Char"/>
    <w:uiPriority w:val="99"/>
    <w:qFormat/>
    <w:rsid w:val="00EC3293"/>
    <w:pPr>
      <w:spacing w:before="240" w:after="60" w:line="240" w:lineRule="auto"/>
      <w:jc w:val="both"/>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CA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EC3293"/>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9"/>
    <w:rsid w:val="00EC3293"/>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EC3293"/>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9"/>
    <w:rsid w:val="00EC3293"/>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C3293"/>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C3293"/>
    <w:rPr>
      <w:rFonts w:ascii="Calibri" w:eastAsia="Times New Roman" w:hAnsi="Calibri" w:cs="Times New Roman"/>
      <w:szCs w:val="24"/>
      <w:lang w:val="en-US"/>
    </w:rPr>
  </w:style>
  <w:style w:type="character" w:customStyle="1" w:styleId="Heading8Char">
    <w:name w:val="Heading 8 Char"/>
    <w:basedOn w:val="DefaultParagraphFont"/>
    <w:link w:val="Heading8"/>
    <w:uiPriority w:val="99"/>
    <w:rsid w:val="00EC3293"/>
    <w:rPr>
      <w:rFonts w:ascii="Calibri" w:eastAsia="Times New Roman" w:hAnsi="Calibri" w:cs="Times New Roman"/>
      <w:i/>
      <w:iCs/>
      <w:szCs w:val="24"/>
      <w:lang w:val="en-US"/>
    </w:rPr>
  </w:style>
  <w:style w:type="character" w:customStyle="1" w:styleId="Heading9Char">
    <w:name w:val="Heading 9 Char"/>
    <w:basedOn w:val="DefaultParagraphFont"/>
    <w:link w:val="Heading9"/>
    <w:uiPriority w:val="99"/>
    <w:rsid w:val="00EC3293"/>
    <w:rPr>
      <w:rFonts w:ascii="Cambria" w:eastAsia="Times New Roman" w:hAnsi="Cambria" w:cs="Times New Roman"/>
      <w:lang w:val="en-US"/>
    </w:rPr>
  </w:style>
  <w:style w:type="paragraph" w:styleId="Footer">
    <w:name w:val="footer"/>
    <w:basedOn w:val="Normal"/>
    <w:link w:val="FooterChar"/>
    <w:uiPriority w:val="99"/>
    <w:rsid w:val="001D7363"/>
    <w:pPr>
      <w:tabs>
        <w:tab w:val="center" w:pos="4320"/>
        <w:tab w:val="right" w:pos="8640"/>
      </w:tabs>
    </w:pPr>
  </w:style>
  <w:style w:type="character" w:customStyle="1" w:styleId="FooterChar">
    <w:name w:val="Footer Char"/>
    <w:basedOn w:val="DefaultParagraphFont"/>
    <w:link w:val="Footer"/>
    <w:uiPriority w:val="99"/>
    <w:rsid w:val="001D7363"/>
    <w:rPr>
      <w:rFonts w:ascii="Calibri" w:eastAsia="Calibri" w:hAnsi="Calibri" w:cs="Times New Roman"/>
      <w:lang w:val="en-US"/>
    </w:rPr>
  </w:style>
  <w:style w:type="character" w:styleId="PageNumber">
    <w:name w:val="page number"/>
    <w:basedOn w:val="DefaultParagraphFont"/>
    <w:rsid w:val="001D7363"/>
  </w:style>
  <w:style w:type="paragraph" w:styleId="Header">
    <w:name w:val="header"/>
    <w:basedOn w:val="Normal"/>
    <w:link w:val="HeaderChar"/>
    <w:uiPriority w:val="99"/>
    <w:rsid w:val="001D7363"/>
    <w:pPr>
      <w:tabs>
        <w:tab w:val="center" w:pos="4320"/>
        <w:tab w:val="right" w:pos="8640"/>
      </w:tabs>
    </w:pPr>
  </w:style>
  <w:style w:type="character" w:customStyle="1" w:styleId="HeaderChar">
    <w:name w:val="Header Char"/>
    <w:basedOn w:val="DefaultParagraphFont"/>
    <w:link w:val="Header"/>
    <w:uiPriority w:val="99"/>
    <w:rsid w:val="001D7363"/>
    <w:rPr>
      <w:rFonts w:ascii="Calibri" w:eastAsia="Calibri" w:hAnsi="Calibri" w:cs="Times New Roman"/>
      <w:lang w:val="en-US"/>
    </w:rPr>
  </w:style>
  <w:style w:type="character" w:styleId="Hyperlink">
    <w:name w:val="Hyperlink"/>
    <w:basedOn w:val="DefaultParagraphFont"/>
    <w:uiPriority w:val="99"/>
    <w:rsid w:val="001D7363"/>
    <w:rPr>
      <w:color w:val="0000FF"/>
      <w:u w:val="single"/>
    </w:rPr>
  </w:style>
  <w:style w:type="paragraph" w:customStyle="1" w:styleId="FullTitle">
    <w:name w:val="Full Title"/>
    <w:basedOn w:val="Normal"/>
    <w:link w:val="FullTitleChar"/>
    <w:qFormat/>
    <w:rsid w:val="005F2049"/>
    <w:pPr>
      <w:spacing w:before="240" w:after="120"/>
      <w:jc w:val="center"/>
    </w:pPr>
    <w:rPr>
      <w:rFonts w:ascii="Arial" w:hAnsi="Arial" w:cs="Arial"/>
      <w:b/>
      <w:caps/>
      <w:sz w:val="28"/>
    </w:rPr>
  </w:style>
  <w:style w:type="character" w:customStyle="1" w:styleId="FullTitleChar">
    <w:name w:val="Full Title Char"/>
    <w:basedOn w:val="DefaultParagraphFont"/>
    <w:link w:val="FullTitle"/>
    <w:rsid w:val="005F2049"/>
    <w:rPr>
      <w:rFonts w:ascii="Arial" w:eastAsia="Calibri" w:hAnsi="Arial" w:cs="Arial"/>
      <w:b/>
      <w:caps/>
      <w:sz w:val="28"/>
      <w:lang w:val="en-US"/>
    </w:rPr>
  </w:style>
  <w:style w:type="paragraph" w:customStyle="1" w:styleId="Subtitle1">
    <w:name w:val="Subtitle1"/>
    <w:basedOn w:val="Normal"/>
    <w:link w:val="Subtitle1Char"/>
    <w:qFormat/>
    <w:rsid w:val="005F2049"/>
    <w:pPr>
      <w:spacing w:before="240" w:after="120"/>
      <w:jc w:val="center"/>
    </w:pPr>
    <w:rPr>
      <w:rFonts w:ascii="Arial" w:hAnsi="Arial" w:cs="Arial"/>
      <w:i/>
      <w:sz w:val="20"/>
      <w:szCs w:val="20"/>
    </w:rPr>
  </w:style>
  <w:style w:type="character" w:customStyle="1" w:styleId="Subtitle1Char">
    <w:name w:val="Subtitle1 Char"/>
    <w:basedOn w:val="DefaultParagraphFont"/>
    <w:link w:val="Subtitle1"/>
    <w:rsid w:val="005F2049"/>
    <w:rPr>
      <w:rFonts w:ascii="Arial" w:eastAsia="Calibri" w:hAnsi="Arial" w:cs="Arial"/>
      <w:i/>
      <w:sz w:val="20"/>
      <w:szCs w:val="20"/>
      <w:lang w:val="en-US"/>
    </w:rPr>
  </w:style>
  <w:style w:type="paragraph" w:customStyle="1" w:styleId="ParagraphText">
    <w:name w:val="Paragraph Text"/>
    <w:basedOn w:val="Normal"/>
    <w:link w:val="ParagraphTextChar"/>
    <w:qFormat/>
    <w:rsid w:val="00BB5FD5"/>
    <w:pPr>
      <w:spacing w:before="240" w:after="120"/>
      <w:jc w:val="both"/>
    </w:pPr>
    <w:rPr>
      <w:rFonts w:ascii="Arial" w:hAnsi="Arial" w:cs="Arial"/>
      <w:sz w:val="20"/>
      <w:szCs w:val="20"/>
    </w:rPr>
  </w:style>
  <w:style w:type="character" w:customStyle="1" w:styleId="ParagraphTextChar">
    <w:name w:val="Paragraph Text Char"/>
    <w:basedOn w:val="DefaultParagraphFont"/>
    <w:link w:val="ParagraphText"/>
    <w:rsid w:val="00BB5FD5"/>
    <w:rPr>
      <w:rFonts w:ascii="Arial" w:eastAsia="Calibri" w:hAnsi="Arial" w:cs="Arial"/>
      <w:sz w:val="20"/>
      <w:szCs w:val="20"/>
      <w:lang w:val="en-US"/>
    </w:rPr>
  </w:style>
  <w:style w:type="paragraph" w:customStyle="1" w:styleId="Heading10">
    <w:name w:val="Heading_1"/>
    <w:basedOn w:val="ParagraphText"/>
    <w:link w:val="Heading1Char0"/>
    <w:qFormat/>
    <w:rsid w:val="00357A47"/>
    <w:pPr>
      <w:spacing w:after="60"/>
      <w:jc w:val="center"/>
    </w:pPr>
    <w:rPr>
      <w:b/>
      <w:caps/>
      <w:sz w:val="28"/>
      <w:szCs w:val="28"/>
    </w:rPr>
  </w:style>
  <w:style w:type="character" w:customStyle="1" w:styleId="Heading1Char0">
    <w:name w:val="Heading_1 Char"/>
    <w:basedOn w:val="ParagraphTextChar"/>
    <w:link w:val="Heading10"/>
    <w:rsid w:val="00357A47"/>
    <w:rPr>
      <w:rFonts w:ascii="Arial" w:eastAsia="Calibri" w:hAnsi="Arial" w:cs="Arial"/>
      <w:b/>
      <w:caps/>
      <w:sz w:val="28"/>
      <w:szCs w:val="28"/>
      <w:lang w:val="en-US"/>
    </w:rPr>
  </w:style>
  <w:style w:type="paragraph" w:customStyle="1" w:styleId="Default">
    <w:name w:val="Default"/>
    <w:rsid w:val="00EC329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M1">
    <w:name w:val="CM1"/>
    <w:basedOn w:val="Default"/>
    <w:next w:val="Default"/>
    <w:uiPriority w:val="99"/>
    <w:rsid w:val="00EC3293"/>
    <w:pPr>
      <w:spacing w:line="320" w:lineRule="atLeast"/>
    </w:pPr>
    <w:rPr>
      <w:color w:val="auto"/>
    </w:rPr>
  </w:style>
  <w:style w:type="paragraph" w:customStyle="1" w:styleId="CM8">
    <w:name w:val="CM8"/>
    <w:basedOn w:val="Default"/>
    <w:next w:val="Default"/>
    <w:uiPriority w:val="99"/>
    <w:rsid w:val="00EC3293"/>
    <w:rPr>
      <w:color w:val="auto"/>
    </w:rPr>
  </w:style>
  <w:style w:type="paragraph" w:customStyle="1" w:styleId="CM2">
    <w:name w:val="CM2"/>
    <w:basedOn w:val="Default"/>
    <w:next w:val="Default"/>
    <w:uiPriority w:val="99"/>
    <w:rsid w:val="00EC3293"/>
    <w:pPr>
      <w:spacing w:line="316" w:lineRule="atLeast"/>
    </w:pPr>
    <w:rPr>
      <w:color w:val="auto"/>
    </w:rPr>
  </w:style>
  <w:style w:type="paragraph" w:customStyle="1" w:styleId="CM9">
    <w:name w:val="CM9"/>
    <w:basedOn w:val="Default"/>
    <w:next w:val="Default"/>
    <w:uiPriority w:val="99"/>
    <w:rsid w:val="00EC3293"/>
    <w:rPr>
      <w:color w:val="auto"/>
    </w:rPr>
  </w:style>
  <w:style w:type="paragraph" w:customStyle="1" w:styleId="CM3">
    <w:name w:val="CM3"/>
    <w:basedOn w:val="Default"/>
    <w:next w:val="Default"/>
    <w:uiPriority w:val="99"/>
    <w:rsid w:val="00EC3293"/>
    <w:rPr>
      <w:color w:val="auto"/>
    </w:rPr>
  </w:style>
  <w:style w:type="paragraph" w:customStyle="1" w:styleId="CM4">
    <w:name w:val="CM4"/>
    <w:basedOn w:val="Default"/>
    <w:next w:val="Default"/>
    <w:uiPriority w:val="99"/>
    <w:rsid w:val="00EC3293"/>
    <w:pPr>
      <w:spacing w:line="323" w:lineRule="atLeast"/>
    </w:pPr>
    <w:rPr>
      <w:color w:val="auto"/>
    </w:rPr>
  </w:style>
  <w:style w:type="paragraph" w:customStyle="1" w:styleId="CM5">
    <w:name w:val="CM5"/>
    <w:basedOn w:val="Default"/>
    <w:next w:val="Default"/>
    <w:uiPriority w:val="99"/>
    <w:rsid w:val="00EC3293"/>
    <w:pPr>
      <w:spacing w:line="323" w:lineRule="atLeast"/>
    </w:pPr>
    <w:rPr>
      <w:color w:val="auto"/>
    </w:rPr>
  </w:style>
  <w:style w:type="paragraph" w:customStyle="1" w:styleId="CM6">
    <w:name w:val="CM6"/>
    <w:basedOn w:val="Default"/>
    <w:next w:val="Default"/>
    <w:uiPriority w:val="99"/>
    <w:rsid w:val="00EC3293"/>
    <w:pPr>
      <w:spacing w:line="323" w:lineRule="atLeast"/>
    </w:pPr>
    <w:rPr>
      <w:color w:val="auto"/>
    </w:rPr>
  </w:style>
  <w:style w:type="paragraph" w:customStyle="1" w:styleId="CM7">
    <w:name w:val="CM7"/>
    <w:basedOn w:val="Default"/>
    <w:next w:val="Default"/>
    <w:uiPriority w:val="99"/>
    <w:rsid w:val="00EC3293"/>
    <w:pPr>
      <w:spacing w:line="323" w:lineRule="atLeast"/>
    </w:pPr>
    <w:rPr>
      <w:color w:val="auto"/>
    </w:rPr>
  </w:style>
  <w:style w:type="paragraph" w:customStyle="1" w:styleId="CM13">
    <w:name w:val="CM13"/>
    <w:basedOn w:val="Default"/>
    <w:next w:val="Default"/>
    <w:uiPriority w:val="99"/>
    <w:rsid w:val="00EC3293"/>
    <w:rPr>
      <w:color w:val="auto"/>
    </w:rPr>
  </w:style>
  <w:style w:type="paragraph" w:customStyle="1" w:styleId="CM16">
    <w:name w:val="CM16"/>
    <w:basedOn w:val="Default"/>
    <w:next w:val="Default"/>
    <w:uiPriority w:val="99"/>
    <w:rsid w:val="00EC3293"/>
    <w:rPr>
      <w:color w:val="auto"/>
    </w:rPr>
  </w:style>
  <w:style w:type="paragraph" w:styleId="Title">
    <w:name w:val="Title"/>
    <w:basedOn w:val="Normal"/>
    <w:next w:val="Normal"/>
    <w:link w:val="TitleChar"/>
    <w:uiPriority w:val="10"/>
    <w:qFormat/>
    <w:rsid w:val="00EC3293"/>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C3293"/>
    <w:rPr>
      <w:rFonts w:ascii="Cambria" w:eastAsia="Times New Roman" w:hAnsi="Cambria" w:cs="Times New Roman"/>
      <w:b/>
      <w:bCs/>
      <w:kern w:val="28"/>
      <w:sz w:val="32"/>
      <w:szCs w:val="32"/>
      <w:lang w:val="en-US"/>
    </w:rPr>
  </w:style>
  <w:style w:type="paragraph" w:styleId="Subtitle">
    <w:name w:val="Subtitle"/>
    <w:basedOn w:val="Normal"/>
    <w:next w:val="Normal"/>
    <w:link w:val="SubtitleChar"/>
    <w:uiPriority w:val="99"/>
    <w:qFormat/>
    <w:rsid w:val="00EC3293"/>
    <w:pPr>
      <w:spacing w:after="60" w:line="240" w:lineRule="auto"/>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99"/>
    <w:rsid w:val="00EC3293"/>
    <w:rPr>
      <w:rFonts w:ascii="Cambria" w:eastAsia="Times New Roman" w:hAnsi="Cambria" w:cs="Times New Roman"/>
      <w:szCs w:val="24"/>
      <w:lang w:val="en-US"/>
    </w:rPr>
  </w:style>
  <w:style w:type="character" w:styleId="Strong">
    <w:name w:val="Strong"/>
    <w:basedOn w:val="DefaultParagraphFont"/>
    <w:uiPriority w:val="22"/>
    <w:qFormat/>
    <w:rsid w:val="00EC3293"/>
    <w:rPr>
      <w:rFonts w:cs="Times New Roman"/>
      <w:b/>
      <w:bCs/>
    </w:rPr>
  </w:style>
  <w:style w:type="character" w:styleId="Emphasis">
    <w:name w:val="Emphasis"/>
    <w:basedOn w:val="DefaultParagraphFont"/>
    <w:uiPriority w:val="20"/>
    <w:qFormat/>
    <w:rsid w:val="00EC3293"/>
    <w:rPr>
      <w:rFonts w:ascii="Calibri" w:hAnsi="Calibri" w:cs="Times New Roman"/>
      <w:b/>
      <w:i/>
      <w:iCs/>
    </w:rPr>
  </w:style>
  <w:style w:type="paragraph" w:styleId="NoSpacing">
    <w:name w:val="No Spacing"/>
    <w:basedOn w:val="Normal"/>
    <w:uiPriority w:val="99"/>
    <w:qFormat/>
    <w:rsid w:val="00EC3293"/>
    <w:pPr>
      <w:spacing w:after="0" w:line="240" w:lineRule="auto"/>
      <w:jc w:val="both"/>
    </w:pPr>
    <w:rPr>
      <w:rFonts w:eastAsia="Times New Roman"/>
      <w:szCs w:val="32"/>
    </w:rPr>
  </w:style>
  <w:style w:type="paragraph" w:styleId="ListParagraph">
    <w:name w:val="List Paragraph"/>
    <w:basedOn w:val="Normal"/>
    <w:link w:val="ListParagraphChar"/>
    <w:uiPriority w:val="34"/>
    <w:qFormat/>
    <w:rsid w:val="00EC3293"/>
    <w:pPr>
      <w:spacing w:after="0" w:line="240" w:lineRule="auto"/>
      <w:ind w:left="720"/>
      <w:contextualSpacing/>
      <w:jc w:val="both"/>
    </w:pPr>
    <w:rPr>
      <w:rFonts w:eastAsia="Times New Roman"/>
      <w:szCs w:val="24"/>
    </w:rPr>
  </w:style>
  <w:style w:type="character" w:customStyle="1" w:styleId="ListParagraphChar">
    <w:name w:val="List Paragraph Char"/>
    <w:basedOn w:val="DefaultParagraphFont"/>
    <w:link w:val="ListParagraph"/>
    <w:uiPriority w:val="99"/>
    <w:locked/>
    <w:rsid w:val="00EC3293"/>
    <w:rPr>
      <w:rFonts w:ascii="Calibri" w:eastAsia="Times New Roman" w:hAnsi="Calibri" w:cs="Times New Roman"/>
      <w:szCs w:val="24"/>
      <w:lang w:val="en-US"/>
    </w:rPr>
  </w:style>
  <w:style w:type="paragraph" w:styleId="Quote">
    <w:name w:val="Quote"/>
    <w:basedOn w:val="Normal"/>
    <w:next w:val="Normal"/>
    <w:link w:val="QuoteChar"/>
    <w:uiPriority w:val="99"/>
    <w:qFormat/>
    <w:rsid w:val="00EC3293"/>
    <w:pPr>
      <w:spacing w:after="0" w:line="240" w:lineRule="auto"/>
      <w:jc w:val="both"/>
    </w:pPr>
    <w:rPr>
      <w:rFonts w:eastAsia="Times New Roman"/>
      <w:i/>
      <w:szCs w:val="24"/>
    </w:rPr>
  </w:style>
  <w:style w:type="character" w:customStyle="1" w:styleId="QuoteChar">
    <w:name w:val="Quote Char"/>
    <w:basedOn w:val="DefaultParagraphFont"/>
    <w:link w:val="Quote"/>
    <w:uiPriority w:val="99"/>
    <w:rsid w:val="00EC3293"/>
    <w:rPr>
      <w:rFonts w:ascii="Calibri" w:eastAsia="Times New Roman" w:hAnsi="Calibri" w:cs="Times New Roman"/>
      <w:i/>
      <w:szCs w:val="24"/>
      <w:lang w:val="en-US"/>
    </w:rPr>
  </w:style>
  <w:style w:type="paragraph" w:styleId="IntenseQuote">
    <w:name w:val="Intense Quote"/>
    <w:basedOn w:val="Normal"/>
    <w:next w:val="Normal"/>
    <w:link w:val="IntenseQuoteChar"/>
    <w:uiPriority w:val="99"/>
    <w:qFormat/>
    <w:rsid w:val="00EC3293"/>
    <w:pPr>
      <w:spacing w:after="0" w:line="240" w:lineRule="auto"/>
      <w:ind w:left="720" w:right="720"/>
      <w:jc w:val="both"/>
    </w:pPr>
    <w:rPr>
      <w:rFonts w:eastAsia="Times New Roman"/>
      <w:b/>
      <w:i/>
    </w:rPr>
  </w:style>
  <w:style w:type="character" w:customStyle="1" w:styleId="IntenseQuoteChar">
    <w:name w:val="Intense Quote Char"/>
    <w:basedOn w:val="DefaultParagraphFont"/>
    <w:link w:val="IntenseQuote"/>
    <w:uiPriority w:val="99"/>
    <w:rsid w:val="00EC3293"/>
    <w:rPr>
      <w:rFonts w:ascii="Calibri" w:eastAsia="Times New Roman" w:hAnsi="Calibri" w:cs="Times New Roman"/>
      <w:b/>
      <w:i/>
      <w:lang w:val="en-US"/>
    </w:rPr>
  </w:style>
  <w:style w:type="character" w:styleId="SubtleEmphasis">
    <w:name w:val="Subtle Emphasis"/>
    <w:basedOn w:val="DefaultParagraphFont"/>
    <w:uiPriority w:val="99"/>
    <w:qFormat/>
    <w:rsid w:val="00EC3293"/>
    <w:rPr>
      <w:rFonts w:cs="Times New Roman"/>
      <w:i/>
      <w:color w:val="5A5A5A"/>
    </w:rPr>
  </w:style>
  <w:style w:type="character" w:styleId="IntenseEmphasis">
    <w:name w:val="Intense Emphasis"/>
    <w:basedOn w:val="DefaultParagraphFont"/>
    <w:uiPriority w:val="99"/>
    <w:qFormat/>
    <w:rsid w:val="00EC3293"/>
    <w:rPr>
      <w:rFonts w:cs="Times New Roman"/>
      <w:b/>
      <w:i/>
      <w:sz w:val="24"/>
      <w:szCs w:val="24"/>
      <w:u w:val="single"/>
    </w:rPr>
  </w:style>
  <w:style w:type="character" w:styleId="SubtleReference">
    <w:name w:val="Subtle Reference"/>
    <w:basedOn w:val="DefaultParagraphFont"/>
    <w:uiPriority w:val="99"/>
    <w:qFormat/>
    <w:rsid w:val="00EC3293"/>
    <w:rPr>
      <w:rFonts w:cs="Times New Roman"/>
      <w:sz w:val="24"/>
      <w:szCs w:val="24"/>
      <w:u w:val="single"/>
    </w:rPr>
  </w:style>
  <w:style w:type="character" w:styleId="IntenseReference">
    <w:name w:val="Intense Reference"/>
    <w:basedOn w:val="DefaultParagraphFont"/>
    <w:uiPriority w:val="99"/>
    <w:qFormat/>
    <w:rsid w:val="00EC3293"/>
    <w:rPr>
      <w:rFonts w:cs="Times New Roman"/>
      <w:b/>
      <w:sz w:val="24"/>
      <w:u w:val="single"/>
    </w:rPr>
  </w:style>
  <w:style w:type="character" w:styleId="BookTitle">
    <w:name w:val="Book Title"/>
    <w:basedOn w:val="DefaultParagraphFont"/>
    <w:uiPriority w:val="99"/>
    <w:qFormat/>
    <w:rsid w:val="00EC3293"/>
    <w:rPr>
      <w:rFonts w:ascii="Cambria" w:hAnsi="Cambria" w:cs="Times New Roman"/>
      <w:b/>
      <w:i/>
      <w:sz w:val="24"/>
      <w:szCs w:val="24"/>
    </w:rPr>
  </w:style>
  <w:style w:type="paragraph" w:styleId="TOCHeading">
    <w:name w:val="TOC Heading"/>
    <w:basedOn w:val="Heading1"/>
    <w:next w:val="Normal"/>
    <w:uiPriority w:val="39"/>
    <w:qFormat/>
    <w:rsid w:val="00EC3293"/>
    <w:pPr>
      <w:keepLines w:val="0"/>
      <w:spacing w:before="360" w:after="240"/>
      <w:jc w:val="center"/>
      <w:outlineLvl w:val="9"/>
    </w:pPr>
    <w:rPr>
      <w:rFonts w:ascii="Arial" w:eastAsia="Times New Roman" w:hAnsi="Arial" w:cs="Times New Roman"/>
      <w:b/>
      <w:bCs/>
      <w:caps/>
      <w:color w:val="auto"/>
      <w:kern w:val="32"/>
      <w:sz w:val="28"/>
    </w:rPr>
  </w:style>
  <w:style w:type="paragraph" w:customStyle="1" w:styleId="Style1">
    <w:name w:val="Style1"/>
    <w:basedOn w:val="ListParagraph"/>
    <w:link w:val="Style1Char"/>
    <w:uiPriority w:val="99"/>
    <w:rsid w:val="00EC3293"/>
    <w:pPr>
      <w:spacing w:before="120" w:after="120"/>
      <w:ind w:left="432"/>
      <w:contextualSpacing w:val="0"/>
    </w:pPr>
  </w:style>
  <w:style w:type="character" w:customStyle="1" w:styleId="Style1Char">
    <w:name w:val="Style1 Char"/>
    <w:basedOn w:val="ListParagraphChar"/>
    <w:link w:val="Style1"/>
    <w:uiPriority w:val="99"/>
    <w:locked/>
    <w:rsid w:val="00EC3293"/>
    <w:rPr>
      <w:rFonts w:ascii="Calibri" w:eastAsia="Times New Roman" w:hAnsi="Calibri" w:cs="Times New Roman"/>
      <w:szCs w:val="24"/>
      <w:lang w:val="en-US"/>
    </w:rPr>
  </w:style>
  <w:style w:type="paragraph" w:styleId="TOC1">
    <w:name w:val="toc 1"/>
    <w:basedOn w:val="Normal"/>
    <w:next w:val="Normal"/>
    <w:autoRedefine/>
    <w:uiPriority w:val="39"/>
    <w:rsid w:val="00E302EE"/>
    <w:pPr>
      <w:tabs>
        <w:tab w:val="right" w:leader="dot" w:pos="8626"/>
      </w:tabs>
      <w:spacing w:before="120" w:after="120"/>
    </w:pPr>
    <w:rPr>
      <w:rFonts w:ascii="Arial" w:eastAsia="Times New Roman" w:hAnsi="Arial"/>
      <w:caps/>
      <w:sz w:val="20"/>
      <w:szCs w:val="24"/>
    </w:rPr>
  </w:style>
  <w:style w:type="paragraph" w:styleId="TOC2">
    <w:name w:val="toc 2"/>
    <w:basedOn w:val="Normal"/>
    <w:next w:val="Normal"/>
    <w:autoRedefine/>
    <w:uiPriority w:val="39"/>
    <w:rsid w:val="00BC77B9"/>
    <w:pPr>
      <w:tabs>
        <w:tab w:val="right" w:leader="dot" w:pos="8640"/>
      </w:tabs>
      <w:spacing w:before="240" w:after="100"/>
      <w:ind w:left="215"/>
    </w:pPr>
    <w:rPr>
      <w:rFonts w:ascii="Arial" w:eastAsia="Times New Roman" w:hAnsi="Arial" w:cs="Arial"/>
      <w:noProof/>
      <w:sz w:val="20"/>
      <w:szCs w:val="24"/>
      <w:lang w:val="en-GB"/>
    </w:rPr>
  </w:style>
  <w:style w:type="paragraph" w:customStyle="1" w:styleId="Heading20">
    <w:name w:val="Heading_2"/>
    <w:basedOn w:val="Heading2"/>
    <w:link w:val="Heading2Char0"/>
    <w:qFormat/>
    <w:rsid w:val="00BD225D"/>
    <w:pPr>
      <w:spacing w:before="240" w:after="120"/>
      <w:jc w:val="center"/>
    </w:pPr>
    <w:rPr>
      <w:rFonts w:ascii="Arial" w:hAnsi="Arial" w:cs="Arial"/>
      <w:b/>
      <w:caps/>
      <w:color w:val="auto"/>
      <w:sz w:val="20"/>
      <w:szCs w:val="20"/>
    </w:rPr>
  </w:style>
  <w:style w:type="character" w:customStyle="1" w:styleId="Heading2Char0">
    <w:name w:val="Heading_2 Char"/>
    <w:basedOn w:val="Heading2Char"/>
    <w:link w:val="Heading20"/>
    <w:rsid w:val="00BD225D"/>
    <w:rPr>
      <w:rFonts w:ascii="Arial" w:eastAsiaTheme="majorEastAsia" w:hAnsi="Arial" w:cs="Arial"/>
      <w:b/>
      <w:caps/>
      <w:color w:val="2E74B5" w:themeColor="accent1" w:themeShade="BF"/>
      <w:sz w:val="20"/>
      <w:szCs w:val="20"/>
      <w:lang w:val="en-US"/>
    </w:rPr>
  </w:style>
  <w:style w:type="paragraph" w:styleId="BodyText">
    <w:name w:val="Body Text"/>
    <w:basedOn w:val="Normal"/>
    <w:link w:val="BodyTextChar"/>
    <w:rsid w:val="00AA15D0"/>
    <w:pPr>
      <w:spacing w:after="120"/>
      <w:jc w:val="both"/>
    </w:pPr>
  </w:style>
  <w:style w:type="character" w:customStyle="1" w:styleId="BodyTextChar">
    <w:name w:val="Body Text Char"/>
    <w:basedOn w:val="DefaultParagraphFont"/>
    <w:link w:val="BodyText"/>
    <w:rsid w:val="00AA15D0"/>
    <w:rPr>
      <w:rFonts w:ascii="Calibri" w:eastAsia="Calibri" w:hAnsi="Calibri" w:cs="Times New Roman"/>
      <w:lang w:val="en-US"/>
    </w:rPr>
  </w:style>
  <w:style w:type="paragraph" w:styleId="TOC3">
    <w:name w:val="toc 3"/>
    <w:basedOn w:val="Normal"/>
    <w:next w:val="Normal"/>
    <w:autoRedefine/>
    <w:uiPriority w:val="39"/>
    <w:unhideWhenUsed/>
    <w:rsid w:val="00BC77B9"/>
    <w:pPr>
      <w:spacing w:after="0"/>
      <w:ind w:left="442"/>
    </w:pPr>
    <w:rPr>
      <w:rFonts w:ascii="Arial" w:hAnsi="Arial"/>
      <w:sz w:val="20"/>
    </w:rPr>
  </w:style>
  <w:style w:type="paragraph" w:styleId="NormalWeb">
    <w:name w:val="Normal (Web)"/>
    <w:basedOn w:val="Normal"/>
    <w:uiPriority w:val="99"/>
    <w:unhideWhenUsed/>
    <w:rsid w:val="00636489"/>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semiHidden/>
    <w:rsid w:val="0009322B"/>
    <w:rPr>
      <w:rFonts w:cs="Times New Roman"/>
      <w:vertAlign w:val="superscript"/>
    </w:rPr>
  </w:style>
  <w:style w:type="paragraph" w:styleId="TOC4">
    <w:name w:val="toc 4"/>
    <w:basedOn w:val="Normal"/>
    <w:next w:val="Normal"/>
    <w:autoRedefine/>
    <w:uiPriority w:val="39"/>
    <w:unhideWhenUsed/>
    <w:rsid w:val="000D639B"/>
    <w:pPr>
      <w:spacing w:after="100" w:line="259" w:lineRule="auto"/>
      <w:ind w:left="660"/>
    </w:pPr>
    <w:rPr>
      <w:rFonts w:asciiTheme="minorHAnsi" w:eastAsiaTheme="minorEastAsia" w:hAnsiTheme="minorHAnsi" w:cstheme="minorBidi"/>
      <w:lang w:val="en-SG" w:eastAsia="en-SG"/>
    </w:rPr>
  </w:style>
  <w:style w:type="paragraph" w:styleId="TOC5">
    <w:name w:val="toc 5"/>
    <w:basedOn w:val="Normal"/>
    <w:next w:val="Normal"/>
    <w:autoRedefine/>
    <w:uiPriority w:val="39"/>
    <w:unhideWhenUsed/>
    <w:rsid w:val="000D639B"/>
    <w:pPr>
      <w:spacing w:after="100" w:line="259" w:lineRule="auto"/>
      <w:ind w:left="880"/>
    </w:pPr>
    <w:rPr>
      <w:rFonts w:asciiTheme="minorHAnsi" w:eastAsiaTheme="minorEastAsia" w:hAnsiTheme="minorHAnsi" w:cstheme="minorBidi"/>
      <w:lang w:val="en-SG" w:eastAsia="en-SG"/>
    </w:rPr>
  </w:style>
  <w:style w:type="paragraph" w:styleId="TOC6">
    <w:name w:val="toc 6"/>
    <w:basedOn w:val="Normal"/>
    <w:next w:val="Normal"/>
    <w:autoRedefine/>
    <w:uiPriority w:val="39"/>
    <w:unhideWhenUsed/>
    <w:rsid w:val="000D639B"/>
    <w:pPr>
      <w:spacing w:after="100" w:line="259" w:lineRule="auto"/>
      <w:ind w:left="1100"/>
    </w:pPr>
    <w:rPr>
      <w:rFonts w:asciiTheme="minorHAnsi" w:eastAsiaTheme="minorEastAsia" w:hAnsiTheme="minorHAnsi" w:cstheme="minorBidi"/>
      <w:lang w:val="en-SG" w:eastAsia="en-SG"/>
    </w:rPr>
  </w:style>
  <w:style w:type="paragraph" w:styleId="TOC7">
    <w:name w:val="toc 7"/>
    <w:basedOn w:val="Normal"/>
    <w:next w:val="Normal"/>
    <w:autoRedefine/>
    <w:uiPriority w:val="39"/>
    <w:unhideWhenUsed/>
    <w:rsid w:val="000D639B"/>
    <w:pPr>
      <w:spacing w:after="100" w:line="259" w:lineRule="auto"/>
      <w:ind w:left="1320"/>
    </w:pPr>
    <w:rPr>
      <w:rFonts w:asciiTheme="minorHAnsi" w:eastAsiaTheme="minorEastAsia" w:hAnsiTheme="minorHAnsi" w:cstheme="minorBidi"/>
      <w:lang w:val="en-SG" w:eastAsia="en-SG"/>
    </w:rPr>
  </w:style>
  <w:style w:type="paragraph" w:styleId="TOC8">
    <w:name w:val="toc 8"/>
    <w:basedOn w:val="Normal"/>
    <w:next w:val="Normal"/>
    <w:autoRedefine/>
    <w:uiPriority w:val="39"/>
    <w:unhideWhenUsed/>
    <w:rsid w:val="000D639B"/>
    <w:pPr>
      <w:spacing w:after="100" w:line="259" w:lineRule="auto"/>
      <w:ind w:left="1540"/>
    </w:pPr>
    <w:rPr>
      <w:rFonts w:asciiTheme="minorHAnsi" w:eastAsiaTheme="minorEastAsia" w:hAnsiTheme="minorHAnsi" w:cstheme="minorBidi"/>
      <w:lang w:val="en-SG" w:eastAsia="en-SG"/>
    </w:rPr>
  </w:style>
  <w:style w:type="paragraph" w:styleId="TOC9">
    <w:name w:val="toc 9"/>
    <w:basedOn w:val="Normal"/>
    <w:next w:val="Normal"/>
    <w:autoRedefine/>
    <w:uiPriority w:val="39"/>
    <w:unhideWhenUsed/>
    <w:rsid w:val="000D639B"/>
    <w:pPr>
      <w:spacing w:after="100" w:line="259" w:lineRule="auto"/>
      <w:ind w:left="1760"/>
    </w:pPr>
    <w:rPr>
      <w:rFonts w:asciiTheme="minorHAnsi" w:eastAsiaTheme="minorEastAsia" w:hAnsiTheme="minorHAnsi" w:cstheme="minorBidi"/>
      <w:lang w:val="en-SG" w:eastAsia="en-SG"/>
    </w:rPr>
  </w:style>
  <w:style w:type="paragraph" w:styleId="FootnoteText">
    <w:name w:val="footnote text"/>
    <w:basedOn w:val="Normal"/>
    <w:link w:val="FootnoteTextChar"/>
    <w:semiHidden/>
    <w:unhideWhenUsed/>
    <w:rsid w:val="00C61B33"/>
    <w:pPr>
      <w:spacing w:after="120"/>
      <w:jc w:val="both"/>
    </w:pPr>
    <w:rPr>
      <w:rFonts w:ascii="Arial" w:eastAsia="Times New Roman" w:hAnsi="Arial"/>
      <w:sz w:val="20"/>
      <w:szCs w:val="20"/>
      <w:lang w:val="x-none"/>
    </w:rPr>
  </w:style>
  <w:style w:type="character" w:customStyle="1" w:styleId="FootnoteTextChar">
    <w:name w:val="Footnote Text Char"/>
    <w:basedOn w:val="DefaultParagraphFont"/>
    <w:link w:val="FootnoteText"/>
    <w:semiHidden/>
    <w:rsid w:val="00C61B33"/>
    <w:rPr>
      <w:rFonts w:ascii="Arial" w:eastAsia="Times New Roman" w:hAnsi="Arial"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3600-2E68-4C3D-AAA0-81D96FCA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1817</Words>
  <Characters>10198</Characters>
  <Application>Microsoft Office Word</Application>
  <DocSecurity>0</DocSecurity>
  <Lines>192</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Priya Somasundram</dc:creator>
  <cp:keywords/>
  <dc:description/>
  <cp:lastModifiedBy>Chan Sze Wei</cp:lastModifiedBy>
  <cp:revision>4</cp:revision>
  <cp:lastPrinted>2018-07-10T07:22:00Z</cp:lastPrinted>
  <dcterms:created xsi:type="dcterms:W3CDTF">2026-04-09T07:31:00Z</dcterms:created>
  <dcterms:modified xsi:type="dcterms:W3CDTF">2026-04-09T07:33:00Z</dcterms:modified>
</cp:coreProperties>
</file>