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6B" w:rsidRPr="00B038AC" w:rsidRDefault="00207B6B" w:rsidP="00207B6B">
      <w:pPr>
        <w:pStyle w:val="MediumGrid2"/>
        <w:jc w:val="center"/>
        <w:rPr>
          <w:rFonts w:ascii="Arial" w:hAnsi="Arial" w:cs="Arial"/>
          <w:b/>
          <w:color w:val="262626"/>
          <w:sz w:val="28"/>
          <w:szCs w:val="28"/>
          <w:lang w:eastAsia="ja-JP"/>
        </w:rPr>
      </w:pPr>
      <w:r w:rsidRPr="00B038AC">
        <w:rPr>
          <w:rFonts w:ascii="Arial" w:hAnsi="Arial" w:cs="Arial"/>
          <w:b/>
          <w:sz w:val="28"/>
          <w:szCs w:val="28"/>
        </w:rPr>
        <w:t>19</w:t>
      </w:r>
      <w:r w:rsidR="00A033E3">
        <w:rPr>
          <w:rFonts w:ascii="Arial" w:hAnsi="Arial" w:cs="Arial"/>
          <w:b/>
          <w:sz w:val="28"/>
          <w:szCs w:val="28"/>
        </w:rPr>
        <w:t>97 ASEAN AGREEMENT ON CUSTOMS</w:t>
      </w:r>
    </w:p>
    <w:p w:rsidR="00207B6B" w:rsidRPr="006542E5" w:rsidRDefault="00207B6B" w:rsidP="00207B6B">
      <w:pPr>
        <w:pStyle w:val="MediumGrid2"/>
        <w:jc w:val="center"/>
        <w:rPr>
          <w:rFonts w:ascii="Arial" w:hAnsi="Arial" w:cs="Arial"/>
          <w:color w:val="262626"/>
          <w:sz w:val="20"/>
          <w:szCs w:val="20"/>
          <w:lang w:eastAsia="ja-JP"/>
        </w:rPr>
      </w:pPr>
    </w:p>
    <w:p w:rsidR="00207B6B" w:rsidRDefault="00207B6B" w:rsidP="00207B6B">
      <w:pPr>
        <w:pStyle w:val="MediumGrid2"/>
        <w:jc w:val="center"/>
        <w:rPr>
          <w:rFonts w:ascii="Arial" w:hAnsi="Arial" w:cs="Arial"/>
          <w:i/>
          <w:sz w:val="20"/>
          <w:szCs w:val="20"/>
        </w:rPr>
      </w:pPr>
      <w:r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>Adopted</w:t>
      </w:r>
      <w:r w:rsidR="00A033E3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 </w:t>
      </w:r>
      <w:r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in </w:t>
      </w:r>
      <w:r w:rsidR="00A033E3">
        <w:rPr>
          <w:rFonts w:ascii="Arial" w:hAnsi="Arial" w:cs="Arial"/>
          <w:i/>
          <w:sz w:val="20"/>
          <w:szCs w:val="20"/>
        </w:rPr>
        <w:t>Phuket, Thailand</w:t>
      </w:r>
      <w:r w:rsidR="00D047E1" w:rsidRPr="00D047E1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 </w:t>
      </w:r>
      <w:r w:rsidR="00D047E1"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on </w:t>
      </w:r>
      <w:r w:rsidR="00D047E1" w:rsidRPr="00B038AC">
        <w:rPr>
          <w:rFonts w:ascii="Arial" w:hAnsi="Arial" w:cs="Arial"/>
          <w:i/>
          <w:sz w:val="20"/>
          <w:szCs w:val="20"/>
        </w:rPr>
        <w:t>1 March 1997</w:t>
      </w:r>
    </w:p>
    <w:p w:rsidR="00D047E1" w:rsidRDefault="00D047E1" w:rsidP="00207B6B">
      <w:pPr>
        <w:pStyle w:val="MediumGrid2"/>
        <w:jc w:val="center"/>
        <w:rPr>
          <w:rFonts w:ascii="Arial" w:hAnsi="Arial" w:cs="Arial"/>
          <w:i/>
          <w:sz w:val="20"/>
          <w:szCs w:val="20"/>
        </w:rPr>
      </w:pPr>
    </w:p>
    <w:p w:rsidR="00D047E1" w:rsidRDefault="00D047E1" w:rsidP="00207B6B">
      <w:pPr>
        <w:pStyle w:val="MediumGrid2"/>
        <w:jc w:val="center"/>
        <w:rPr>
          <w:rFonts w:ascii="Arial" w:hAnsi="Arial" w:cs="Arial"/>
          <w:i/>
          <w:sz w:val="20"/>
          <w:szCs w:val="20"/>
        </w:rPr>
      </w:pPr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1714726" w:history="1">
        <w:r w:rsidRPr="00B81C98">
          <w:rPr>
            <w:rStyle w:val="Hyperlink"/>
            <w:rFonts w:cs="Arial"/>
            <w:noProof/>
          </w:rPr>
          <w:t>ARTICLE 1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27" w:history="1">
        <w:r w:rsidRPr="00B81C98">
          <w:rPr>
            <w:rStyle w:val="Hyperlink"/>
            <w:rFonts w:cs="Arial"/>
            <w:noProof/>
          </w:rPr>
          <w:t>ARTICLE 2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28" w:history="1">
        <w:r w:rsidRPr="00B81C98">
          <w:rPr>
            <w:rStyle w:val="Hyperlink"/>
            <w:rFonts w:cs="Arial"/>
            <w:noProof/>
          </w:rPr>
          <w:t>ARTICLE 3 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29" w:history="1">
        <w:r w:rsidRPr="00B81C98">
          <w:rPr>
            <w:rStyle w:val="Hyperlink"/>
            <w:rFonts w:cs="Arial"/>
            <w:noProof/>
          </w:rPr>
          <w:t>ARTICLE 4 TARIFF NOMENCLATURE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0" w:history="1">
        <w:r w:rsidRPr="00B81C98">
          <w:rPr>
            <w:rStyle w:val="Hyperlink"/>
            <w:rFonts w:cs="Arial"/>
            <w:noProof/>
          </w:rPr>
          <w:t>ARTICLE 5 CUSTOMS 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1" w:history="1">
        <w:r w:rsidRPr="00B81C98">
          <w:rPr>
            <w:rStyle w:val="Hyperlink"/>
            <w:rFonts w:cs="Arial"/>
            <w:noProof/>
          </w:rPr>
          <w:t>ARTICLE 6 CUSTOMS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2" w:history="1">
        <w:r w:rsidRPr="00B81C98">
          <w:rPr>
            <w:rStyle w:val="Hyperlink"/>
            <w:rFonts w:cs="Arial"/>
            <w:noProof/>
          </w:rPr>
          <w:t>ARTICLE 7 OTHER AREAS OF COOPERATION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3" w:history="1">
        <w:r w:rsidRPr="00B81C98">
          <w:rPr>
            <w:rStyle w:val="Hyperlink"/>
            <w:rFonts w:cs="Arial"/>
            <w:noProof/>
          </w:rPr>
          <w:t>ARTICLE 8 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4" w:history="1">
        <w:r w:rsidRPr="00B81C98">
          <w:rPr>
            <w:rStyle w:val="Hyperlink"/>
            <w:rFonts w:cs="Arial"/>
            <w:noProof/>
          </w:rPr>
          <w:t>ARTICLE 9 CONSULTATIONS AND SETTLEMENT OF DISPUTES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5" w:history="1">
        <w:r w:rsidRPr="00B81C98">
          <w:rPr>
            <w:rStyle w:val="Hyperlink"/>
            <w:rFonts w:cs="Arial"/>
            <w:noProof/>
          </w:rPr>
          <w:t>ARTICLE 10 INSTITUTIONAL ARRANGEMENTS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6" w:history="1">
        <w:r w:rsidRPr="00B81C98">
          <w:rPr>
            <w:rStyle w:val="Hyperlink"/>
            <w:rFonts w:cs="Arial"/>
            <w:noProof/>
          </w:rPr>
          <w:t>ARTICLE 11 PRIVATE SECTOR PARTICIPATION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7" w:history="1">
        <w:r w:rsidRPr="00B81C98">
          <w:rPr>
            <w:rStyle w:val="Hyperlink"/>
            <w:rFonts w:cs="Arial"/>
            <w:noProof/>
          </w:rPr>
          <w:t>ARTICLE 12 ACCESSION OF NEW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7E1" w:rsidRPr="00D047E1" w:rsidRDefault="00D047E1">
      <w:pPr>
        <w:pStyle w:val="TOC1"/>
        <w:tabs>
          <w:tab w:val="right" w:leader="dot" w:pos="9010"/>
        </w:tabs>
        <w:rPr>
          <w:rFonts w:ascii="Calibri" w:eastAsia="Times New Roman" w:hAnsi="Calibri"/>
          <w:caps w:val="0"/>
          <w:noProof/>
          <w:sz w:val="22"/>
          <w:szCs w:val="22"/>
        </w:rPr>
      </w:pPr>
      <w:hyperlink w:anchor="_Toc461714738" w:history="1">
        <w:r w:rsidRPr="00B81C98">
          <w:rPr>
            <w:rStyle w:val="Hyperlink"/>
            <w:rFonts w:cs="Arial"/>
            <w:noProof/>
          </w:rPr>
          <w:t>ARTICLE 13 FINAL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_Toc461714738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22A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7E1" w:rsidRDefault="00D047E1">
      <w:r>
        <w:fldChar w:fldCharType="end"/>
      </w:r>
    </w:p>
    <w:p w:rsidR="00207B6B" w:rsidRDefault="00207B6B" w:rsidP="00207B6B">
      <w:pPr>
        <w:pStyle w:val="MediumGrid2"/>
        <w:rPr>
          <w:rFonts w:ascii="Arial" w:hAnsi="Arial" w:cs="Arial"/>
          <w:sz w:val="20"/>
          <w:szCs w:val="20"/>
        </w:rPr>
      </w:pPr>
    </w:p>
    <w:p w:rsidR="00207B6B" w:rsidRDefault="00207B6B" w:rsidP="00207B6B">
      <w:pPr>
        <w:pStyle w:val="MediumGrid2"/>
        <w:rPr>
          <w:rFonts w:ascii="Arial" w:hAnsi="Arial" w:cs="Arial"/>
          <w:sz w:val="20"/>
          <w:szCs w:val="20"/>
        </w:rPr>
      </w:pPr>
    </w:p>
    <w:p w:rsidR="007715EA" w:rsidRDefault="007715EA" w:rsidP="00207B6B">
      <w:pPr>
        <w:pStyle w:val="MediumGrid2"/>
        <w:rPr>
          <w:rFonts w:ascii="Arial" w:hAnsi="Arial" w:cs="Arial"/>
          <w:sz w:val="20"/>
          <w:szCs w:val="20"/>
        </w:rPr>
      </w:pPr>
    </w:p>
    <w:p w:rsidR="00207B6B" w:rsidRDefault="00207B6B" w:rsidP="00E55AEE">
      <w:pPr>
        <w:pStyle w:val="MediumGrid2"/>
        <w:spacing w:before="120" w:after="12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7B6B" w:rsidRDefault="00207B6B" w:rsidP="00207B6B">
      <w:pPr>
        <w:pStyle w:val="MediumGrid2"/>
        <w:rPr>
          <w:rFonts w:ascii="Arial" w:hAnsi="Arial" w:cs="Arial"/>
          <w:sz w:val="20"/>
          <w:szCs w:val="20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E55AEE" w:rsidRDefault="00E55AEE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207B6B" w:rsidRDefault="00207B6B" w:rsidP="00207B6B">
      <w:pPr>
        <w:pStyle w:val="MediumGrid2"/>
        <w:rPr>
          <w:rFonts w:ascii="Arial" w:hAnsi="Arial" w:cs="Arial"/>
          <w:b/>
          <w:sz w:val="28"/>
          <w:szCs w:val="28"/>
        </w:rPr>
      </w:pPr>
    </w:p>
    <w:p w:rsidR="00D047E1" w:rsidRPr="00B038AC" w:rsidRDefault="00D047E1" w:rsidP="00D047E1">
      <w:pPr>
        <w:pStyle w:val="MediumGrid2"/>
        <w:jc w:val="center"/>
        <w:rPr>
          <w:rFonts w:ascii="Arial" w:hAnsi="Arial" w:cs="Arial"/>
          <w:b/>
          <w:color w:val="262626"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B038AC">
        <w:rPr>
          <w:rFonts w:ascii="Arial" w:hAnsi="Arial" w:cs="Arial"/>
          <w:b/>
          <w:sz w:val="28"/>
          <w:szCs w:val="28"/>
        </w:rPr>
        <w:lastRenderedPageBreak/>
        <w:t>19</w:t>
      </w:r>
      <w:r>
        <w:rPr>
          <w:rFonts w:ascii="Arial" w:hAnsi="Arial" w:cs="Arial"/>
          <w:b/>
          <w:sz w:val="28"/>
          <w:szCs w:val="28"/>
        </w:rPr>
        <w:t>97 ASEAN AGREEMENT ON CUSTOMS</w:t>
      </w:r>
    </w:p>
    <w:p w:rsidR="00D047E1" w:rsidRPr="006542E5" w:rsidRDefault="00D047E1" w:rsidP="00D047E1">
      <w:pPr>
        <w:pStyle w:val="MediumGrid2"/>
        <w:jc w:val="center"/>
        <w:rPr>
          <w:rFonts w:ascii="Arial" w:hAnsi="Arial" w:cs="Arial"/>
          <w:color w:val="262626"/>
          <w:sz w:val="20"/>
          <w:szCs w:val="20"/>
          <w:lang w:eastAsia="ja-JP"/>
        </w:rPr>
      </w:pPr>
    </w:p>
    <w:p w:rsidR="00D047E1" w:rsidRDefault="00D047E1" w:rsidP="00D047E1">
      <w:pPr>
        <w:pStyle w:val="MediumGrid2"/>
        <w:jc w:val="center"/>
        <w:rPr>
          <w:rFonts w:ascii="Arial" w:hAnsi="Arial" w:cs="Arial"/>
          <w:i/>
          <w:sz w:val="20"/>
          <w:szCs w:val="20"/>
        </w:rPr>
      </w:pPr>
      <w:r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>Adopted</w:t>
      </w:r>
      <w:r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 </w:t>
      </w:r>
      <w:r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in </w:t>
      </w:r>
      <w:r>
        <w:rPr>
          <w:rFonts w:ascii="Arial" w:hAnsi="Arial" w:cs="Arial"/>
          <w:i/>
          <w:sz w:val="20"/>
          <w:szCs w:val="20"/>
        </w:rPr>
        <w:t>Phuket, Thailand</w:t>
      </w:r>
      <w:r w:rsidRPr="00D047E1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 </w:t>
      </w:r>
      <w:r w:rsidRPr="00B038AC">
        <w:rPr>
          <w:rFonts w:ascii="Arial" w:hAnsi="Arial" w:cs="Arial"/>
          <w:i/>
          <w:color w:val="262626"/>
          <w:sz w:val="20"/>
          <w:szCs w:val="20"/>
          <w:lang w:eastAsia="ja-JP"/>
        </w:rPr>
        <w:t xml:space="preserve">on </w:t>
      </w:r>
      <w:r w:rsidRPr="00B038AC">
        <w:rPr>
          <w:rFonts w:ascii="Arial" w:hAnsi="Arial" w:cs="Arial"/>
          <w:i/>
          <w:sz w:val="20"/>
          <w:szCs w:val="20"/>
        </w:rPr>
        <w:t>1 March 1997</w:t>
      </w:r>
    </w:p>
    <w:p w:rsidR="002C479B" w:rsidRPr="006542E5" w:rsidRDefault="002C479B" w:rsidP="006542E5">
      <w:pPr>
        <w:pStyle w:val="MediumGrid2"/>
        <w:jc w:val="both"/>
        <w:rPr>
          <w:rFonts w:ascii="Arial" w:hAnsi="Arial" w:cs="Arial"/>
          <w:sz w:val="20"/>
          <w:szCs w:val="20"/>
        </w:rPr>
      </w:pPr>
    </w:p>
    <w:p w:rsidR="00453DE2" w:rsidRDefault="00453DE2" w:rsidP="006542E5">
      <w:pPr>
        <w:pStyle w:val="MediumGrid2"/>
        <w:jc w:val="both"/>
        <w:rPr>
          <w:rFonts w:ascii="Arial" w:hAnsi="Arial" w:cs="Arial"/>
          <w:color w:val="000000"/>
          <w:sz w:val="20"/>
          <w:szCs w:val="20"/>
        </w:rPr>
        <w:sectPr w:rsidR="00453DE2" w:rsidSect="00D047E1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lastRenderedPageBreak/>
        <w:t>The Governments of Brunei Darussalam, the Republic of Indonesia, Malaysia, the Republic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Philippines, the Republic of Singapore, the Kingdom of Thailand and the Socialist Republic of Vietnam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of the Association of Southeast Asian Nations (hereinafter referred to as “ASEAN”);</w:t>
      </w:r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NOTING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the Framework Agreement on Enhancing ASEAN Economic Cooperation of 28 January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1992 which provides that Member States shall explore further measures on border and non-border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areas for cooperation to supplement and complement the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liberalisation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of trade;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MINDFUL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that in 1992 the ASEAN Heads of Government declared that an ASEAN Free Trade Area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(hereinafter referred to as “AFTA”) shall be established in the region and that in 1995 they agreed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accelerate its implementation to year 2003;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RECALLING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that in 1995, the ASEAN Heads of Governments adopted, in the Bangkok Summit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Declaration, the Agenda for Greater Economic Integration which includes, among others,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harmonisation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of tariff nomenclature, and the implementation of the GATT Valuation System by 1997;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RECOGNISING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that, further to the creation of the green lane system, the Seventh AFTA Council also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agreed to the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harmonisation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of Customs procedures;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MINDFUL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of the different levels of Customs and economic development, and diverse cultural</w:t>
      </w:r>
      <w:r w:rsidR="00A03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backgrounds of ASEAN Member States;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REITERATING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the commitment to the principles of the General Agreement on Tariffs and Trade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1994 (hereinafter known as “GATT”), the Agreement Establishing the World Trade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(hereinafter known as “WTO”) and the World Customs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(hereinafter known as “WCO”);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RECALLING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the former ASEAN Customs Code of Conduct signed in Jakarta on 18 March 1983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the revised Code of Conduct signed on 18 July 1995;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DESIRING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to promote intra-ASEAN trade and investments by ensuring the smooth cross-border flow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of goods and services within the region;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MINDFUL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of the need to further strengthen enforcement and prevention among Customs</w:t>
      </w:r>
      <w:r w:rsidR="00A03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Administration of ASEAN, particularly to combat, among others, the illicit trafficking of narcotics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psychotropic substances;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RECOGNISING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the need to provide a basis in Customs on general rules and procedures which will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ensure the smooth implementation of ASEAN economic agreements and arrangements, in particular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the ASEAN Free Trade Area;</w:t>
      </w:r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DESIRING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to formulate a framework to deepen and broaden cooperation in Customs in ASEAN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to chart the future activities in this area.</w:t>
      </w:r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42E5" w:rsidRPr="00B038AC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HAVE AGREED AS FOLLOWS: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1" w:name="_Toc325286501"/>
      <w:bookmarkStart w:id="2" w:name="_Toc461714270"/>
      <w:bookmarkStart w:id="3" w:name="_Toc461714368"/>
      <w:bookmarkStart w:id="4" w:name="_Toc461714726"/>
      <w:r w:rsidRPr="00B038AC">
        <w:rPr>
          <w:rFonts w:cs="Arial"/>
          <w:sz w:val="28"/>
          <w:szCs w:val="28"/>
        </w:rPr>
        <w:lastRenderedPageBreak/>
        <w:t>ARTICLE 1</w:t>
      </w:r>
      <w:bookmarkEnd w:id="1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OBJECTIVES</w:t>
      </w:r>
      <w:bookmarkEnd w:id="2"/>
      <w:bookmarkEnd w:id="3"/>
      <w:bookmarkEnd w:id="4"/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The objectives of this Agreement are:</w:t>
      </w:r>
    </w:p>
    <w:p w:rsidR="00897D17" w:rsidRDefault="006542E5" w:rsidP="00A033E3">
      <w:pPr>
        <w:pStyle w:val="MediumGrid2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 xml:space="preserve">to simplify and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harmonise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Customs valuation, tariff nomenclature and Customs procedures;</w:t>
      </w:r>
    </w:p>
    <w:p w:rsidR="00897D17" w:rsidRDefault="006542E5" w:rsidP="00A033E3">
      <w:pPr>
        <w:pStyle w:val="MediumGrid2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7D17">
        <w:rPr>
          <w:rFonts w:ascii="Arial" w:hAnsi="Arial" w:cs="Arial"/>
          <w:color w:val="000000"/>
          <w:sz w:val="20"/>
          <w:szCs w:val="20"/>
        </w:rPr>
        <w:t>to ensure consistency, transparency and fair application of Customs laws and regulations,</w:t>
      </w:r>
      <w:r w:rsidR="00A033E3" w:rsidRPr="00897D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7D17">
        <w:rPr>
          <w:rFonts w:ascii="Arial" w:hAnsi="Arial" w:cs="Arial"/>
          <w:color w:val="000000"/>
          <w:sz w:val="20"/>
          <w:szCs w:val="20"/>
        </w:rPr>
        <w:t>procedures and other administrative guidelines within each ASEAN Member State;</w:t>
      </w:r>
    </w:p>
    <w:p w:rsidR="00897D17" w:rsidRDefault="006542E5" w:rsidP="00A033E3">
      <w:pPr>
        <w:pStyle w:val="MediumGrid2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7D17">
        <w:rPr>
          <w:rFonts w:ascii="Arial" w:hAnsi="Arial" w:cs="Arial"/>
          <w:color w:val="000000"/>
          <w:sz w:val="20"/>
          <w:szCs w:val="20"/>
        </w:rPr>
        <w:t>to ensure efficient administration and expeditious clearance of goods to facilitate intra-regional trade and investments;</w:t>
      </w:r>
    </w:p>
    <w:p w:rsidR="006542E5" w:rsidRPr="00897D17" w:rsidRDefault="006542E5" w:rsidP="00A033E3">
      <w:pPr>
        <w:pStyle w:val="MediumGrid2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7D17">
        <w:rPr>
          <w:rFonts w:ascii="Arial" w:hAnsi="Arial" w:cs="Arial"/>
          <w:color w:val="000000"/>
          <w:sz w:val="20"/>
          <w:szCs w:val="20"/>
        </w:rPr>
        <w:t>to explore other appropriate intra-ASEAN cooperation arrangements in the field of Customs, particularly in the prevention and repression of all forms of smuggling and other Customs frauds.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5" w:name="_Toc325286503"/>
      <w:bookmarkStart w:id="6" w:name="_Toc461714271"/>
      <w:bookmarkStart w:id="7" w:name="_Toc461714369"/>
      <w:bookmarkStart w:id="8" w:name="_Toc461714727"/>
      <w:r w:rsidRPr="00B038AC">
        <w:rPr>
          <w:rFonts w:cs="Arial"/>
          <w:sz w:val="28"/>
          <w:szCs w:val="28"/>
        </w:rPr>
        <w:t>ARTICLE 2</w:t>
      </w:r>
      <w:bookmarkEnd w:id="5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PRINCIPLES</w:t>
      </w:r>
      <w:bookmarkEnd w:id="6"/>
      <w:bookmarkEnd w:id="7"/>
      <w:bookmarkEnd w:id="8"/>
    </w:p>
    <w:p w:rsidR="006542E5" w:rsidRP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will be guided by the following principles under this Agreement:</w:t>
      </w:r>
    </w:p>
    <w:p w:rsid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Consistency. Member States will ensure the continuous consistent application of Customs laws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and regulations, procedures, administrative guidelines and other rulings within each ASEAN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Member State;</w:t>
      </w:r>
    </w:p>
    <w:p w:rsid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>Appeals. Member States will ensure the availability to traders of readily accessible means of review of Customs decisions in ASEAN;</w:t>
      </w:r>
    </w:p>
    <w:p w:rsid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 xml:space="preserve">Simplicity. Member States will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endeavour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to ensure the simplification of Customs procedures and requirements within ASEAN;</w:t>
      </w:r>
    </w:p>
    <w:p w:rsid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>Transparency. Member States will make all laws, regulations, procedures and administrative notifications pertaining to Customs administration in their economies publicly available in a prompt, transparent and readily accessible manner;</w:t>
      </w:r>
    </w:p>
    <w:p w:rsid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>Efficiency. Member States will ensure the efficient and effective administration and expeditious clearance of goods to facilitate intra-ASEAN trade and investment;</w:t>
      </w:r>
    </w:p>
    <w:p w:rsidR="006542E5" w:rsidRPr="004B42FD" w:rsidRDefault="006542E5" w:rsidP="00A033E3">
      <w:pPr>
        <w:pStyle w:val="MediumGrid2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 xml:space="preserve">Mutual Assistance and Cooperation. Member States will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endeavour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their utmost cooperation and mutual assistan</w:t>
      </w:r>
      <w:r w:rsidR="00D047E1" w:rsidRPr="004B42FD">
        <w:rPr>
          <w:rFonts w:ascii="Arial" w:hAnsi="Arial" w:cs="Arial"/>
          <w:color w:val="000000"/>
          <w:sz w:val="20"/>
          <w:szCs w:val="20"/>
        </w:rPr>
        <w:t>ce between Customs Authorities.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9" w:name="_Toc325286505"/>
      <w:bookmarkStart w:id="10" w:name="_Toc461714272"/>
      <w:bookmarkStart w:id="11" w:name="_Toc461714370"/>
      <w:bookmarkStart w:id="12" w:name="_Toc461714728"/>
      <w:r w:rsidRPr="00B038AC">
        <w:rPr>
          <w:rFonts w:cs="Arial"/>
          <w:sz w:val="28"/>
          <w:szCs w:val="28"/>
        </w:rPr>
        <w:t>ARTICLE 3</w:t>
      </w:r>
      <w:bookmarkEnd w:id="9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GENERAL PROVISIONS</w:t>
      </w:r>
      <w:bookmarkEnd w:id="10"/>
      <w:bookmarkEnd w:id="11"/>
      <w:bookmarkEnd w:id="12"/>
    </w:p>
    <w:p w:rsidR="004B42FD" w:rsidRDefault="006542E5" w:rsidP="00A033E3">
      <w:pPr>
        <w:pStyle w:val="MediumGrid2"/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The provisions of this Agreement shall apply to all Member States and all goods traded within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ASEAN in accordance with their national laws, rules and regulations.</w:t>
      </w:r>
    </w:p>
    <w:p w:rsidR="006542E5" w:rsidRPr="004B42FD" w:rsidRDefault="006542E5" w:rsidP="00A033E3">
      <w:pPr>
        <w:pStyle w:val="MediumGrid2"/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lastRenderedPageBreak/>
        <w:t>Goods eligible for preferential concessions whether tariff or non-tariff under any ASEAN economic arrangement shall be subject to the Rules of Origin for the CEPT for AFTA.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13" w:name="_Toc325286507"/>
      <w:bookmarkStart w:id="14" w:name="_Toc461714273"/>
      <w:bookmarkStart w:id="15" w:name="_Toc461714371"/>
      <w:bookmarkStart w:id="16" w:name="_Toc461714729"/>
      <w:r w:rsidRPr="00B038AC">
        <w:rPr>
          <w:rFonts w:cs="Arial"/>
          <w:sz w:val="28"/>
          <w:szCs w:val="28"/>
        </w:rPr>
        <w:t>ARTICLE 4</w:t>
      </w:r>
      <w:bookmarkEnd w:id="13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TARIFF NOMENCLATURE</w:t>
      </w:r>
      <w:bookmarkEnd w:id="14"/>
      <w:bookmarkEnd w:id="15"/>
      <w:bookmarkEnd w:id="16"/>
    </w:p>
    <w:p w:rsidR="004B42FD" w:rsidRDefault="006542E5" w:rsidP="00A033E3">
      <w:pPr>
        <w:pStyle w:val="MediumGrid2"/>
        <w:numPr>
          <w:ilvl w:val="0"/>
          <w:numId w:val="4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 xml:space="preserve">The ASEAN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Harmonised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Tariff Nomenclature shall be based on the 6-digit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Commodity Description and Coding System (HS) of the WCO and the amendments thereto.</w:t>
      </w:r>
    </w:p>
    <w:p w:rsidR="004B42FD" w:rsidRDefault="006542E5" w:rsidP="00A033E3">
      <w:pPr>
        <w:pStyle w:val="MediumGrid2"/>
        <w:numPr>
          <w:ilvl w:val="0"/>
          <w:numId w:val="4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 xml:space="preserve">Member States shall, for tariff purposes, use a common tariff nomenclature at the 8-digit level. The ASEAN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Harmonised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Tariff Nomenclature beyond the 8-digit level may be used for statistical and other purposes.</w:t>
      </w:r>
    </w:p>
    <w:p w:rsidR="006542E5" w:rsidRPr="004B42FD" w:rsidRDefault="006542E5" w:rsidP="00A033E3">
      <w:pPr>
        <w:pStyle w:val="MediumGrid2"/>
        <w:numPr>
          <w:ilvl w:val="0"/>
          <w:numId w:val="4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 xml:space="preserve">Member States may amend the ASEAN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Harmonised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Tariff Nomenclature in accordance with Article 10 of this Agreement.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17" w:name="_Toc325286509"/>
      <w:bookmarkStart w:id="18" w:name="_Toc461714274"/>
      <w:bookmarkStart w:id="19" w:name="_Toc461714372"/>
      <w:bookmarkStart w:id="20" w:name="_Toc461714730"/>
      <w:r w:rsidRPr="00B038AC">
        <w:rPr>
          <w:rFonts w:cs="Arial"/>
          <w:sz w:val="28"/>
          <w:szCs w:val="28"/>
        </w:rPr>
        <w:t>ARTICLE 5</w:t>
      </w:r>
      <w:bookmarkEnd w:id="17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CUSTOMS VALUATION</w:t>
      </w:r>
      <w:bookmarkEnd w:id="18"/>
      <w:bookmarkEnd w:id="19"/>
      <w:bookmarkEnd w:id="20"/>
    </w:p>
    <w:p w:rsidR="004B42FD" w:rsidRDefault="006542E5" w:rsidP="00A033E3">
      <w:pPr>
        <w:pStyle w:val="MediumGrid2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not use Customs valuation for protective purposes or as a barrier to trade.</w:t>
      </w:r>
    </w:p>
    <w:p w:rsidR="004B42FD" w:rsidRDefault="006542E5" w:rsidP="00A033E3">
      <w:pPr>
        <w:pStyle w:val="MediumGrid2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>Member States shall implement the GATT Valuation Agreement, as per the Agreement on Implementation of Article VII of the General Agreement on Tariffs and Trade 1994, on an accelerated schedule.</w:t>
      </w:r>
    </w:p>
    <w:p w:rsidR="006542E5" w:rsidRPr="004B42FD" w:rsidRDefault="006542E5" w:rsidP="00A033E3">
      <w:pPr>
        <w:pStyle w:val="MediumGrid2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2FD">
        <w:rPr>
          <w:rFonts w:ascii="Arial" w:hAnsi="Arial" w:cs="Arial"/>
          <w:color w:val="000000"/>
          <w:sz w:val="20"/>
          <w:szCs w:val="20"/>
        </w:rPr>
        <w:t xml:space="preserve">Member States shall adopt a common interpretation of the GATT Valuation Agreement and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standardise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the systems used to </w:t>
      </w:r>
      <w:proofErr w:type="spellStart"/>
      <w:r w:rsidRPr="004B42FD">
        <w:rPr>
          <w:rFonts w:ascii="Arial" w:hAnsi="Arial" w:cs="Arial"/>
          <w:color w:val="000000"/>
          <w:sz w:val="20"/>
          <w:szCs w:val="20"/>
        </w:rPr>
        <w:t>operationalise</w:t>
      </w:r>
      <w:proofErr w:type="spellEnd"/>
      <w:r w:rsidRPr="004B42FD">
        <w:rPr>
          <w:rFonts w:ascii="Arial" w:hAnsi="Arial" w:cs="Arial"/>
          <w:color w:val="000000"/>
          <w:sz w:val="20"/>
          <w:szCs w:val="20"/>
        </w:rPr>
        <w:t xml:space="preserve"> the Agreement.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21" w:name="_Toc325286511"/>
      <w:bookmarkStart w:id="22" w:name="_Toc461714275"/>
      <w:bookmarkStart w:id="23" w:name="_Toc461714373"/>
      <w:bookmarkStart w:id="24" w:name="_Toc461714731"/>
      <w:r w:rsidRPr="00B038AC">
        <w:rPr>
          <w:rFonts w:cs="Arial"/>
          <w:sz w:val="28"/>
          <w:szCs w:val="28"/>
        </w:rPr>
        <w:t>ARTICLE 6</w:t>
      </w:r>
      <w:bookmarkEnd w:id="21"/>
      <w:r w:rsidR="00897D17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CUSTOMS PROCEDURES</w:t>
      </w:r>
      <w:bookmarkEnd w:id="22"/>
      <w:bookmarkEnd w:id="23"/>
      <w:bookmarkEnd w:id="24"/>
    </w:p>
    <w:p w:rsidR="006542E5" w:rsidRPr="006542E5" w:rsidRDefault="006542E5" w:rsidP="004B42FD">
      <w:pPr>
        <w:pStyle w:val="MediumGrid2"/>
        <w:numPr>
          <w:ilvl w:val="0"/>
          <w:numId w:val="6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 xml:space="preserve">Member States shall simplify and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harmonise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Customs procedures for the efficient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expeditious clearance of products traded in ASEAN.</w:t>
      </w:r>
    </w:p>
    <w:p w:rsidR="006542E5" w:rsidRPr="006542E5" w:rsidRDefault="006542E5" w:rsidP="004B42FD">
      <w:pPr>
        <w:pStyle w:val="MediumGrid2"/>
        <w:numPr>
          <w:ilvl w:val="0"/>
          <w:numId w:val="6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 xml:space="preserve">Simplification and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harmonisation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of Customs procedures in ASEAN shall conform with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standards and recommended practices in the Kyoto Convention, as amended, under the auspices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of the Customs Cooperation Council (CCC) or WCO.</w:t>
      </w:r>
    </w:p>
    <w:p w:rsidR="006542E5" w:rsidRDefault="006542E5" w:rsidP="004B42FD">
      <w:pPr>
        <w:pStyle w:val="MediumGrid2"/>
        <w:numPr>
          <w:ilvl w:val="0"/>
          <w:numId w:val="6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Nothing shall prevent two or more Member States, desiring to facilitate trade, from granting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privileges more than those stipulated in this Agreement. Member States are however,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encouraged to extend these privileges to all the other Member States.</w:t>
      </w:r>
    </w:p>
    <w:p w:rsidR="006542E5" w:rsidRPr="006542E5" w:rsidRDefault="006542E5" w:rsidP="004B42FD">
      <w:pPr>
        <w:pStyle w:val="MediumGrid2"/>
        <w:numPr>
          <w:ilvl w:val="0"/>
          <w:numId w:val="6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periodically review ASEAN Customs procedures to further simplify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harmonise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ASEAN Customs procedures in accordance with Article 10 of this Agreement.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25" w:name="_Toc325286513"/>
      <w:bookmarkStart w:id="26" w:name="_Toc461714276"/>
      <w:bookmarkStart w:id="27" w:name="_Toc461714374"/>
      <w:bookmarkStart w:id="28" w:name="_Toc461714732"/>
      <w:r w:rsidRPr="00B038AC">
        <w:rPr>
          <w:rFonts w:cs="Arial"/>
          <w:sz w:val="28"/>
          <w:szCs w:val="28"/>
        </w:rPr>
        <w:lastRenderedPageBreak/>
        <w:t>ARTICLE 7</w:t>
      </w:r>
      <w:bookmarkEnd w:id="25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OTHER AREAS OF COOPERATION</w:t>
      </w:r>
      <w:bookmarkEnd w:id="26"/>
      <w:bookmarkEnd w:id="27"/>
      <w:bookmarkEnd w:id="28"/>
    </w:p>
    <w:p w:rsidR="006542E5" w:rsidRDefault="006542E5" w:rsidP="004B42FD">
      <w:pPr>
        <w:pStyle w:val="MediumGrid2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pursue other areas of Customs cooperation consistent with their respective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national laws, rules and regulations and within the limits of the Customs Administration’s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competence and available resources.</w:t>
      </w:r>
    </w:p>
    <w:p w:rsidR="006542E5" w:rsidRDefault="006542E5" w:rsidP="004B42FD">
      <w:pPr>
        <w:pStyle w:val="MediumGrid2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be encouraged to exchange vital information on the prevention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repression of smuggling, trafficking of narcotics and psychotropic substances, and other Customs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frauds. Subject to Paragraph 1 of this Article, ASEAN Customs authorities shall cooperate among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themselves in the conduct of investigation relating to smuggling and other Customs frauds.</w:t>
      </w:r>
    </w:p>
    <w:p w:rsidR="006542E5" w:rsidRPr="006542E5" w:rsidRDefault="006542E5" w:rsidP="004B42FD">
      <w:pPr>
        <w:pStyle w:val="MediumGrid2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should accommodate any request by other Member States for studies and visits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by Customs personnel.</w:t>
      </w:r>
    </w:p>
    <w:p w:rsidR="006542E5" w:rsidRDefault="006542E5" w:rsidP="004B42FD">
      <w:pPr>
        <w:pStyle w:val="MediumGrid2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 xml:space="preserve">Member States shall exchange information on international Customs issues and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endeavour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coordinate ASEAN positions thereon in international Customs fora.</w:t>
      </w:r>
    </w:p>
    <w:p w:rsidR="006542E5" w:rsidRDefault="006542E5" w:rsidP="004B42FD">
      <w:pPr>
        <w:pStyle w:val="MediumGrid2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should explore other activities to further enhance Customs cooperation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region.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29" w:name="_Toc325286515"/>
      <w:bookmarkStart w:id="30" w:name="_Toc461714277"/>
      <w:bookmarkStart w:id="31" w:name="_Toc461714375"/>
      <w:bookmarkStart w:id="32" w:name="_Toc461714733"/>
      <w:r w:rsidRPr="00B038AC">
        <w:rPr>
          <w:rFonts w:cs="Arial"/>
          <w:sz w:val="28"/>
          <w:szCs w:val="28"/>
        </w:rPr>
        <w:t>ARTICLE 8</w:t>
      </w:r>
      <w:bookmarkEnd w:id="29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APPEALS</w:t>
      </w:r>
      <w:bookmarkEnd w:id="30"/>
      <w:bookmarkEnd w:id="31"/>
      <w:bookmarkEnd w:id="32"/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Subject to national laws and regulations in each ASEAN Member State, any affected person shall have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the right to appeal decisions taken by the Customs authorities of Member States.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33" w:name="_Toc325286517"/>
      <w:bookmarkStart w:id="34" w:name="_Toc461714278"/>
      <w:bookmarkStart w:id="35" w:name="_Toc461714376"/>
      <w:bookmarkStart w:id="36" w:name="_Toc461714734"/>
      <w:r w:rsidRPr="00B038AC">
        <w:rPr>
          <w:rFonts w:cs="Arial"/>
          <w:sz w:val="28"/>
          <w:szCs w:val="28"/>
        </w:rPr>
        <w:t>ARTICLE 9</w:t>
      </w:r>
      <w:bookmarkEnd w:id="33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CONSULTATIONS AND SETTLEMENT OF DISPUTES</w:t>
      </w:r>
      <w:bookmarkEnd w:id="34"/>
      <w:bookmarkEnd w:id="35"/>
      <w:bookmarkEnd w:id="36"/>
    </w:p>
    <w:p w:rsidR="006542E5" w:rsidRDefault="006542E5" w:rsidP="004B42FD">
      <w:pPr>
        <w:pStyle w:val="MediumGrid2"/>
        <w:numPr>
          <w:ilvl w:val="0"/>
          <w:numId w:val="10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shall, at the written request of a Member State, enter into consultations with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view to seeking a prompt, equitable and mutually satisfactory solution, if that Member State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considers that:</w:t>
      </w:r>
    </w:p>
    <w:p w:rsidR="006542E5" w:rsidRDefault="006542E5" w:rsidP="004B42FD">
      <w:pPr>
        <w:pStyle w:val="MediumGrid2"/>
        <w:numPr>
          <w:ilvl w:val="0"/>
          <w:numId w:val="1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an obligation under this Agreement has not been fulfilled, is not being fulfilled, or may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be fulfilled; or,</w:t>
      </w:r>
    </w:p>
    <w:p w:rsidR="006542E5" w:rsidRDefault="006542E5" w:rsidP="004B42FD">
      <w:pPr>
        <w:pStyle w:val="MediumGrid2"/>
        <w:numPr>
          <w:ilvl w:val="0"/>
          <w:numId w:val="11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any objective of this Agreement is not being</w:t>
      </w:r>
      <w:r w:rsidR="00D047E1">
        <w:rPr>
          <w:rFonts w:ascii="Arial" w:hAnsi="Arial" w:cs="Arial"/>
          <w:color w:val="000000"/>
          <w:sz w:val="20"/>
          <w:szCs w:val="20"/>
        </w:rPr>
        <w:t xml:space="preserve"> achieved or may be frustrated.</w:t>
      </w:r>
    </w:p>
    <w:p w:rsidR="006542E5" w:rsidRDefault="006542E5" w:rsidP="004B42FD">
      <w:pPr>
        <w:pStyle w:val="MediumGrid2"/>
        <w:numPr>
          <w:ilvl w:val="0"/>
          <w:numId w:val="10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Any differences between Member States concerning the interpretation or application of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Agreement shall, as far as possible, be settled amicably between the parties. If a settlement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between the parties cannot be reached, the dispute shall be submitted to the ASEAN Directors-General of Customs for settlement. If any such differences cannot be settled, it shall be subjected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to the Dispute Settlement Mechanism of ASEAN.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37" w:name="_Toc325286519"/>
      <w:bookmarkStart w:id="38" w:name="_Toc461714279"/>
      <w:bookmarkStart w:id="39" w:name="_Toc461714377"/>
      <w:bookmarkStart w:id="40" w:name="_Toc461714735"/>
      <w:r w:rsidRPr="00B038AC">
        <w:rPr>
          <w:rFonts w:cs="Arial"/>
          <w:sz w:val="28"/>
          <w:szCs w:val="28"/>
        </w:rPr>
        <w:lastRenderedPageBreak/>
        <w:t>ARTICLE 10</w:t>
      </w:r>
      <w:bookmarkEnd w:id="37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INSTITUTIONAL ARRANGEMENTS</w:t>
      </w:r>
      <w:bookmarkEnd w:id="38"/>
      <w:bookmarkEnd w:id="39"/>
      <w:bookmarkEnd w:id="40"/>
    </w:p>
    <w:p w:rsidR="006542E5" w:rsidRPr="006542E5" w:rsidRDefault="006542E5" w:rsidP="004B42FD">
      <w:pPr>
        <w:pStyle w:val="MediumGrid2"/>
        <w:numPr>
          <w:ilvl w:val="0"/>
          <w:numId w:val="13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The ASEAN Directors-General of Customs, under the purview of the appropriate ASEAN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Ministerial body, shall review, amend, supervise and monitor all aspects relating 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implementation of the Agreement.</w:t>
      </w:r>
    </w:p>
    <w:p w:rsidR="006542E5" w:rsidRDefault="006542E5" w:rsidP="004B42FD">
      <w:pPr>
        <w:pStyle w:val="MediumGrid2"/>
        <w:numPr>
          <w:ilvl w:val="0"/>
          <w:numId w:val="13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The ASEAN Secretariat shall provide the support for supervising, coordinating and reviewing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implementation of the Agreement and assist the ASEAN Directors-General of Customs in all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matters relating thereto.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41" w:name="_Toc325286521"/>
      <w:bookmarkStart w:id="42" w:name="_Toc461714280"/>
      <w:bookmarkStart w:id="43" w:name="_Toc461714378"/>
      <w:bookmarkStart w:id="44" w:name="_Toc461714736"/>
      <w:r w:rsidRPr="00B038AC">
        <w:rPr>
          <w:rFonts w:cs="Arial"/>
          <w:sz w:val="28"/>
          <w:szCs w:val="28"/>
        </w:rPr>
        <w:t>ARTICLE 11</w:t>
      </w:r>
      <w:bookmarkEnd w:id="41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PRIVATE SECTOR PARTICIPATION</w:t>
      </w:r>
      <w:bookmarkEnd w:id="42"/>
      <w:bookmarkEnd w:id="43"/>
      <w:bookmarkEnd w:id="44"/>
    </w:p>
    <w:p w:rsidR="006542E5" w:rsidRPr="006542E5" w:rsidRDefault="006542E5" w:rsidP="004B42FD">
      <w:pPr>
        <w:pStyle w:val="MediumGrid2"/>
        <w:numPr>
          <w:ilvl w:val="0"/>
          <w:numId w:val="15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States, pursuant to Article 6 of the Framework Agreement on Enhancing ASEAN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Economic Cooperation (1992) </w:t>
      </w:r>
      <w:proofErr w:type="spellStart"/>
      <w:r w:rsidRPr="006542E5">
        <w:rPr>
          <w:rFonts w:ascii="Arial" w:hAnsi="Arial" w:cs="Arial"/>
          <w:color w:val="000000"/>
          <w:sz w:val="20"/>
          <w:szCs w:val="20"/>
        </w:rPr>
        <w:t>recognise</w:t>
      </w:r>
      <w:proofErr w:type="spellEnd"/>
      <w:r w:rsidRPr="006542E5">
        <w:rPr>
          <w:rFonts w:ascii="Arial" w:hAnsi="Arial" w:cs="Arial"/>
          <w:color w:val="000000"/>
          <w:sz w:val="20"/>
          <w:szCs w:val="20"/>
        </w:rPr>
        <w:t xml:space="preserve"> the importance of and encourage, among others,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cooperation, consultations with the ASEAN private sector particularly on ways and means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further enhance intra-ASEAN trade facilitation.</w:t>
      </w:r>
    </w:p>
    <w:p w:rsidR="006542E5" w:rsidRDefault="006542E5" w:rsidP="004B42FD">
      <w:pPr>
        <w:pStyle w:val="MediumGrid2"/>
        <w:numPr>
          <w:ilvl w:val="0"/>
          <w:numId w:val="15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The Meeting of the ASEAN Directors-General of Customs shall be the forum for such linkages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with the private sector.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45" w:name="_Toc325286523"/>
      <w:bookmarkStart w:id="46" w:name="_Toc461714281"/>
      <w:bookmarkStart w:id="47" w:name="_Toc461714379"/>
      <w:bookmarkStart w:id="48" w:name="_Toc461714737"/>
      <w:r w:rsidRPr="00B038AC">
        <w:rPr>
          <w:rFonts w:cs="Arial"/>
          <w:sz w:val="28"/>
          <w:szCs w:val="28"/>
        </w:rPr>
        <w:t>ARTICLE 12</w:t>
      </w:r>
      <w:bookmarkEnd w:id="45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ACCESSION OF NEW MEMBERS</w:t>
      </w:r>
      <w:bookmarkEnd w:id="46"/>
      <w:bookmarkEnd w:id="47"/>
      <w:bookmarkEnd w:id="48"/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New Members of ASEAN shall accede to this Agreement on terms and conditions agreed between them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and existing Members of ASEAN. Accession shall be through the signing and depositing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instrument of accession to this Agreement with the Secretary-General of ASEAN, who shall promptly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furnish each Member State a certified copy thereof.</w:t>
      </w:r>
    </w:p>
    <w:p w:rsidR="006542E5" w:rsidRPr="00B038AC" w:rsidRDefault="00B038AC" w:rsidP="00D047E1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49" w:name="_Toc325286525"/>
      <w:bookmarkStart w:id="50" w:name="_Toc461714282"/>
      <w:bookmarkStart w:id="51" w:name="_Toc461714380"/>
      <w:bookmarkStart w:id="52" w:name="_Toc461714738"/>
      <w:r w:rsidRPr="00B038AC">
        <w:rPr>
          <w:rFonts w:cs="Arial"/>
          <w:sz w:val="28"/>
          <w:szCs w:val="28"/>
        </w:rPr>
        <w:t>ARTICLE 13</w:t>
      </w:r>
      <w:bookmarkEnd w:id="49"/>
      <w:r w:rsidR="004B42FD">
        <w:rPr>
          <w:rFonts w:cs="Arial"/>
          <w:sz w:val="28"/>
          <w:szCs w:val="28"/>
        </w:rPr>
        <w:br/>
      </w:r>
      <w:r w:rsidRPr="00B038AC">
        <w:rPr>
          <w:rFonts w:cs="Arial"/>
          <w:sz w:val="28"/>
          <w:szCs w:val="28"/>
        </w:rPr>
        <w:t>FINAL PROVISIONS</w:t>
      </w:r>
      <w:bookmarkEnd w:id="50"/>
      <w:bookmarkEnd w:id="51"/>
      <w:bookmarkEnd w:id="52"/>
    </w:p>
    <w:p w:rsidR="006542E5" w:rsidRPr="006542E5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By Agreement of all Member States, the provisions of this Agreement may be reviewed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amended.</w:t>
      </w:r>
    </w:p>
    <w:p w:rsidR="006542E5" w:rsidRPr="006542E5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Annexes may be introduced to this Agreement and shall form an integral part thereof. 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reference to this Agreement is deemed to include also a reference to the Annexes.</w:t>
      </w:r>
    </w:p>
    <w:p w:rsidR="006542E5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undertake appropriate measures to fulfill the agreed obligations arising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from this Agreement.</w:t>
      </w:r>
    </w:p>
    <w:p w:rsidR="006542E5" w:rsidRPr="006542E5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Member States shall make no reservations with respect to any of the provisions of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Agreement.</w:t>
      </w:r>
    </w:p>
    <w:p w:rsidR="006542E5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This Agreement shall be deposited with the Secretary General of ASEAN, who shall promptly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furnish each Member State a certified copy thereof.</w:t>
      </w:r>
    </w:p>
    <w:p w:rsidR="00453DE2" w:rsidRDefault="006542E5" w:rsidP="004B42FD">
      <w:pPr>
        <w:pStyle w:val="MediumGrid2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42E5">
        <w:rPr>
          <w:rFonts w:ascii="Arial" w:hAnsi="Arial" w:cs="Arial"/>
          <w:color w:val="000000"/>
          <w:sz w:val="20"/>
          <w:szCs w:val="20"/>
        </w:rPr>
        <w:t>This Agreement shall enter into force upon the signing and deposit of instrument of ratification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or acceptance by all signatory governments with the Secretary-General of ASEAN.</w:t>
      </w:r>
    </w:p>
    <w:p w:rsidR="00A033E3" w:rsidRDefault="00A033E3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  <w:sectPr w:rsidR="00A033E3" w:rsidSect="00A033E3">
          <w:type w:val="continuous"/>
          <w:pgSz w:w="11900" w:h="16840"/>
          <w:pgMar w:top="1440" w:right="1800" w:bottom="1440" w:left="1800" w:header="708" w:footer="708" w:gutter="0"/>
          <w:cols w:sep="1" w:space="720"/>
          <w:docGrid w:linePitch="360"/>
        </w:sectPr>
      </w:pPr>
    </w:p>
    <w:p w:rsidR="006542E5" w:rsidRDefault="006542E5" w:rsidP="00A033E3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lastRenderedPageBreak/>
        <w:t>IN WITNESS WHEREOF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the undersigned, being duly authorised to sign the Agreement, have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2E5">
        <w:rPr>
          <w:rFonts w:ascii="Arial" w:hAnsi="Arial" w:cs="Arial"/>
          <w:color w:val="000000"/>
          <w:sz w:val="20"/>
          <w:szCs w:val="20"/>
        </w:rPr>
        <w:t>signed this ASEAN Agreement on Customs.</w:t>
      </w:r>
    </w:p>
    <w:p w:rsidR="00B038AC" w:rsidRDefault="006542E5" w:rsidP="00D047E1">
      <w:pPr>
        <w:pStyle w:val="MediumGrid2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8AC">
        <w:rPr>
          <w:rFonts w:ascii="Arial" w:hAnsi="Arial" w:cs="Arial"/>
          <w:b/>
          <w:color w:val="000000"/>
          <w:sz w:val="20"/>
          <w:szCs w:val="20"/>
        </w:rPr>
        <w:t>DONE</w:t>
      </w:r>
      <w:r w:rsidRPr="006542E5">
        <w:rPr>
          <w:rFonts w:ascii="Arial" w:hAnsi="Arial" w:cs="Arial"/>
          <w:color w:val="000000"/>
          <w:sz w:val="20"/>
          <w:szCs w:val="20"/>
        </w:rPr>
        <w:t xml:space="preserve"> at Phuket, Thailand, on the 1st day of March 1997, in a single copy in the English Language.</w:t>
      </w:r>
    </w:p>
    <w:p w:rsidR="00B038AC" w:rsidRDefault="00B038AC" w:rsidP="006542E5">
      <w:pPr>
        <w:pStyle w:val="MediumGrid2"/>
        <w:jc w:val="both"/>
        <w:rPr>
          <w:rFonts w:ascii="Arial" w:hAnsi="Arial" w:cs="Arial"/>
          <w:color w:val="000000"/>
          <w:sz w:val="20"/>
          <w:szCs w:val="20"/>
        </w:rPr>
      </w:pPr>
    </w:p>
    <w:p w:rsidR="00B038AC" w:rsidRDefault="00B038AC" w:rsidP="006542E5">
      <w:pPr>
        <w:pStyle w:val="MediumGrid2"/>
        <w:jc w:val="both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Brunei Darussalam:</w:t>
      </w:r>
    </w:p>
    <w:p w:rsidR="00831CD4" w:rsidRDefault="00831CD4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B038AC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PEHIN DATO AHMAD WALLY SKINNER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Minister of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the Republic of Indonesia: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MAR’IE MUHAMMAD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of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Malaysia: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DATO’ SERI ANWAR BIN IBRAHIM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Prime Minister and Minister of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the Republic of the Philippines: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ROBERTO F. DE OCAMPO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of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the Republic of Singapore: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RICHARD HU TSU TAU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for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the Kingdom of Thailand: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AMNUAY VIRAVAN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Prime Minister and Minister of Finance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Government of the Socialist Republic of Vietnam:</w:t>
      </w:r>
    </w:p>
    <w:p w:rsidR="004B42FD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</w:p>
    <w:p w:rsidR="004B42FD" w:rsidRPr="004B42FD" w:rsidRDefault="004B42FD" w:rsidP="004B42FD">
      <w:pPr>
        <w:pStyle w:val="MediumGrid2"/>
        <w:jc w:val="center"/>
        <w:rPr>
          <w:rFonts w:ascii="Arial" w:hAnsi="Arial" w:cs="Arial"/>
          <w:b/>
          <w:sz w:val="20"/>
          <w:szCs w:val="20"/>
        </w:rPr>
      </w:pPr>
      <w:r w:rsidRPr="004B42FD">
        <w:rPr>
          <w:rFonts w:ascii="Arial" w:hAnsi="Arial" w:cs="Arial"/>
          <w:b/>
          <w:sz w:val="20"/>
          <w:szCs w:val="20"/>
        </w:rPr>
        <w:t>NGUYEN SINH HUNG</w:t>
      </w:r>
    </w:p>
    <w:p w:rsidR="004B42FD" w:rsidRPr="006542E5" w:rsidRDefault="004B42FD" w:rsidP="004B42FD">
      <w:pPr>
        <w:pStyle w:val="MediumGrid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of Finance</w:t>
      </w:r>
    </w:p>
    <w:sectPr w:rsidR="004B42FD" w:rsidRPr="006542E5" w:rsidSect="00453DE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12" w:rsidRDefault="005A7A12" w:rsidP="007715EA">
      <w:r>
        <w:separator/>
      </w:r>
    </w:p>
  </w:endnote>
  <w:endnote w:type="continuationSeparator" w:id="0">
    <w:p w:rsidR="005A7A12" w:rsidRDefault="005A7A12" w:rsidP="007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3" w:rsidRPr="00D047E1" w:rsidRDefault="00A033E3" w:rsidP="00D047E1">
    <w:pPr>
      <w:pStyle w:val="Footer"/>
      <w:pBdr>
        <w:top w:val="single" w:sz="4" w:space="1" w:color="auto"/>
      </w:pBdr>
      <w:rPr>
        <w:rFonts w:ascii="Arial" w:hAnsi="Arial" w:cs="Arial"/>
        <w:color w:val="7F7F7F"/>
        <w:sz w:val="16"/>
        <w:szCs w:val="16"/>
      </w:rPr>
    </w:pPr>
    <w:r w:rsidRPr="00D047E1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D047E1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D047E1">
      <w:rPr>
        <w:rFonts w:ascii="Arial" w:hAnsi="Arial" w:cs="Arial"/>
        <w:color w:val="7F7F7F"/>
        <w:sz w:val="16"/>
        <w:szCs w:val="16"/>
      </w:rPr>
      <w:t xml:space="preserve">   </w:t>
    </w:r>
    <w:r w:rsidR="00D047E1">
      <w:rPr>
        <w:rFonts w:ascii="Arial" w:hAnsi="Arial" w:cs="Arial"/>
        <w:color w:val="7F7F7F"/>
        <w:sz w:val="16"/>
        <w:szCs w:val="16"/>
      </w:rPr>
      <w:t xml:space="preserve">                               </w:t>
    </w:r>
    <w:r w:rsidRPr="00D047E1">
      <w:rPr>
        <w:rFonts w:ascii="Arial" w:hAnsi="Arial" w:cs="Arial"/>
        <w:color w:val="7F7F7F"/>
        <w:sz w:val="16"/>
        <w:szCs w:val="16"/>
      </w:rPr>
      <w:t xml:space="preserve">Page </w:t>
    </w:r>
    <w:r w:rsidRPr="00D047E1">
      <w:rPr>
        <w:rFonts w:ascii="Arial" w:hAnsi="Arial" w:cs="Arial"/>
        <w:color w:val="7F7F7F"/>
        <w:sz w:val="16"/>
        <w:szCs w:val="16"/>
      </w:rPr>
      <w:fldChar w:fldCharType="begin"/>
    </w:r>
    <w:r w:rsidRPr="00D047E1">
      <w:rPr>
        <w:rFonts w:ascii="Arial" w:hAnsi="Arial" w:cs="Arial"/>
        <w:color w:val="7F7F7F"/>
        <w:sz w:val="16"/>
        <w:szCs w:val="16"/>
      </w:rPr>
      <w:instrText xml:space="preserve"> PAGE </w:instrText>
    </w:r>
    <w:r w:rsidRPr="00D047E1">
      <w:rPr>
        <w:rFonts w:ascii="Arial" w:hAnsi="Arial" w:cs="Arial"/>
        <w:color w:val="7F7F7F"/>
        <w:sz w:val="16"/>
        <w:szCs w:val="16"/>
      </w:rPr>
      <w:fldChar w:fldCharType="separate"/>
    </w:r>
    <w:r w:rsidR="008E22A1">
      <w:rPr>
        <w:rFonts w:ascii="Arial" w:hAnsi="Arial" w:cs="Arial"/>
        <w:noProof/>
        <w:color w:val="7F7F7F"/>
        <w:sz w:val="16"/>
        <w:szCs w:val="16"/>
      </w:rPr>
      <w:t>7</w:t>
    </w:r>
    <w:r w:rsidRPr="00D047E1">
      <w:rPr>
        <w:rFonts w:ascii="Arial" w:hAnsi="Arial" w:cs="Arial"/>
        <w:color w:val="7F7F7F"/>
        <w:sz w:val="16"/>
        <w:szCs w:val="16"/>
      </w:rPr>
      <w:fldChar w:fldCharType="end"/>
    </w:r>
    <w:r w:rsidRPr="00D047E1">
      <w:rPr>
        <w:rFonts w:ascii="Arial" w:hAnsi="Arial" w:cs="Arial"/>
        <w:color w:val="7F7F7F"/>
        <w:sz w:val="16"/>
        <w:szCs w:val="16"/>
      </w:rPr>
      <w:t xml:space="preserve"> of </w:t>
    </w:r>
    <w:r w:rsidRPr="00D047E1">
      <w:rPr>
        <w:rFonts w:ascii="Arial" w:hAnsi="Arial" w:cs="Arial"/>
        <w:color w:val="7F7F7F"/>
        <w:sz w:val="16"/>
        <w:szCs w:val="16"/>
      </w:rPr>
      <w:fldChar w:fldCharType="begin"/>
    </w:r>
    <w:r w:rsidRPr="00D047E1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Pr="00D047E1">
      <w:rPr>
        <w:rFonts w:ascii="Arial" w:hAnsi="Arial" w:cs="Arial"/>
        <w:color w:val="7F7F7F"/>
        <w:sz w:val="16"/>
        <w:szCs w:val="16"/>
      </w:rPr>
      <w:fldChar w:fldCharType="separate"/>
    </w:r>
    <w:r w:rsidR="008E22A1">
      <w:rPr>
        <w:rFonts w:ascii="Arial" w:hAnsi="Arial" w:cs="Arial"/>
        <w:noProof/>
        <w:color w:val="7F7F7F"/>
        <w:sz w:val="16"/>
        <w:szCs w:val="16"/>
      </w:rPr>
      <w:t>7</w:t>
    </w:r>
    <w:r w:rsidRPr="00D047E1">
      <w:rPr>
        <w:rFonts w:ascii="Arial" w:hAnsi="Arial" w:cs="Arial"/>
        <w:color w:val="7F7F7F"/>
        <w:sz w:val="16"/>
        <w:szCs w:val="16"/>
      </w:rPr>
      <w:fldChar w:fldCharType="end"/>
    </w:r>
  </w:p>
  <w:p w:rsidR="00A033E3" w:rsidRDefault="00A0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3" w:rsidRPr="00D047E1" w:rsidRDefault="00A033E3" w:rsidP="00A033E3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D047E1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D047E1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D047E1">
      <w:rPr>
        <w:rFonts w:ascii="Arial" w:hAnsi="Arial" w:cs="Arial"/>
        <w:color w:val="7F7F7F"/>
        <w:sz w:val="16"/>
        <w:szCs w:val="16"/>
      </w:rPr>
      <w:t xml:space="preserve">                                  </w:t>
    </w:r>
    <w:r w:rsidRPr="00D047E1">
      <w:rPr>
        <w:rFonts w:ascii="Arial" w:hAnsi="Arial" w:cs="Arial"/>
        <w:color w:val="7F7F7F"/>
        <w:sz w:val="16"/>
        <w:szCs w:val="16"/>
      </w:rPr>
      <w:tab/>
    </w:r>
  </w:p>
  <w:p w:rsidR="00A033E3" w:rsidRDefault="00A0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12" w:rsidRDefault="005A7A12" w:rsidP="007715EA">
      <w:r>
        <w:separator/>
      </w:r>
    </w:p>
  </w:footnote>
  <w:footnote w:type="continuationSeparator" w:id="0">
    <w:p w:rsidR="005A7A12" w:rsidRDefault="005A7A12" w:rsidP="0077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3" w:rsidRDefault="00A033E3" w:rsidP="00F91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3E3" w:rsidRDefault="00A033E3" w:rsidP="007715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3" w:rsidRPr="00D047E1" w:rsidRDefault="00A033E3" w:rsidP="00D047E1">
    <w:pPr>
      <w:pStyle w:val="Header"/>
      <w:pBdr>
        <w:bottom w:val="single" w:sz="4" w:space="1" w:color="auto"/>
      </w:pBdr>
      <w:ind w:right="-64"/>
      <w:rPr>
        <w:rFonts w:ascii="Arial" w:hAnsi="Arial" w:cs="Arial"/>
        <w:color w:val="7F7F7F"/>
        <w:sz w:val="16"/>
        <w:szCs w:val="16"/>
      </w:rPr>
    </w:pPr>
    <w:r w:rsidRPr="00406056">
      <w:rPr>
        <w:rFonts w:ascii="Arial" w:hAnsi="Arial" w:cs="Arial"/>
        <w:color w:val="7F7F7F"/>
        <w:sz w:val="16"/>
        <w:szCs w:val="16"/>
      </w:rPr>
      <w:t>1997 ASEAN AGREEMENT ON</w:t>
    </w:r>
    <w:r w:rsidR="00D047E1">
      <w:rPr>
        <w:rFonts w:ascii="Arial" w:hAnsi="Arial" w:cs="Arial"/>
        <w:color w:val="7F7F7F"/>
        <w:sz w:val="16"/>
        <w:szCs w:val="16"/>
      </w:rPr>
      <w:t xml:space="preserve"> CUSTOMS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1FB"/>
    <w:multiLevelType w:val="hybridMultilevel"/>
    <w:tmpl w:val="AE26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63E0"/>
    <w:multiLevelType w:val="hybridMultilevel"/>
    <w:tmpl w:val="A7EC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5CE8"/>
    <w:multiLevelType w:val="hybridMultilevel"/>
    <w:tmpl w:val="0EA0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B00"/>
    <w:multiLevelType w:val="hybridMultilevel"/>
    <w:tmpl w:val="332E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007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2627"/>
    <w:multiLevelType w:val="hybridMultilevel"/>
    <w:tmpl w:val="E140D06E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2DCF0AE5"/>
    <w:multiLevelType w:val="hybridMultilevel"/>
    <w:tmpl w:val="286AC3FA"/>
    <w:lvl w:ilvl="0" w:tplc="FB9C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658D"/>
    <w:multiLevelType w:val="hybridMultilevel"/>
    <w:tmpl w:val="5396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616"/>
    <w:multiLevelType w:val="hybridMultilevel"/>
    <w:tmpl w:val="33849612"/>
    <w:lvl w:ilvl="0" w:tplc="FB9C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081C"/>
    <w:multiLevelType w:val="hybridMultilevel"/>
    <w:tmpl w:val="806E7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23A3"/>
    <w:multiLevelType w:val="hybridMultilevel"/>
    <w:tmpl w:val="83FA9450"/>
    <w:lvl w:ilvl="0" w:tplc="FB9C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11A13"/>
    <w:multiLevelType w:val="hybridMultilevel"/>
    <w:tmpl w:val="02445848"/>
    <w:lvl w:ilvl="0" w:tplc="FB9C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18"/>
    <w:multiLevelType w:val="hybridMultilevel"/>
    <w:tmpl w:val="3B9EA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165BB"/>
    <w:multiLevelType w:val="hybridMultilevel"/>
    <w:tmpl w:val="E62C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31201"/>
    <w:multiLevelType w:val="hybridMultilevel"/>
    <w:tmpl w:val="A6B8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6554"/>
    <w:multiLevelType w:val="hybridMultilevel"/>
    <w:tmpl w:val="4B58B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6F3F"/>
    <w:multiLevelType w:val="hybridMultilevel"/>
    <w:tmpl w:val="FB24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53B81"/>
    <w:multiLevelType w:val="hybridMultilevel"/>
    <w:tmpl w:val="8E5E5064"/>
    <w:lvl w:ilvl="0" w:tplc="FB9C5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9B"/>
    <w:rsid w:val="00207B6B"/>
    <w:rsid w:val="002C479B"/>
    <w:rsid w:val="00391504"/>
    <w:rsid w:val="00406056"/>
    <w:rsid w:val="00453DE2"/>
    <w:rsid w:val="004B42FD"/>
    <w:rsid w:val="004D5983"/>
    <w:rsid w:val="005A7A12"/>
    <w:rsid w:val="006542E5"/>
    <w:rsid w:val="007715EA"/>
    <w:rsid w:val="00787FED"/>
    <w:rsid w:val="007F50CD"/>
    <w:rsid w:val="00831CD4"/>
    <w:rsid w:val="00897D17"/>
    <w:rsid w:val="008E22A1"/>
    <w:rsid w:val="00A033E3"/>
    <w:rsid w:val="00A03B99"/>
    <w:rsid w:val="00A06913"/>
    <w:rsid w:val="00AE6E29"/>
    <w:rsid w:val="00B038AC"/>
    <w:rsid w:val="00BA2486"/>
    <w:rsid w:val="00D047E1"/>
    <w:rsid w:val="00D654AF"/>
    <w:rsid w:val="00D80F0B"/>
    <w:rsid w:val="00E55AEE"/>
    <w:rsid w:val="00EC0A60"/>
    <w:rsid w:val="00F64B0C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67838"/>
  <w14:defaultImageDpi w14:val="300"/>
  <w15:chartTrackingRefBased/>
  <w15:docId w15:val="{66BCD28A-2F22-4A7F-BA53-C24A328E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E1"/>
    <w:pPr>
      <w:keepNext/>
      <w:spacing w:before="240" w:after="60"/>
      <w:outlineLvl w:val="0"/>
    </w:pPr>
    <w:rPr>
      <w:rFonts w:ascii="Arial" w:eastAsia="MS Gothic" w:hAnsi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6542E5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047E1"/>
    <w:rPr>
      <w:rFonts w:ascii="Arial" w:eastAsia="MS Gothic" w:hAnsi="Arial"/>
      <w:b/>
      <w:bCs/>
      <w:cap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047E1"/>
    <w:pPr>
      <w:spacing w:before="120" w:after="120" w:line="276" w:lineRule="auto"/>
    </w:pPr>
    <w:rPr>
      <w:rFonts w:ascii="Arial" w:hAnsi="Arial"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07B6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07B6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07B6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07B6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07B6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07B6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07B6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07B6B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7715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15E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5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15EA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715EA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715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7E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B339C-66F6-4675-AB15-917911EC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Links>
    <vt:vector size="90" baseType="variant"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_Toc461714738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_Toc461714737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_Toc461714736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_Toc461714735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_Toc461714734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_Toc461714733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_Toc461714732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_Toc461714731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_Toc461714730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_Toc461714729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_Toc461714728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_Toc461714727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_Toc461714726</vt:lpwstr>
      </vt:variant>
      <vt:variant>
        <vt:i4>7667809</vt:i4>
      </vt:variant>
      <vt:variant>
        <vt:i4>11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2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waiyee</dc:creator>
  <cp:keywords/>
  <cp:lastModifiedBy>Lee Jie Yi, Gracia</cp:lastModifiedBy>
  <cp:revision>5</cp:revision>
  <cp:lastPrinted>2018-07-05T02:40:00Z</cp:lastPrinted>
  <dcterms:created xsi:type="dcterms:W3CDTF">2018-07-05T02:20:00Z</dcterms:created>
  <dcterms:modified xsi:type="dcterms:W3CDTF">2018-07-05T02:40:00Z</dcterms:modified>
</cp:coreProperties>
</file>