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64" w:rsidRPr="00156497" w:rsidRDefault="00055C64" w:rsidP="001E465D">
      <w:pPr>
        <w:pStyle w:val="CILTitle"/>
      </w:pPr>
      <w:bookmarkStart w:id="0" w:name="_Toc379552176"/>
      <w:bookmarkStart w:id="1" w:name="_Toc462094850"/>
      <w:bookmarkStart w:id="2" w:name="_Toc462094999"/>
      <w:r w:rsidRPr="00156497">
        <w:t xml:space="preserve">1998 Framework Agreement on THE </w:t>
      </w:r>
      <w:r w:rsidR="001E465D" w:rsidRPr="00156497">
        <w:br/>
      </w:r>
      <w:r w:rsidRPr="00156497">
        <w:t>ASEAN Investment Area</w:t>
      </w:r>
      <w:bookmarkEnd w:id="0"/>
      <w:bookmarkEnd w:id="1"/>
      <w:bookmarkEnd w:id="2"/>
    </w:p>
    <w:p w:rsidR="00055C64" w:rsidRPr="00156497" w:rsidRDefault="00055C64" w:rsidP="001E465D">
      <w:pPr>
        <w:pStyle w:val="CILSubtitle"/>
      </w:pPr>
      <w:bookmarkStart w:id="3" w:name="_Toc379552177"/>
      <w:r w:rsidRPr="00156497">
        <w:t xml:space="preserve">Signed </w:t>
      </w:r>
      <w:r w:rsidR="002C06AC" w:rsidRPr="00156497">
        <w:t xml:space="preserve">in Makati, Philippines </w:t>
      </w:r>
      <w:r w:rsidRPr="00156497">
        <w:t xml:space="preserve">on 7 October 1998 </w:t>
      </w:r>
      <w:bookmarkEnd w:id="3"/>
    </w:p>
    <w:p w:rsidR="002C06AC" w:rsidRPr="00156497" w:rsidRDefault="002C06AC" w:rsidP="001E465D">
      <w:pPr>
        <w:pStyle w:val="CILSubtitle"/>
      </w:pPr>
      <w:bookmarkStart w:id="4" w:name="_GoBack"/>
      <w:bookmarkEnd w:id="4"/>
    </w:p>
    <w:p w:rsidR="002D4B4B" w:rsidRDefault="00055C64">
      <w:pPr>
        <w:pStyle w:val="TOC1"/>
        <w:rPr>
          <w:rFonts w:asciiTheme="minorHAnsi" w:eastAsiaTheme="minorEastAsia" w:hAnsiTheme="minorHAnsi" w:cstheme="minorBidi"/>
          <w:noProof/>
          <w:sz w:val="22"/>
          <w:szCs w:val="22"/>
        </w:rPr>
      </w:pPr>
      <w:r w:rsidRPr="00156497">
        <w:rPr>
          <w:lang w:val="en-GB"/>
        </w:rPr>
        <w:fldChar w:fldCharType="begin"/>
      </w:r>
      <w:r w:rsidRPr="00156497">
        <w:rPr>
          <w:lang w:val="en-GB"/>
        </w:rPr>
        <w:instrText xml:space="preserve"> TOC \o "1-3" \h \z \u </w:instrText>
      </w:r>
      <w:r w:rsidRPr="00156497">
        <w:rPr>
          <w:lang w:val="en-GB"/>
        </w:rPr>
        <w:fldChar w:fldCharType="separate"/>
      </w:r>
      <w:hyperlink w:anchor="_Toc517779058" w:history="1">
        <w:r w:rsidR="002D4B4B" w:rsidRPr="001B18FA">
          <w:rPr>
            <w:rStyle w:val="Hyperlink"/>
            <w:noProof/>
            <w:lang w:val="en-GB"/>
          </w:rPr>
          <w:t>ARTICLE 1 DEFINITION</w:t>
        </w:r>
        <w:r w:rsidR="002D4B4B">
          <w:rPr>
            <w:noProof/>
            <w:webHidden/>
          </w:rPr>
          <w:tab/>
        </w:r>
        <w:r w:rsidR="002D4B4B">
          <w:rPr>
            <w:noProof/>
            <w:webHidden/>
          </w:rPr>
          <w:fldChar w:fldCharType="begin"/>
        </w:r>
        <w:r w:rsidR="002D4B4B">
          <w:rPr>
            <w:noProof/>
            <w:webHidden/>
          </w:rPr>
          <w:instrText xml:space="preserve"> PAGEREF _Toc517779058 \h </w:instrText>
        </w:r>
        <w:r w:rsidR="002D4B4B">
          <w:rPr>
            <w:noProof/>
            <w:webHidden/>
          </w:rPr>
        </w:r>
        <w:r w:rsidR="002D4B4B">
          <w:rPr>
            <w:noProof/>
            <w:webHidden/>
          </w:rPr>
          <w:fldChar w:fldCharType="separate"/>
        </w:r>
        <w:r w:rsidR="00BE7874">
          <w:rPr>
            <w:noProof/>
            <w:webHidden/>
          </w:rPr>
          <w:t>2</w:t>
        </w:r>
        <w:r w:rsidR="002D4B4B">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59" w:history="1">
        <w:r w:rsidRPr="001B18FA">
          <w:rPr>
            <w:rStyle w:val="Hyperlink"/>
            <w:noProof/>
            <w:lang w:val="en-GB"/>
          </w:rPr>
          <w:t>ARTICLE 2 COVERAGE</w:t>
        </w:r>
        <w:r>
          <w:rPr>
            <w:noProof/>
            <w:webHidden/>
          </w:rPr>
          <w:tab/>
        </w:r>
        <w:r>
          <w:rPr>
            <w:noProof/>
            <w:webHidden/>
          </w:rPr>
          <w:fldChar w:fldCharType="begin"/>
        </w:r>
        <w:r>
          <w:rPr>
            <w:noProof/>
            <w:webHidden/>
          </w:rPr>
          <w:instrText xml:space="preserve"> PAGEREF _Toc517779059 \h </w:instrText>
        </w:r>
        <w:r>
          <w:rPr>
            <w:noProof/>
            <w:webHidden/>
          </w:rPr>
        </w:r>
        <w:r>
          <w:rPr>
            <w:noProof/>
            <w:webHidden/>
          </w:rPr>
          <w:fldChar w:fldCharType="separate"/>
        </w:r>
        <w:r w:rsidR="00BE7874">
          <w:rPr>
            <w:noProof/>
            <w:webHidden/>
          </w:rPr>
          <w:t>3</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0" w:history="1">
        <w:r w:rsidRPr="001B18FA">
          <w:rPr>
            <w:rStyle w:val="Hyperlink"/>
            <w:noProof/>
            <w:lang w:val="en-GB"/>
          </w:rPr>
          <w:t>ARTICLE 3 OBJECTIVES</w:t>
        </w:r>
        <w:r>
          <w:rPr>
            <w:noProof/>
            <w:webHidden/>
          </w:rPr>
          <w:tab/>
        </w:r>
        <w:r>
          <w:rPr>
            <w:noProof/>
            <w:webHidden/>
          </w:rPr>
          <w:fldChar w:fldCharType="begin"/>
        </w:r>
        <w:r>
          <w:rPr>
            <w:noProof/>
            <w:webHidden/>
          </w:rPr>
          <w:instrText xml:space="preserve"> PAGEREF _Toc517779060 \h </w:instrText>
        </w:r>
        <w:r>
          <w:rPr>
            <w:noProof/>
            <w:webHidden/>
          </w:rPr>
        </w:r>
        <w:r>
          <w:rPr>
            <w:noProof/>
            <w:webHidden/>
          </w:rPr>
          <w:fldChar w:fldCharType="separate"/>
        </w:r>
        <w:r w:rsidR="00BE7874">
          <w:rPr>
            <w:noProof/>
            <w:webHidden/>
          </w:rPr>
          <w:t>3</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1" w:history="1">
        <w:r w:rsidRPr="001B18FA">
          <w:rPr>
            <w:rStyle w:val="Hyperlink"/>
            <w:noProof/>
            <w:lang w:val="en-GB"/>
          </w:rPr>
          <w:t>ARTICLE 4 FEATURES</w:t>
        </w:r>
        <w:r>
          <w:rPr>
            <w:noProof/>
            <w:webHidden/>
          </w:rPr>
          <w:tab/>
        </w:r>
        <w:r>
          <w:rPr>
            <w:noProof/>
            <w:webHidden/>
          </w:rPr>
          <w:fldChar w:fldCharType="begin"/>
        </w:r>
        <w:r>
          <w:rPr>
            <w:noProof/>
            <w:webHidden/>
          </w:rPr>
          <w:instrText xml:space="preserve"> PAGEREF _Toc517779061 \h </w:instrText>
        </w:r>
        <w:r>
          <w:rPr>
            <w:noProof/>
            <w:webHidden/>
          </w:rPr>
        </w:r>
        <w:r>
          <w:rPr>
            <w:noProof/>
            <w:webHidden/>
          </w:rPr>
          <w:fldChar w:fldCharType="separate"/>
        </w:r>
        <w:r w:rsidR="00BE7874">
          <w:rPr>
            <w:noProof/>
            <w:webHidden/>
          </w:rPr>
          <w:t>4</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2" w:history="1">
        <w:r w:rsidRPr="001B18FA">
          <w:rPr>
            <w:rStyle w:val="Hyperlink"/>
            <w:noProof/>
            <w:lang w:val="en-GB"/>
          </w:rPr>
          <w:t>ARTICLE 5 GENERAL OBLIGATIONS</w:t>
        </w:r>
        <w:r>
          <w:rPr>
            <w:noProof/>
            <w:webHidden/>
          </w:rPr>
          <w:tab/>
        </w:r>
        <w:r>
          <w:rPr>
            <w:noProof/>
            <w:webHidden/>
          </w:rPr>
          <w:fldChar w:fldCharType="begin"/>
        </w:r>
        <w:r>
          <w:rPr>
            <w:noProof/>
            <w:webHidden/>
          </w:rPr>
          <w:instrText xml:space="preserve"> PAGEREF _Toc517779062 \h </w:instrText>
        </w:r>
        <w:r>
          <w:rPr>
            <w:noProof/>
            <w:webHidden/>
          </w:rPr>
        </w:r>
        <w:r>
          <w:rPr>
            <w:noProof/>
            <w:webHidden/>
          </w:rPr>
          <w:fldChar w:fldCharType="separate"/>
        </w:r>
        <w:r w:rsidR="00BE7874">
          <w:rPr>
            <w:noProof/>
            <w:webHidden/>
          </w:rPr>
          <w:t>4</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3" w:history="1">
        <w:r w:rsidRPr="001B18FA">
          <w:rPr>
            <w:rStyle w:val="Hyperlink"/>
            <w:noProof/>
            <w:lang w:val="en-GB"/>
          </w:rPr>
          <w:t>ARTICLE 6 PROGRAMMES AND ACTION PLANS</w:t>
        </w:r>
        <w:r>
          <w:rPr>
            <w:noProof/>
            <w:webHidden/>
          </w:rPr>
          <w:tab/>
        </w:r>
        <w:r>
          <w:rPr>
            <w:noProof/>
            <w:webHidden/>
          </w:rPr>
          <w:fldChar w:fldCharType="begin"/>
        </w:r>
        <w:r>
          <w:rPr>
            <w:noProof/>
            <w:webHidden/>
          </w:rPr>
          <w:instrText xml:space="preserve"> PAGEREF _Toc517779063 \h </w:instrText>
        </w:r>
        <w:r>
          <w:rPr>
            <w:noProof/>
            <w:webHidden/>
          </w:rPr>
        </w:r>
        <w:r>
          <w:rPr>
            <w:noProof/>
            <w:webHidden/>
          </w:rPr>
          <w:fldChar w:fldCharType="separate"/>
        </w:r>
        <w:r w:rsidR="00BE7874">
          <w:rPr>
            <w:noProof/>
            <w:webHidden/>
          </w:rPr>
          <w:t>4</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4" w:history="1">
        <w:r w:rsidRPr="001B18FA">
          <w:rPr>
            <w:rStyle w:val="Hyperlink"/>
            <w:noProof/>
            <w:lang w:val="en-GB"/>
          </w:rPr>
          <w:t>ARTICLE 7 OPENING UP OF INDUSTRIES AND NATIONAL</w:t>
        </w:r>
        <w:r w:rsidRPr="001B18FA">
          <w:rPr>
            <w:rStyle w:val="Hyperlink"/>
            <w:noProof/>
            <w:kern w:val="32"/>
            <w:lang w:val="en-GB"/>
          </w:rPr>
          <w:t xml:space="preserve"> </w:t>
        </w:r>
        <w:r w:rsidRPr="001B18FA">
          <w:rPr>
            <w:rStyle w:val="Hyperlink"/>
            <w:noProof/>
            <w:lang w:val="en-GB"/>
          </w:rPr>
          <w:t>TREATMENT</w:t>
        </w:r>
        <w:r>
          <w:rPr>
            <w:noProof/>
            <w:webHidden/>
          </w:rPr>
          <w:tab/>
        </w:r>
        <w:r>
          <w:rPr>
            <w:noProof/>
            <w:webHidden/>
          </w:rPr>
          <w:fldChar w:fldCharType="begin"/>
        </w:r>
        <w:r>
          <w:rPr>
            <w:noProof/>
            <w:webHidden/>
          </w:rPr>
          <w:instrText xml:space="preserve"> PAGEREF _Toc517779064 \h </w:instrText>
        </w:r>
        <w:r>
          <w:rPr>
            <w:noProof/>
            <w:webHidden/>
          </w:rPr>
        </w:r>
        <w:r>
          <w:rPr>
            <w:noProof/>
            <w:webHidden/>
          </w:rPr>
          <w:fldChar w:fldCharType="separate"/>
        </w:r>
        <w:r w:rsidR="00BE7874">
          <w:rPr>
            <w:noProof/>
            <w:webHidden/>
          </w:rPr>
          <w:t>5</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5" w:history="1">
        <w:r w:rsidRPr="001B18FA">
          <w:rPr>
            <w:rStyle w:val="Hyperlink"/>
            <w:noProof/>
            <w:lang w:val="en-GB"/>
          </w:rPr>
          <w:t>ARTICLE 8 MOST FAVOURED NATION TREATMENT</w:t>
        </w:r>
        <w:r>
          <w:rPr>
            <w:noProof/>
            <w:webHidden/>
          </w:rPr>
          <w:tab/>
        </w:r>
        <w:r>
          <w:rPr>
            <w:noProof/>
            <w:webHidden/>
          </w:rPr>
          <w:fldChar w:fldCharType="begin"/>
        </w:r>
        <w:r>
          <w:rPr>
            <w:noProof/>
            <w:webHidden/>
          </w:rPr>
          <w:instrText xml:space="preserve"> PAGEREF _Toc517779065 \h </w:instrText>
        </w:r>
        <w:r>
          <w:rPr>
            <w:noProof/>
            <w:webHidden/>
          </w:rPr>
        </w:r>
        <w:r>
          <w:rPr>
            <w:noProof/>
            <w:webHidden/>
          </w:rPr>
          <w:fldChar w:fldCharType="separate"/>
        </w:r>
        <w:r w:rsidR="00BE7874">
          <w:rPr>
            <w:noProof/>
            <w:webHidden/>
          </w:rPr>
          <w:t>5</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6" w:history="1">
        <w:r w:rsidRPr="001B18FA">
          <w:rPr>
            <w:rStyle w:val="Hyperlink"/>
            <w:noProof/>
            <w:lang w:val="en-GB"/>
          </w:rPr>
          <w:t>ARTICLE 9 WAIVER OF MOST FAVOURED NATION TREATMENT</w:t>
        </w:r>
        <w:r>
          <w:rPr>
            <w:noProof/>
            <w:webHidden/>
          </w:rPr>
          <w:tab/>
        </w:r>
        <w:r>
          <w:rPr>
            <w:noProof/>
            <w:webHidden/>
          </w:rPr>
          <w:fldChar w:fldCharType="begin"/>
        </w:r>
        <w:r>
          <w:rPr>
            <w:noProof/>
            <w:webHidden/>
          </w:rPr>
          <w:instrText xml:space="preserve"> PAGEREF _Toc517779066 \h </w:instrText>
        </w:r>
        <w:r>
          <w:rPr>
            <w:noProof/>
            <w:webHidden/>
          </w:rPr>
        </w:r>
        <w:r>
          <w:rPr>
            <w:noProof/>
            <w:webHidden/>
          </w:rPr>
          <w:fldChar w:fldCharType="separate"/>
        </w:r>
        <w:r w:rsidR="00BE7874">
          <w:rPr>
            <w:noProof/>
            <w:webHidden/>
          </w:rPr>
          <w:t>6</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7" w:history="1">
        <w:r w:rsidRPr="001B18FA">
          <w:rPr>
            <w:rStyle w:val="Hyperlink"/>
            <w:noProof/>
            <w:lang w:val="en-GB"/>
          </w:rPr>
          <w:t>ARTICLE 10 MODIFICATION OF SCHEDULES, ANNEXES AND</w:t>
        </w:r>
        <w:r w:rsidRPr="001B18FA">
          <w:rPr>
            <w:rStyle w:val="Hyperlink"/>
            <w:noProof/>
            <w:kern w:val="32"/>
            <w:lang w:val="en-GB"/>
          </w:rPr>
          <w:t xml:space="preserve"> ACTION PLANS</w:t>
        </w:r>
        <w:r>
          <w:rPr>
            <w:noProof/>
            <w:webHidden/>
          </w:rPr>
          <w:tab/>
        </w:r>
        <w:r>
          <w:rPr>
            <w:noProof/>
            <w:webHidden/>
          </w:rPr>
          <w:fldChar w:fldCharType="begin"/>
        </w:r>
        <w:r>
          <w:rPr>
            <w:noProof/>
            <w:webHidden/>
          </w:rPr>
          <w:instrText xml:space="preserve"> PAGEREF _Toc517779067 \h </w:instrText>
        </w:r>
        <w:r>
          <w:rPr>
            <w:noProof/>
            <w:webHidden/>
          </w:rPr>
        </w:r>
        <w:r>
          <w:rPr>
            <w:noProof/>
            <w:webHidden/>
          </w:rPr>
          <w:fldChar w:fldCharType="separate"/>
        </w:r>
        <w:r w:rsidR="00BE7874">
          <w:rPr>
            <w:noProof/>
            <w:webHidden/>
          </w:rPr>
          <w:t>6</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8" w:history="1">
        <w:r w:rsidRPr="001B18FA">
          <w:rPr>
            <w:rStyle w:val="Hyperlink"/>
            <w:noProof/>
            <w:lang w:val="en-GB"/>
          </w:rPr>
          <w:t>ARTICLE 11 TRANSPARENCY</w:t>
        </w:r>
        <w:r>
          <w:rPr>
            <w:noProof/>
            <w:webHidden/>
          </w:rPr>
          <w:tab/>
        </w:r>
        <w:r>
          <w:rPr>
            <w:noProof/>
            <w:webHidden/>
          </w:rPr>
          <w:fldChar w:fldCharType="begin"/>
        </w:r>
        <w:r>
          <w:rPr>
            <w:noProof/>
            <w:webHidden/>
          </w:rPr>
          <w:instrText xml:space="preserve"> PAGEREF _Toc517779068 \h </w:instrText>
        </w:r>
        <w:r>
          <w:rPr>
            <w:noProof/>
            <w:webHidden/>
          </w:rPr>
        </w:r>
        <w:r>
          <w:rPr>
            <w:noProof/>
            <w:webHidden/>
          </w:rPr>
          <w:fldChar w:fldCharType="separate"/>
        </w:r>
        <w:r w:rsidR="00BE7874">
          <w:rPr>
            <w:noProof/>
            <w:webHidden/>
          </w:rPr>
          <w:t>6</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69" w:history="1">
        <w:r w:rsidRPr="001B18FA">
          <w:rPr>
            <w:rStyle w:val="Hyperlink"/>
            <w:noProof/>
            <w:lang w:val="en-GB"/>
          </w:rPr>
          <w:t>ARTICLE 12 OTHER AGREEMENTS</w:t>
        </w:r>
        <w:r>
          <w:rPr>
            <w:noProof/>
            <w:webHidden/>
          </w:rPr>
          <w:tab/>
        </w:r>
        <w:r>
          <w:rPr>
            <w:noProof/>
            <w:webHidden/>
          </w:rPr>
          <w:fldChar w:fldCharType="begin"/>
        </w:r>
        <w:r>
          <w:rPr>
            <w:noProof/>
            <w:webHidden/>
          </w:rPr>
          <w:instrText xml:space="preserve"> PAGEREF _Toc517779069 \h </w:instrText>
        </w:r>
        <w:r>
          <w:rPr>
            <w:noProof/>
            <w:webHidden/>
          </w:rPr>
        </w:r>
        <w:r>
          <w:rPr>
            <w:noProof/>
            <w:webHidden/>
          </w:rPr>
          <w:fldChar w:fldCharType="separate"/>
        </w:r>
        <w:r w:rsidR="00BE7874">
          <w:rPr>
            <w:noProof/>
            <w:webHidden/>
          </w:rPr>
          <w:t>7</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0" w:history="1">
        <w:r w:rsidRPr="001B18FA">
          <w:rPr>
            <w:rStyle w:val="Hyperlink"/>
            <w:noProof/>
            <w:lang w:val="en-GB"/>
          </w:rPr>
          <w:t>ARTICLE 13 GENERAL EXCEPTIONS</w:t>
        </w:r>
        <w:r>
          <w:rPr>
            <w:noProof/>
            <w:webHidden/>
          </w:rPr>
          <w:tab/>
        </w:r>
        <w:r>
          <w:rPr>
            <w:noProof/>
            <w:webHidden/>
          </w:rPr>
          <w:fldChar w:fldCharType="begin"/>
        </w:r>
        <w:r>
          <w:rPr>
            <w:noProof/>
            <w:webHidden/>
          </w:rPr>
          <w:instrText xml:space="preserve"> PAGEREF _Toc517779070 \h </w:instrText>
        </w:r>
        <w:r>
          <w:rPr>
            <w:noProof/>
            <w:webHidden/>
          </w:rPr>
        </w:r>
        <w:r>
          <w:rPr>
            <w:noProof/>
            <w:webHidden/>
          </w:rPr>
          <w:fldChar w:fldCharType="separate"/>
        </w:r>
        <w:r w:rsidR="00BE7874">
          <w:rPr>
            <w:noProof/>
            <w:webHidden/>
          </w:rPr>
          <w:t>7</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1" w:history="1">
        <w:r w:rsidRPr="001B18FA">
          <w:rPr>
            <w:rStyle w:val="Hyperlink"/>
            <w:noProof/>
            <w:lang w:val="en-GB"/>
          </w:rPr>
          <w:t>ARTICLE 14 EMERGENCY SAFEGUARD MEASURES</w:t>
        </w:r>
        <w:r>
          <w:rPr>
            <w:noProof/>
            <w:webHidden/>
          </w:rPr>
          <w:tab/>
        </w:r>
        <w:r>
          <w:rPr>
            <w:noProof/>
            <w:webHidden/>
          </w:rPr>
          <w:fldChar w:fldCharType="begin"/>
        </w:r>
        <w:r>
          <w:rPr>
            <w:noProof/>
            <w:webHidden/>
          </w:rPr>
          <w:instrText xml:space="preserve"> PAGEREF _Toc517779071 \h </w:instrText>
        </w:r>
        <w:r>
          <w:rPr>
            <w:noProof/>
            <w:webHidden/>
          </w:rPr>
        </w:r>
        <w:r>
          <w:rPr>
            <w:noProof/>
            <w:webHidden/>
          </w:rPr>
          <w:fldChar w:fldCharType="separate"/>
        </w:r>
        <w:r w:rsidR="00BE7874">
          <w:rPr>
            <w:noProof/>
            <w:webHidden/>
          </w:rPr>
          <w:t>7</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2" w:history="1">
        <w:r w:rsidRPr="001B18FA">
          <w:rPr>
            <w:rStyle w:val="Hyperlink"/>
            <w:noProof/>
            <w:lang w:val="en-GB"/>
          </w:rPr>
          <w:t>ARTICLE 15 MEASURES TO SAFEGUARD THE BALANCE OF</w:t>
        </w:r>
        <w:r w:rsidRPr="001B18FA">
          <w:rPr>
            <w:rStyle w:val="Hyperlink"/>
            <w:noProof/>
            <w:kern w:val="32"/>
            <w:lang w:val="en-GB"/>
          </w:rPr>
          <w:t xml:space="preserve"> </w:t>
        </w:r>
        <w:r w:rsidRPr="001B18FA">
          <w:rPr>
            <w:rStyle w:val="Hyperlink"/>
            <w:noProof/>
            <w:lang w:val="en-GB"/>
          </w:rPr>
          <w:t>PAYMENTS</w:t>
        </w:r>
        <w:r>
          <w:rPr>
            <w:noProof/>
            <w:webHidden/>
          </w:rPr>
          <w:tab/>
        </w:r>
        <w:r>
          <w:rPr>
            <w:noProof/>
            <w:webHidden/>
          </w:rPr>
          <w:fldChar w:fldCharType="begin"/>
        </w:r>
        <w:r>
          <w:rPr>
            <w:noProof/>
            <w:webHidden/>
          </w:rPr>
          <w:instrText xml:space="preserve"> PAGEREF _Toc517779072 \h </w:instrText>
        </w:r>
        <w:r>
          <w:rPr>
            <w:noProof/>
            <w:webHidden/>
          </w:rPr>
        </w:r>
        <w:r>
          <w:rPr>
            <w:noProof/>
            <w:webHidden/>
          </w:rPr>
          <w:fldChar w:fldCharType="separate"/>
        </w:r>
        <w:r w:rsidR="00BE7874">
          <w:rPr>
            <w:noProof/>
            <w:webHidden/>
          </w:rPr>
          <w:t>8</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3" w:history="1">
        <w:r w:rsidRPr="001B18FA">
          <w:rPr>
            <w:rStyle w:val="Hyperlink"/>
            <w:noProof/>
            <w:lang w:val="en-GB"/>
          </w:rPr>
          <w:t>ARTICLE 16 INSTITUTIONAL ARRANGEMENTS</w:t>
        </w:r>
        <w:r>
          <w:rPr>
            <w:noProof/>
            <w:webHidden/>
          </w:rPr>
          <w:tab/>
        </w:r>
        <w:r>
          <w:rPr>
            <w:noProof/>
            <w:webHidden/>
          </w:rPr>
          <w:fldChar w:fldCharType="begin"/>
        </w:r>
        <w:r>
          <w:rPr>
            <w:noProof/>
            <w:webHidden/>
          </w:rPr>
          <w:instrText xml:space="preserve"> PAGEREF _Toc517779073 \h </w:instrText>
        </w:r>
        <w:r>
          <w:rPr>
            <w:noProof/>
            <w:webHidden/>
          </w:rPr>
        </w:r>
        <w:r>
          <w:rPr>
            <w:noProof/>
            <w:webHidden/>
          </w:rPr>
          <w:fldChar w:fldCharType="separate"/>
        </w:r>
        <w:r w:rsidR="00BE7874">
          <w:rPr>
            <w:noProof/>
            <w:webHidden/>
          </w:rPr>
          <w:t>8</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4" w:history="1">
        <w:r w:rsidRPr="001B18FA">
          <w:rPr>
            <w:rStyle w:val="Hyperlink"/>
            <w:noProof/>
            <w:lang w:val="en-GB"/>
          </w:rPr>
          <w:t>ARTICLE 17 SETTLEMENT OF DISPUTES</w:t>
        </w:r>
        <w:r>
          <w:rPr>
            <w:noProof/>
            <w:webHidden/>
          </w:rPr>
          <w:tab/>
        </w:r>
        <w:r>
          <w:rPr>
            <w:noProof/>
            <w:webHidden/>
          </w:rPr>
          <w:fldChar w:fldCharType="begin"/>
        </w:r>
        <w:r>
          <w:rPr>
            <w:noProof/>
            <w:webHidden/>
          </w:rPr>
          <w:instrText xml:space="preserve"> PAGEREF _Toc517779074 \h </w:instrText>
        </w:r>
        <w:r>
          <w:rPr>
            <w:noProof/>
            <w:webHidden/>
          </w:rPr>
        </w:r>
        <w:r>
          <w:rPr>
            <w:noProof/>
            <w:webHidden/>
          </w:rPr>
          <w:fldChar w:fldCharType="separate"/>
        </w:r>
        <w:r w:rsidR="00BE7874">
          <w:rPr>
            <w:noProof/>
            <w:webHidden/>
          </w:rPr>
          <w:t>9</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5" w:history="1">
        <w:r w:rsidRPr="001B18FA">
          <w:rPr>
            <w:rStyle w:val="Hyperlink"/>
            <w:noProof/>
            <w:lang w:val="en-GB"/>
          </w:rPr>
          <w:t>ARTICLE 18 AMENDMENTS</w:t>
        </w:r>
        <w:r>
          <w:rPr>
            <w:noProof/>
            <w:webHidden/>
          </w:rPr>
          <w:tab/>
        </w:r>
        <w:r>
          <w:rPr>
            <w:noProof/>
            <w:webHidden/>
          </w:rPr>
          <w:fldChar w:fldCharType="begin"/>
        </w:r>
        <w:r>
          <w:rPr>
            <w:noProof/>
            <w:webHidden/>
          </w:rPr>
          <w:instrText xml:space="preserve"> PAGEREF _Toc517779075 \h </w:instrText>
        </w:r>
        <w:r>
          <w:rPr>
            <w:noProof/>
            <w:webHidden/>
          </w:rPr>
        </w:r>
        <w:r>
          <w:rPr>
            <w:noProof/>
            <w:webHidden/>
          </w:rPr>
          <w:fldChar w:fldCharType="separate"/>
        </w:r>
        <w:r w:rsidR="00BE7874">
          <w:rPr>
            <w:noProof/>
            <w:webHidden/>
          </w:rPr>
          <w:t>9</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6" w:history="1">
        <w:r w:rsidRPr="001B18FA">
          <w:rPr>
            <w:rStyle w:val="Hyperlink"/>
            <w:noProof/>
            <w:lang w:val="en-GB"/>
          </w:rPr>
          <w:t>ARTICLE 19 SUPPLEMENTARY AGREEMENTS OR</w:t>
        </w:r>
        <w:r w:rsidRPr="001B18FA">
          <w:rPr>
            <w:rStyle w:val="Hyperlink"/>
            <w:noProof/>
            <w:kern w:val="32"/>
            <w:lang w:val="en-GB"/>
          </w:rPr>
          <w:t xml:space="preserve"> </w:t>
        </w:r>
        <w:r w:rsidRPr="001B18FA">
          <w:rPr>
            <w:rStyle w:val="Hyperlink"/>
            <w:noProof/>
            <w:lang w:val="en-GB"/>
          </w:rPr>
          <w:t>ARRANGEMENTS</w:t>
        </w:r>
        <w:r>
          <w:rPr>
            <w:noProof/>
            <w:webHidden/>
          </w:rPr>
          <w:tab/>
        </w:r>
        <w:r>
          <w:rPr>
            <w:noProof/>
            <w:webHidden/>
          </w:rPr>
          <w:fldChar w:fldCharType="begin"/>
        </w:r>
        <w:r>
          <w:rPr>
            <w:noProof/>
            <w:webHidden/>
          </w:rPr>
          <w:instrText xml:space="preserve"> PAGEREF _Toc517779076 \h </w:instrText>
        </w:r>
        <w:r>
          <w:rPr>
            <w:noProof/>
            <w:webHidden/>
          </w:rPr>
        </w:r>
        <w:r>
          <w:rPr>
            <w:noProof/>
            <w:webHidden/>
          </w:rPr>
          <w:fldChar w:fldCharType="separate"/>
        </w:r>
        <w:r w:rsidR="00BE7874">
          <w:rPr>
            <w:noProof/>
            <w:webHidden/>
          </w:rPr>
          <w:t>9</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7" w:history="1">
        <w:r w:rsidRPr="001B18FA">
          <w:rPr>
            <w:rStyle w:val="Hyperlink"/>
            <w:noProof/>
            <w:lang w:val="en-GB"/>
          </w:rPr>
          <w:t>ARTICLE 20 ACCESSION OF NEW MEMBERS</w:t>
        </w:r>
        <w:r>
          <w:rPr>
            <w:noProof/>
            <w:webHidden/>
          </w:rPr>
          <w:tab/>
        </w:r>
        <w:r>
          <w:rPr>
            <w:noProof/>
            <w:webHidden/>
          </w:rPr>
          <w:fldChar w:fldCharType="begin"/>
        </w:r>
        <w:r>
          <w:rPr>
            <w:noProof/>
            <w:webHidden/>
          </w:rPr>
          <w:instrText xml:space="preserve"> PAGEREF _Toc517779077 \h </w:instrText>
        </w:r>
        <w:r>
          <w:rPr>
            <w:noProof/>
            <w:webHidden/>
          </w:rPr>
        </w:r>
        <w:r>
          <w:rPr>
            <w:noProof/>
            <w:webHidden/>
          </w:rPr>
          <w:fldChar w:fldCharType="separate"/>
        </w:r>
        <w:r w:rsidR="00BE7874">
          <w:rPr>
            <w:noProof/>
            <w:webHidden/>
          </w:rPr>
          <w:t>9</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8" w:history="1">
        <w:r w:rsidRPr="001B18FA">
          <w:rPr>
            <w:rStyle w:val="Hyperlink"/>
            <w:noProof/>
            <w:lang w:val="en-GB"/>
          </w:rPr>
          <w:t>ARTICLE 21  FINAL PROVISIONS</w:t>
        </w:r>
        <w:r>
          <w:rPr>
            <w:noProof/>
            <w:webHidden/>
          </w:rPr>
          <w:tab/>
        </w:r>
        <w:r>
          <w:rPr>
            <w:noProof/>
            <w:webHidden/>
          </w:rPr>
          <w:fldChar w:fldCharType="begin"/>
        </w:r>
        <w:r>
          <w:rPr>
            <w:noProof/>
            <w:webHidden/>
          </w:rPr>
          <w:instrText xml:space="preserve"> PAGEREF _Toc517779078 \h </w:instrText>
        </w:r>
        <w:r>
          <w:rPr>
            <w:noProof/>
            <w:webHidden/>
          </w:rPr>
        </w:r>
        <w:r>
          <w:rPr>
            <w:noProof/>
            <w:webHidden/>
          </w:rPr>
          <w:fldChar w:fldCharType="separate"/>
        </w:r>
        <w:r w:rsidR="00BE7874">
          <w:rPr>
            <w:noProof/>
            <w:webHidden/>
          </w:rPr>
          <w:t>9</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79" w:history="1">
        <w:r w:rsidRPr="001B18FA">
          <w:rPr>
            <w:rStyle w:val="Hyperlink"/>
            <w:noProof/>
            <w:lang w:val="en-GB"/>
          </w:rPr>
          <w:t xml:space="preserve">SCHEDULE I  FRAMEWORK AGREEMENT ON THE ASEAN INVESTMENT AREA (AIA) </w:t>
        </w:r>
        <w:r w:rsidRPr="001B18FA">
          <w:rPr>
            <w:rStyle w:val="Hyperlink"/>
            <w:noProof/>
          </w:rPr>
          <w:t>Co-Operation And Facilitation Programme</w:t>
        </w:r>
        <w:r>
          <w:rPr>
            <w:noProof/>
            <w:webHidden/>
          </w:rPr>
          <w:tab/>
        </w:r>
        <w:r>
          <w:rPr>
            <w:noProof/>
            <w:webHidden/>
          </w:rPr>
          <w:fldChar w:fldCharType="begin"/>
        </w:r>
        <w:r>
          <w:rPr>
            <w:noProof/>
            <w:webHidden/>
          </w:rPr>
          <w:instrText xml:space="preserve"> PAGEREF _Toc517779079 \h </w:instrText>
        </w:r>
        <w:r>
          <w:rPr>
            <w:noProof/>
            <w:webHidden/>
          </w:rPr>
        </w:r>
        <w:r>
          <w:rPr>
            <w:noProof/>
            <w:webHidden/>
          </w:rPr>
          <w:fldChar w:fldCharType="separate"/>
        </w:r>
        <w:r w:rsidR="00BE7874">
          <w:rPr>
            <w:noProof/>
            <w:webHidden/>
          </w:rPr>
          <w:t>11</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80" w:history="1">
        <w:r w:rsidRPr="001B18FA">
          <w:rPr>
            <w:rStyle w:val="Hyperlink"/>
            <w:noProof/>
            <w:lang w:val="en-GB"/>
          </w:rPr>
          <w:t xml:space="preserve">SCHEDULE II FRAMEWORK AGREEMENT ON THE ASEAN INVESTMENT AREA (AIA) </w:t>
        </w:r>
        <w:r w:rsidRPr="001B18FA">
          <w:rPr>
            <w:rStyle w:val="Hyperlink"/>
            <w:noProof/>
          </w:rPr>
          <w:t>Promotion And Awareness Programme</w:t>
        </w:r>
        <w:r>
          <w:rPr>
            <w:noProof/>
            <w:webHidden/>
          </w:rPr>
          <w:tab/>
        </w:r>
        <w:r>
          <w:rPr>
            <w:noProof/>
            <w:webHidden/>
          </w:rPr>
          <w:fldChar w:fldCharType="begin"/>
        </w:r>
        <w:r>
          <w:rPr>
            <w:noProof/>
            <w:webHidden/>
          </w:rPr>
          <w:instrText xml:space="preserve"> PAGEREF _Toc517779080 \h </w:instrText>
        </w:r>
        <w:r>
          <w:rPr>
            <w:noProof/>
            <w:webHidden/>
          </w:rPr>
        </w:r>
        <w:r>
          <w:rPr>
            <w:noProof/>
            <w:webHidden/>
          </w:rPr>
          <w:fldChar w:fldCharType="separate"/>
        </w:r>
        <w:r w:rsidR="00BE7874">
          <w:rPr>
            <w:noProof/>
            <w:webHidden/>
          </w:rPr>
          <w:t>12</w:t>
        </w:r>
        <w:r>
          <w:rPr>
            <w:noProof/>
            <w:webHidden/>
          </w:rPr>
          <w:fldChar w:fldCharType="end"/>
        </w:r>
      </w:hyperlink>
    </w:p>
    <w:p w:rsidR="002D4B4B" w:rsidRDefault="002D4B4B">
      <w:pPr>
        <w:pStyle w:val="TOC1"/>
        <w:rPr>
          <w:rFonts w:asciiTheme="minorHAnsi" w:eastAsiaTheme="minorEastAsia" w:hAnsiTheme="minorHAnsi" w:cstheme="minorBidi"/>
          <w:noProof/>
          <w:sz w:val="22"/>
          <w:szCs w:val="22"/>
        </w:rPr>
      </w:pPr>
      <w:hyperlink w:anchor="_Toc517779081" w:history="1">
        <w:r w:rsidRPr="001B18FA">
          <w:rPr>
            <w:rStyle w:val="Hyperlink"/>
            <w:noProof/>
            <w:lang w:val="en-GB"/>
          </w:rPr>
          <w:t xml:space="preserve">SCHEDULE III FRAMEWORK AGREEMENT ON THE ASEAN INVESTMENT AREA (AIA) </w:t>
        </w:r>
        <w:r w:rsidRPr="001B18FA">
          <w:rPr>
            <w:rStyle w:val="Hyperlink"/>
            <w:noProof/>
          </w:rPr>
          <w:t>Liberalisation Programme</w:t>
        </w:r>
        <w:r>
          <w:rPr>
            <w:noProof/>
            <w:webHidden/>
          </w:rPr>
          <w:tab/>
        </w:r>
        <w:r>
          <w:rPr>
            <w:noProof/>
            <w:webHidden/>
          </w:rPr>
          <w:fldChar w:fldCharType="begin"/>
        </w:r>
        <w:r>
          <w:rPr>
            <w:noProof/>
            <w:webHidden/>
          </w:rPr>
          <w:instrText xml:space="preserve"> PAGEREF _Toc517779081 \h </w:instrText>
        </w:r>
        <w:r>
          <w:rPr>
            <w:noProof/>
            <w:webHidden/>
          </w:rPr>
        </w:r>
        <w:r>
          <w:rPr>
            <w:noProof/>
            <w:webHidden/>
          </w:rPr>
          <w:fldChar w:fldCharType="separate"/>
        </w:r>
        <w:r w:rsidR="00BE7874">
          <w:rPr>
            <w:noProof/>
            <w:webHidden/>
          </w:rPr>
          <w:t>13</w:t>
        </w:r>
        <w:r>
          <w:rPr>
            <w:noProof/>
            <w:webHidden/>
          </w:rPr>
          <w:fldChar w:fldCharType="end"/>
        </w:r>
      </w:hyperlink>
    </w:p>
    <w:p w:rsidR="00055C64" w:rsidRPr="00156497" w:rsidRDefault="00055C64" w:rsidP="001E465D">
      <w:pPr>
        <w:rPr>
          <w:lang w:val="en-GB"/>
        </w:rPr>
      </w:pPr>
      <w:r w:rsidRPr="00156497">
        <w:rPr>
          <w:b/>
          <w:bCs/>
          <w:noProof/>
          <w:lang w:val="en-GB"/>
        </w:rPr>
        <w:fldChar w:fldCharType="end"/>
      </w:r>
    </w:p>
    <w:p w:rsidR="00055C64" w:rsidRPr="00156497" w:rsidRDefault="00055C64" w:rsidP="001E465D">
      <w:pPr>
        <w:rPr>
          <w:rFonts w:eastAsia="Times New Roman"/>
          <w:lang w:val="en-GB" w:eastAsia="zh-CN"/>
        </w:rPr>
      </w:pPr>
    </w:p>
    <w:p w:rsidR="001E465D" w:rsidRPr="00156497" w:rsidRDefault="00055C64" w:rsidP="001E465D">
      <w:pPr>
        <w:pStyle w:val="CILTitle"/>
      </w:pPr>
      <w:r w:rsidRPr="00156497">
        <w:rPr>
          <w:sz w:val="20"/>
          <w:szCs w:val="20"/>
        </w:rPr>
        <w:br w:type="page"/>
      </w:r>
      <w:r w:rsidR="001E465D" w:rsidRPr="00156497">
        <w:lastRenderedPageBreak/>
        <w:t xml:space="preserve">1998 Framework Agreement on THE </w:t>
      </w:r>
      <w:r w:rsidR="001E465D" w:rsidRPr="00156497">
        <w:br/>
        <w:t>ASEAN Investment Area</w:t>
      </w:r>
    </w:p>
    <w:p w:rsidR="001E465D" w:rsidRPr="00156497" w:rsidRDefault="001E465D" w:rsidP="001E465D">
      <w:pPr>
        <w:pStyle w:val="CILSubtitle"/>
      </w:pPr>
      <w:r w:rsidRPr="00156497">
        <w:t xml:space="preserve">Signed in Makati, Philippines on 7 October 1998 </w:t>
      </w:r>
    </w:p>
    <w:p w:rsidR="00055C64" w:rsidRPr="00156497" w:rsidRDefault="00055C64" w:rsidP="00C90022">
      <w:pPr>
        <w:pStyle w:val="CIL2Heading"/>
      </w:pPr>
    </w:p>
    <w:p w:rsidR="00055C64" w:rsidRPr="00D97852" w:rsidRDefault="00055C64" w:rsidP="001E465D">
      <w:pPr>
        <w:rPr>
          <w:b/>
          <w:lang w:val="en-GB" w:eastAsia="zh-CN"/>
        </w:rPr>
      </w:pPr>
      <w:r w:rsidRPr="00D97852">
        <w:rPr>
          <w:b/>
          <w:lang w:val="en-GB" w:eastAsia="zh-CN"/>
        </w:rPr>
        <w:t>The Governments of Brunei Darussalam, the Republic of Indonesia, the Lao People's Democratic Republic, Malaysia, the Union of Myanmar, the Republic of the Philippines, the Republic of Singapore, the Kingdom of Thailand and the Socialist Republic of Vietnam, Member States of the Association of South-East Asian Nations (ASEAN);</w:t>
      </w:r>
    </w:p>
    <w:p w:rsidR="00055C64" w:rsidRPr="00156497" w:rsidRDefault="00055C64" w:rsidP="001E465D">
      <w:pPr>
        <w:rPr>
          <w:lang w:val="en-GB" w:eastAsia="zh-CN"/>
        </w:rPr>
      </w:pPr>
      <w:r w:rsidRPr="00156497">
        <w:rPr>
          <w:b/>
          <w:bCs/>
          <w:lang w:val="en-GB" w:eastAsia="zh-CN"/>
        </w:rPr>
        <w:t xml:space="preserve">REAFFIRMING </w:t>
      </w:r>
      <w:r w:rsidRPr="00156497">
        <w:rPr>
          <w:lang w:val="en-GB" w:eastAsia="zh-CN"/>
        </w:rPr>
        <w:t>the importance of sustaining economic growth and development in all Member States through joint efforts in liberalising trade and promoting intra-ASEAN trade and investment flows enshrined in the Framework Agreement on Enhancing ASEAN Economic Co-operation signed in Singapore on 28 January 1992;</w:t>
      </w:r>
    </w:p>
    <w:p w:rsidR="00055C64" w:rsidRPr="00156497" w:rsidRDefault="00055C64" w:rsidP="001E465D">
      <w:pPr>
        <w:rPr>
          <w:lang w:val="en-GB" w:eastAsia="zh-CN"/>
        </w:rPr>
      </w:pPr>
      <w:r w:rsidRPr="00156497">
        <w:rPr>
          <w:b/>
          <w:bCs/>
          <w:lang w:val="en-GB" w:eastAsia="zh-CN"/>
        </w:rPr>
        <w:t xml:space="preserve">RECALLING </w:t>
      </w:r>
      <w:r w:rsidRPr="00156497">
        <w:rPr>
          <w:lang w:val="en-GB" w:eastAsia="zh-CN"/>
        </w:rPr>
        <w:t>the decision of the Fifth ASEAN Summit held on 15 December 1995 to establish an ASEAN Investment Area (hereinafter referred to as "AIA"), in order to enhance ASEAN's attractiveness and competitiveness for promoting direct investments;</w:t>
      </w:r>
    </w:p>
    <w:p w:rsidR="00055C64" w:rsidRPr="00156497" w:rsidRDefault="00055C64" w:rsidP="001E465D">
      <w:pPr>
        <w:rPr>
          <w:lang w:val="en-GB" w:eastAsia="zh-CN"/>
        </w:rPr>
      </w:pPr>
      <w:r w:rsidRPr="00156497">
        <w:rPr>
          <w:b/>
          <w:bCs/>
          <w:lang w:val="en-GB" w:eastAsia="zh-CN"/>
        </w:rPr>
        <w:t xml:space="preserve">AFFIRMING </w:t>
      </w:r>
      <w:r w:rsidRPr="00156497">
        <w:rPr>
          <w:lang w:val="en-GB" w:eastAsia="zh-CN"/>
        </w:rPr>
        <w:t>their commitment to the 1987 ASEAN Agreement for the Promotion and Protection of Investments and its 1996 Protocol to enhance investor confidence for investing in ASEAN;</w:t>
      </w:r>
    </w:p>
    <w:p w:rsidR="00055C64" w:rsidRPr="00156497" w:rsidRDefault="00055C64" w:rsidP="001E465D">
      <w:pPr>
        <w:rPr>
          <w:lang w:val="en-GB" w:eastAsia="zh-CN"/>
        </w:rPr>
      </w:pPr>
      <w:r w:rsidRPr="00156497">
        <w:rPr>
          <w:b/>
          <w:bCs/>
          <w:lang w:val="en-GB" w:eastAsia="zh-CN"/>
        </w:rPr>
        <w:t xml:space="preserve">MINDFUL </w:t>
      </w:r>
      <w:r w:rsidRPr="00156497">
        <w:rPr>
          <w:lang w:val="en-GB" w:eastAsia="zh-CN"/>
        </w:rPr>
        <w:t>of the decision to establish an ASEAN Free Trade Area (AFTA) and the implementation of the ASEAN Industrial Co-operation (AICO) Scheme, to encourage greater investment flows into the region;</w:t>
      </w:r>
    </w:p>
    <w:p w:rsidR="00055C64" w:rsidRPr="00156497" w:rsidRDefault="00055C64" w:rsidP="001E465D">
      <w:pPr>
        <w:rPr>
          <w:lang w:val="en-GB" w:eastAsia="zh-CN"/>
        </w:rPr>
      </w:pPr>
      <w:r w:rsidRPr="00156497">
        <w:rPr>
          <w:b/>
          <w:bCs/>
          <w:lang w:val="en-GB" w:eastAsia="zh-CN"/>
        </w:rPr>
        <w:t xml:space="preserve">RECOGNISING </w:t>
      </w:r>
      <w:r w:rsidRPr="00156497">
        <w:rPr>
          <w:lang w:val="en-GB" w:eastAsia="zh-CN"/>
        </w:rPr>
        <w:t>that direct investment is an important source of finance for sustaining the pace of economic, industrial, infrastructure and technology development; hence, the need to attract higher and sustainable level of direct investment flows in ASEAN;</w:t>
      </w:r>
    </w:p>
    <w:p w:rsidR="00055C64" w:rsidRPr="00156497" w:rsidRDefault="00055C64" w:rsidP="001E465D">
      <w:pPr>
        <w:rPr>
          <w:lang w:val="en-GB" w:eastAsia="zh-CN"/>
        </w:rPr>
      </w:pPr>
      <w:r w:rsidRPr="00156497">
        <w:rPr>
          <w:b/>
          <w:bCs/>
          <w:lang w:val="en-GB" w:eastAsia="zh-CN"/>
        </w:rPr>
        <w:t xml:space="preserve">DETERMINED </w:t>
      </w:r>
      <w:r w:rsidRPr="00156497">
        <w:rPr>
          <w:lang w:val="en-GB" w:eastAsia="zh-CN"/>
        </w:rPr>
        <w:t>to realise the vision of ASEAN to establish a competitive ASEAN Investment Area through a more liberal and transparent investment environment by 1st January 2010; and</w:t>
      </w:r>
    </w:p>
    <w:p w:rsidR="00055C64" w:rsidRPr="00156497" w:rsidRDefault="00055C64" w:rsidP="001E465D">
      <w:pPr>
        <w:rPr>
          <w:lang w:val="en-GB" w:eastAsia="zh-CN"/>
        </w:rPr>
      </w:pPr>
      <w:r w:rsidRPr="00156497">
        <w:rPr>
          <w:b/>
          <w:bCs/>
          <w:lang w:val="en-GB" w:eastAsia="zh-CN"/>
        </w:rPr>
        <w:t xml:space="preserve">BEARING IN MIND </w:t>
      </w:r>
      <w:r w:rsidRPr="00156497">
        <w:rPr>
          <w:lang w:val="en-GB" w:eastAsia="zh-CN"/>
        </w:rPr>
        <w:t>that the measures agreed upon to establish a competitive ASEAN Investment Area by 2010 shall contribute towards ASEAN Vision 2020.</w:t>
      </w:r>
    </w:p>
    <w:p w:rsidR="00055C64" w:rsidRPr="00156497" w:rsidRDefault="00055C64" w:rsidP="001E465D">
      <w:pPr>
        <w:rPr>
          <w:rFonts w:eastAsia="Times New Roman"/>
          <w:b/>
          <w:lang w:val="en-GB" w:eastAsia="zh-CN"/>
        </w:rPr>
      </w:pPr>
      <w:r w:rsidRPr="00156497">
        <w:rPr>
          <w:rFonts w:eastAsia="Times New Roman"/>
          <w:b/>
          <w:lang w:val="en-GB" w:eastAsia="zh-CN"/>
        </w:rPr>
        <w:t>HAVE AGREED AS FOLLOWS:</w:t>
      </w:r>
    </w:p>
    <w:p w:rsidR="00055C64" w:rsidRPr="00156497" w:rsidRDefault="00645FF2" w:rsidP="001E465D">
      <w:pPr>
        <w:pStyle w:val="Heading1"/>
        <w:rPr>
          <w:lang w:val="en-GB"/>
        </w:rPr>
      </w:pPr>
      <w:bookmarkStart w:id="5" w:name="_Toc379552178"/>
      <w:bookmarkStart w:id="6" w:name="_Toc517779058"/>
      <w:r w:rsidRPr="0065689F">
        <w:rPr>
          <w:lang w:val="en-GB"/>
        </w:rPr>
        <w:t>ARTICLE 1</w:t>
      </w:r>
      <w:bookmarkStart w:id="7" w:name="_Toc379552179"/>
      <w:bookmarkStart w:id="8" w:name="_Toc248237805"/>
      <w:bookmarkEnd w:id="5"/>
      <w:r w:rsidR="00D97852" w:rsidRPr="0065689F">
        <w:rPr>
          <w:lang w:val="en-GB"/>
        </w:rPr>
        <w:br/>
      </w:r>
      <w:r w:rsidRPr="00156497">
        <w:rPr>
          <w:lang w:val="en-GB"/>
        </w:rPr>
        <w:t>DEFINITION</w:t>
      </w:r>
      <w:bookmarkEnd w:id="6"/>
      <w:bookmarkEnd w:id="7"/>
      <w:bookmarkEnd w:id="8"/>
    </w:p>
    <w:p w:rsidR="00055C64" w:rsidRPr="00156497" w:rsidRDefault="00055C64" w:rsidP="001E465D">
      <w:pPr>
        <w:rPr>
          <w:lang w:val="en-GB" w:eastAsia="zh-CN"/>
        </w:rPr>
      </w:pPr>
      <w:r w:rsidRPr="00156497">
        <w:rPr>
          <w:lang w:val="en-GB" w:eastAsia="zh-CN"/>
        </w:rPr>
        <w:t>For the purpose of this Agreement:</w:t>
      </w:r>
    </w:p>
    <w:p w:rsidR="00055C64" w:rsidRPr="00156497" w:rsidRDefault="00D97852" w:rsidP="001E465D">
      <w:pPr>
        <w:rPr>
          <w:lang w:val="en-GB" w:eastAsia="zh-CN"/>
        </w:rPr>
      </w:pPr>
      <w:r>
        <w:rPr>
          <w:lang w:val="en-GB" w:eastAsia="zh-CN"/>
        </w:rPr>
        <w:t>"ASEAN investor</w:t>
      </w:r>
      <w:r w:rsidR="00055C64" w:rsidRPr="00156497">
        <w:rPr>
          <w:lang w:val="en-GB" w:eastAsia="zh-CN"/>
        </w:rPr>
        <w:t>"</w:t>
      </w:r>
      <w:r>
        <w:rPr>
          <w:lang w:val="en-GB" w:eastAsia="zh-CN"/>
        </w:rPr>
        <w:t xml:space="preserve"> </w:t>
      </w:r>
      <w:r w:rsidR="00055C64" w:rsidRPr="00156497">
        <w:rPr>
          <w:lang w:val="en-GB" w:eastAsia="zh-CN"/>
        </w:rPr>
        <w:t>means -</w:t>
      </w:r>
    </w:p>
    <w:p w:rsidR="00D97852" w:rsidRDefault="00055C64" w:rsidP="001E465D">
      <w:pPr>
        <w:pStyle w:val="ListParagraph"/>
        <w:numPr>
          <w:ilvl w:val="0"/>
          <w:numId w:val="32"/>
        </w:numPr>
        <w:rPr>
          <w:lang w:val="en-GB" w:eastAsia="zh-CN"/>
        </w:rPr>
      </w:pPr>
      <w:r w:rsidRPr="00D97852">
        <w:rPr>
          <w:lang w:val="en-GB" w:eastAsia="zh-CN"/>
        </w:rPr>
        <w:t>a national of a Member State; or</w:t>
      </w:r>
    </w:p>
    <w:p w:rsidR="00135759" w:rsidRDefault="00135759" w:rsidP="00135759">
      <w:pPr>
        <w:pStyle w:val="ListParagraph"/>
        <w:rPr>
          <w:lang w:val="en-GB" w:eastAsia="zh-CN"/>
        </w:rPr>
      </w:pPr>
    </w:p>
    <w:p w:rsidR="00055C64" w:rsidRPr="00D97852" w:rsidRDefault="00055C64" w:rsidP="001E465D">
      <w:pPr>
        <w:pStyle w:val="ListParagraph"/>
        <w:numPr>
          <w:ilvl w:val="0"/>
          <w:numId w:val="32"/>
        </w:numPr>
        <w:rPr>
          <w:lang w:val="en-GB" w:eastAsia="zh-CN"/>
        </w:rPr>
      </w:pPr>
      <w:r w:rsidRPr="00D97852">
        <w:rPr>
          <w:lang w:val="en-GB" w:eastAsia="zh-CN"/>
        </w:rPr>
        <w:t>any juridical person of a Member State,</w:t>
      </w:r>
    </w:p>
    <w:p w:rsidR="00055C64" w:rsidRPr="00156497" w:rsidRDefault="001E465D" w:rsidP="001E465D">
      <w:pPr>
        <w:rPr>
          <w:lang w:val="en-GB" w:eastAsia="zh-CN"/>
        </w:rPr>
      </w:pPr>
      <w:r w:rsidRPr="00156497">
        <w:rPr>
          <w:lang w:val="en-GB" w:eastAsia="zh-CN"/>
        </w:rPr>
        <w:br w:type="page"/>
      </w:r>
      <w:r w:rsidR="00055C64" w:rsidRPr="00156497">
        <w:rPr>
          <w:lang w:val="en-GB" w:eastAsia="zh-CN"/>
        </w:rPr>
        <w:lastRenderedPageBreak/>
        <w:t>making an investment in another Member State, the effective ASEAN equity of which taken cumulatively with all other ASEAN equities fulfills at least the minimum percentage required to meet the national equity requirement and other equity requirements of domestic laws and published national policies, if any, of the host country in respect of that investment.</w:t>
      </w:r>
    </w:p>
    <w:p w:rsidR="00055C64" w:rsidRPr="00156497" w:rsidRDefault="00055C64" w:rsidP="001E465D">
      <w:pPr>
        <w:rPr>
          <w:lang w:val="en-GB" w:eastAsia="zh-CN"/>
        </w:rPr>
      </w:pPr>
      <w:r w:rsidRPr="00156497">
        <w:rPr>
          <w:lang w:val="en-GB" w:eastAsia="zh-CN"/>
        </w:rPr>
        <w:t>For the purpose of this definition, equity of nationals or juridical persons of any Member State shall be deemed to be the equity of nationals or juridical persons of the host country.</w:t>
      </w:r>
    </w:p>
    <w:p w:rsidR="00055C64" w:rsidRPr="00156497" w:rsidRDefault="00055C64" w:rsidP="001E465D">
      <w:pPr>
        <w:rPr>
          <w:lang w:val="en-GB" w:eastAsia="zh-CN"/>
        </w:rPr>
      </w:pPr>
      <w:r w:rsidRPr="00156497">
        <w:rPr>
          <w:lang w:val="en-GB" w:eastAsia="zh-CN"/>
        </w:rPr>
        <w:t>"effective ASEAN equity" in respect of an investment in an ASEAN Member State means ultimate holdings by nationals or juridical persons of ASEAN Member States in that investment. Where the shareholding/equity structure of an ASEAN investor makes it difficult to establish the ultimate holding structure, the rules and procedures for determining effective equity used by the Member State in which the ASEAN investor is investing may be applied. If necessary, the Co-ordinating Committee on Investment shall prepare guidelines for this purpose.</w:t>
      </w:r>
    </w:p>
    <w:p w:rsidR="00055C64" w:rsidRPr="00156497" w:rsidRDefault="00055C64" w:rsidP="001E465D">
      <w:pPr>
        <w:rPr>
          <w:lang w:val="en-GB" w:eastAsia="zh-CN"/>
        </w:rPr>
      </w:pPr>
      <w:r w:rsidRPr="00156497">
        <w:rPr>
          <w:lang w:val="en-GB" w:eastAsia="zh-CN"/>
        </w:rPr>
        <w:t>"juridical person" means any legal entity duly constituted or otherwise organised under applicable law of a Member State, whether for profit or otherwise, and whether privately-owned or governmentally-owned, including any corporation, trust, partnership, joint venture, sole proprietorship or association.</w:t>
      </w:r>
    </w:p>
    <w:p w:rsidR="00055C64" w:rsidRPr="00156497" w:rsidRDefault="00055C64" w:rsidP="001E465D">
      <w:pPr>
        <w:rPr>
          <w:lang w:val="en-GB" w:eastAsia="zh-CN"/>
        </w:rPr>
      </w:pPr>
      <w:r w:rsidRPr="00156497">
        <w:rPr>
          <w:lang w:val="en-GB" w:eastAsia="zh-CN"/>
        </w:rPr>
        <w:t>"measures" means laws, regulations, rules, procedures, decisions, administrative actions, or any other actions affecting investments taken by Member States.</w:t>
      </w:r>
    </w:p>
    <w:p w:rsidR="00055C64" w:rsidRPr="00156497" w:rsidRDefault="00055C64" w:rsidP="001E465D">
      <w:pPr>
        <w:rPr>
          <w:lang w:val="en-GB" w:eastAsia="zh-CN"/>
        </w:rPr>
      </w:pPr>
      <w:r w:rsidRPr="00156497">
        <w:rPr>
          <w:lang w:val="en-GB" w:eastAsia="zh-CN"/>
        </w:rPr>
        <w:t>"national" means a natural person having the citizenship of a Member State in accordance with its applicable laws.</w:t>
      </w:r>
    </w:p>
    <w:p w:rsidR="00055C64" w:rsidRPr="00156497" w:rsidRDefault="00645FF2" w:rsidP="001E465D">
      <w:pPr>
        <w:pStyle w:val="Heading1"/>
        <w:rPr>
          <w:lang w:val="en-GB"/>
        </w:rPr>
      </w:pPr>
      <w:bookmarkStart w:id="9" w:name="_Toc379552180"/>
      <w:bookmarkStart w:id="10" w:name="_Toc517779059"/>
      <w:r w:rsidRPr="0065689F">
        <w:rPr>
          <w:lang w:val="en-GB"/>
        </w:rPr>
        <w:t>ARTICLE 2</w:t>
      </w:r>
      <w:bookmarkStart w:id="11" w:name="_Toc379552181"/>
      <w:bookmarkStart w:id="12" w:name="_Toc248237807"/>
      <w:bookmarkEnd w:id="9"/>
      <w:r w:rsidR="0065689F" w:rsidRPr="0065689F">
        <w:rPr>
          <w:b w:val="0"/>
          <w:lang w:val="en-GB"/>
        </w:rPr>
        <w:br/>
      </w:r>
      <w:r w:rsidRPr="00156497">
        <w:rPr>
          <w:lang w:val="en-GB"/>
        </w:rPr>
        <w:t>COVERAGE</w:t>
      </w:r>
      <w:bookmarkEnd w:id="10"/>
      <w:bookmarkEnd w:id="11"/>
      <w:bookmarkEnd w:id="12"/>
    </w:p>
    <w:p w:rsidR="00055C64" w:rsidRPr="00156497" w:rsidRDefault="00055C64" w:rsidP="001E465D">
      <w:pPr>
        <w:rPr>
          <w:lang w:val="en-GB" w:eastAsia="zh-CN"/>
        </w:rPr>
      </w:pPr>
      <w:r w:rsidRPr="00156497">
        <w:rPr>
          <w:lang w:val="en-GB" w:eastAsia="zh-CN"/>
        </w:rPr>
        <w:t>This Agreement shall cover all direct investments other than -</w:t>
      </w:r>
    </w:p>
    <w:p w:rsidR="00135759" w:rsidRDefault="00055C64" w:rsidP="001E465D">
      <w:pPr>
        <w:pStyle w:val="ListParagraph"/>
        <w:numPr>
          <w:ilvl w:val="0"/>
          <w:numId w:val="33"/>
        </w:numPr>
        <w:rPr>
          <w:lang w:val="en-GB" w:eastAsia="zh-CN"/>
        </w:rPr>
      </w:pPr>
      <w:r w:rsidRPr="00135759">
        <w:rPr>
          <w:lang w:val="en-GB" w:eastAsia="zh-CN"/>
        </w:rPr>
        <w:t>portfolio investments; and</w:t>
      </w:r>
    </w:p>
    <w:p w:rsidR="00135759" w:rsidRDefault="00135759" w:rsidP="00135759">
      <w:pPr>
        <w:pStyle w:val="ListParagraph"/>
        <w:rPr>
          <w:lang w:val="en-GB" w:eastAsia="zh-CN"/>
        </w:rPr>
      </w:pPr>
    </w:p>
    <w:p w:rsidR="00055C64" w:rsidRPr="00135759" w:rsidRDefault="00055C64" w:rsidP="001E465D">
      <w:pPr>
        <w:pStyle w:val="ListParagraph"/>
        <w:numPr>
          <w:ilvl w:val="0"/>
          <w:numId w:val="33"/>
        </w:numPr>
        <w:rPr>
          <w:lang w:val="en-GB" w:eastAsia="zh-CN"/>
        </w:rPr>
      </w:pPr>
      <w:r w:rsidRPr="00135759">
        <w:rPr>
          <w:lang w:val="en-GB" w:eastAsia="zh-CN"/>
        </w:rPr>
        <w:t>matters relating to investments covered by other ASEAN Agreements, such as the ASEAN Framework Agreement on Services.</w:t>
      </w:r>
    </w:p>
    <w:p w:rsidR="00055C64" w:rsidRPr="00156497" w:rsidRDefault="00645FF2" w:rsidP="001E465D">
      <w:pPr>
        <w:pStyle w:val="Heading1"/>
        <w:rPr>
          <w:lang w:val="en-GB"/>
        </w:rPr>
      </w:pPr>
      <w:bookmarkStart w:id="13" w:name="_Toc379552182"/>
      <w:bookmarkStart w:id="14" w:name="_Toc517779060"/>
      <w:r w:rsidRPr="0065689F">
        <w:rPr>
          <w:lang w:val="en-GB"/>
        </w:rPr>
        <w:t>ARTICLE 3</w:t>
      </w:r>
      <w:bookmarkStart w:id="15" w:name="_Toc379552183"/>
      <w:bookmarkStart w:id="16" w:name="_Toc248237809"/>
      <w:bookmarkEnd w:id="13"/>
      <w:r w:rsidR="0065689F">
        <w:rPr>
          <w:lang w:val="en-GB"/>
        </w:rPr>
        <w:br/>
      </w:r>
      <w:r w:rsidRPr="00156497">
        <w:rPr>
          <w:lang w:val="en-GB"/>
        </w:rPr>
        <w:t>OBJECTIVES</w:t>
      </w:r>
      <w:bookmarkEnd w:id="14"/>
      <w:bookmarkEnd w:id="15"/>
      <w:bookmarkEnd w:id="16"/>
    </w:p>
    <w:p w:rsidR="00055C64" w:rsidRPr="00156497" w:rsidRDefault="00055C64" w:rsidP="001E465D">
      <w:pPr>
        <w:rPr>
          <w:rFonts w:eastAsia="Times New Roman"/>
          <w:lang w:val="en-GB" w:eastAsia="zh-CN"/>
        </w:rPr>
      </w:pPr>
      <w:r w:rsidRPr="00156497">
        <w:rPr>
          <w:rFonts w:eastAsia="Times New Roman"/>
          <w:lang w:val="en-GB" w:eastAsia="zh-CN"/>
        </w:rPr>
        <w:t>The objectives of this Agreement are:</w:t>
      </w:r>
    </w:p>
    <w:p w:rsidR="00055C64" w:rsidRPr="00156497" w:rsidRDefault="00055C64" w:rsidP="001E465D">
      <w:pPr>
        <w:numPr>
          <w:ilvl w:val="0"/>
          <w:numId w:val="3"/>
        </w:numPr>
        <w:rPr>
          <w:rFonts w:eastAsia="Times New Roman"/>
          <w:lang w:val="en-GB" w:eastAsia="zh-CN"/>
        </w:rPr>
      </w:pPr>
      <w:r w:rsidRPr="00156497">
        <w:rPr>
          <w:rFonts w:eastAsia="Times New Roman"/>
          <w:lang w:val="en-GB" w:eastAsia="zh-CN"/>
        </w:rPr>
        <w:t>to establish a competitive ASEAN Investment Area with a more liberal and transparent investment environment amongst Member States in order to -</w:t>
      </w:r>
    </w:p>
    <w:p w:rsidR="00055C64" w:rsidRPr="00156497" w:rsidRDefault="00055C64" w:rsidP="001E465D">
      <w:pPr>
        <w:numPr>
          <w:ilvl w:val="0"/>
          <w:numId w:val="4"/>
        </w:numPr>
        <w:ind w:left="1440"/>
        <w:rPr>
          <w:rFonts w:eastAsia="Times New Roman"/>
          <w:lang w:val="en-GB" w:eastAsia="zh-CN"/>
        </w:rPr>
      </w:pPr>
      <w:r w:rsidRPr="00156497">
        <w:rPr>
          <w:rFonts w:eastAsia="Times New Roman"/>
          <w:lang w:val="en-GB" w:eastAsia="zh-CN"/>
        </w:rPr>
        <w:t>substantially increase the flow of investments into ASEAN from both ASEAN and non-ASEAN sources;</w:t>
      </w:r>
    </w:p>
    <w:p w:rsidR="00055C64" w:rsidRPr="00156497" w:rsidRDefault="00055C64" w:rsidP="001E465D">
      <w:pPr>
        <w:numPr>
          <w:ilvl w:val="0"/>
          <w:numId w:val="4"/>
        </w:numPr>
        <w:ind w:left="1440"/>
        <w:rPr>
          <w:rFonts w:eastAsia="Times New Roman"/>
          <w:lang w:val="en-GB" w:eastAsia="zh-CN"/>
        </w:rPr>
      </w:pPr>
      <w:r w:rsidRPr="00156497">
        <w:rPr>
          <w:rFonts w:eastAsia="Times New Roman"/>
          <w:lang w:val="en-GB" w:eastAsia="zh-CN"/>
        </w:rPr>
        <w:t>jointly promote ASEAN as the most attractive investment area;</w:t>
      </w:r>
    </w:p>
    <w:p w:rsidR="00055C64" w:rsidRPr="00156497" w:rsidRDefault="00055C64" w:rsidP="001E465D">
      <w:pPr>
        <w:numPr>
          <w:ilvl w:val="0"/>
          <w:numId w:val="4"/>
        </w:numPr>
        <w:ind w:left="1440"/>
        <w:rPr>
          <w:rFonts w:eastAsia="Times New Roman"/>
          <w:lang w:val="en-GB" w:eastAsia="zh-CN"/>
        </w:rPr>
      </w:pPr>
      <w:r w:rsidRPr="00156497">
        <w:rPr>
          <w:rFonts w:eastAsia="Times New Roman"/>
          <w:lang w:val="en-GB" w:eastAsia="zh-CN"/>
        </w:rPr>
        <w:t>strengthen and increase the competitiveness of ASEAN's economic sectors;</w:t>
      </w:r>
    </w:p>
    <w:p w:rsidR="00055C64" w:rsidRPr="00156497" w:rsidRDefault="00055C64" w:rsidP="001E465D">
      <w:pPr>
        <w:numPr>
          <w:ilvl w:val="0"/>
          <w:numId w:val="4"/>
        </w:numPr>
        <w:ind w:left="1440"/>
        <w:rPr>
          <w:rFonts w:eastAsia="Times New Roman"/>
          <w:lang w:val="en-GB" w:eastAsia="zh-CN"/>
        </w:rPr>
      </w:pPr>
      <w:r w:rsidRPr="00156497">
        <w:rPr>
          <w:rFonts w:eastAsia="Times New Roman"/>
          <w:lang w:val="en-GB" w:eastAsia="zh-CN"/>
        </w:rPr>
        <w:t>progressively reduce or eliminate investment regulations and conditions which may impede investment flows and the operation of investment projects in ASEAN; and</w:t>
      </w:r>
    </w:p>
    <w:p w:rsidR="00055C64" w:rsidRPr="00156497" w:rsidRDefault="00055C64" w:rsidP="001E465D">
      <w:pPr>
        <w:numPr>
          <w:ilvl w:val="0"/>
          <w:numId w:val="3"/>
        </w:numPr>
        <w:rPr>
          <w:rFonts w:eastAsia="Times New Roman"/>
          <w:lang w:val="en-GB" w:eastAsia="zh-CN"/>
        </w:rPr>
      </w:pPr>
      <w:r w:rsidRPr="00156497">
        <w:rPr>
          <w:rFonts w:eastAsia="Times New Roman"/>
          <w:lang w:val="en-GB" w:eastAsia="zh-CN"/>
        </w:rPr>
        <w:lastRenderedPageBreak/>
        <w:t>to ensure that the realisation of the above objectives would contribute towards free flow of investments by 2020.</w:t>
      </w:r>
    </w:p>
    <w:p w:rsidR="00055C64" w:rsidRPr="00156497" w:rsidRDefault="00645FF2" w:rsidP="001E465D">
      <w:pPr>
        <w:pStyle w:val="Heading1"/>
        <w:rPr>
          <w:lang w:val="en-GB"/>
        </w:rPr>
      </w:pPr>
      <w:bookmarkStart w:id="17" w:name="_Toc379552184"/>
      <w:bookmarkStart w:id="18" w:name="_Toc517779061"/>
      <w:r w:rsidRPr="0065689F">
        <w:rPr>
          <w:lang w:val="en-GB"/>
        </w:rPr>
        <w:t>ARTICLE 4</w:t>
      </w:r>
      <w:bookmarkStart w:id="19" w:name="_Toc379552185"/>
      <w:bookmarkStart w:id="20" w:name="_Toc248237811"/>
      <w:bookmarkEnd w:id="17"/>
      <w:r w:rsidR="0065689F">
        <w:rPr>
          <w:lang w:val="en-GB"/>
        </w:rPr>
        <w:br/>
      </w:r>
      <w:r w:rsidRPr="00156497">
        <w:rPr>
          <w:lang w:val="en-GB"/>
        </w:rPr>
        <w:t>FEATURES</w:t>
      </w:r>
      <w:bookmarkEnd w:id="18"/>
      <w:bookmarkEnd w:id="19"/>
      <w:bookmarkEnd w:id="20"/>
    </w:p>
    <w:p w:rsidR="00055C64" w:rsidRPr="00156497" w:rsidRDefault="00055C64" w:rsidP="001E465D">
      <w:pPr>
        <w:rPr>
          <w:rFonts w:eastAsia="Times New Roman"/>
          <w:lang w:val="en-GB" w:eastAsia="zh-CN"/>
        </w:rPr>
      </w:pPr>
      <w:r w:rsidRPr="00156497">
        <w:rPr>
          <w:rFonts w:eastAsia="Times New Roman"/>
          <w:lang w:val="en-GB" w:eastAsia="zh-CN"/>
        </w:rPr>
        <w:t>The AIA shall be an area where:</w:t>
      </w:r>
    </w:p>
    <w:p w:rsidR="00055C64" w:rsidRPr="00156497" w:rsidRDefault="00055C64" w:rsidP="001E465D">
      <w:pPr>
        <w:numPr>
          <w:ilvl w:val="0"/>
          <w:numId w:val="5"/>
        </w:numPr>
        <w:ind w:left="714" w:hanging="357"/>
        <w:rPr>
          <w:rFonts w:eastAsia="Times New Roman"/>
          <w:lang w:val="en-GB" w:eastAsia="zh-CN"/>
        </w:rPr>
      </w:pPr>
      <w:r w:rsidRPr="00156497">
        <w:rPr>
          <w:rFonts w:eastAsia="Times New Roman"/>
          <w:lang w:val="en-GB" w:eastAsia="zh-CN"/>
        </w:rPr>
        <w:t>there is a co-ordinated ASEAN investment co-operation programme that will generate increased investments from ASEAN and non-ASEAN sources;</w:t>
      </w:r>
    </w:p>
    <w:p w:rsidR="00055C64" w:rsidRPr="00156497" w:rsidRDefault="00055C64" w:rsidP="001E465D">
      <w:pPr>
        <w:numPr>
          <w:ilvl w:val="0"/>
          <w:numId w:val="5"/>
        </w:numPr>
        <w:rPr>
          <w:rFonts w:eastAsia="Times New Roman"/>
          <w:lang w:val="en-GB" w:eastAsia="zh-CN"/>
        </w:rPr>
      </w:pPr>
      <w:r w:rsidRPr="00156497">
        <w:rPr>
          <w:rFonts w:eastAsia="Times New Roman"/>
          <w:lang w:val="en-GB" w:eastAsia="zh-CN"/>
        </w:rPr>
        <w:t>national treatment is extended to ASEAN investors by 2010, and to all investors by 2020, subject to the exceptions provided for under this Agreement;</w:t>
      </w:r>
    </w:p>
    <w:p w:rsidR="00055C64" w:rsidRPr="00156497" w:rsidRDefault="00055C64" w:rsidP="001E465D">
      <w:pPr>
        <w:numPr>
          <w:ilvl w:val="0"/>
          <w:numId w:val="5"/>
        </w:numPr>
        <w:rPr>
          <w:rFonts w:eastAsia="Times New Roman"/>
          <w:lang w:val="en-GB" w:eastAsia="zh-CN"/>
        </w:rPr>
      </w:pPr>
      <w:r w:rsidRPr="00156497">
        <w:rPr>
          <w:rFonts w:eastAsia="Times New Roman"/>
          <w:lang w:val="en-GB" w:eastAsia="zh-CN"/>
        </w:rPr>
        <w:t>all industries are opened for investment to ASEAN investors by 2010 and to all investors by 2020, subject to the exceptions provided for under this Agreement;</w:t>
      </w:r>
    </w:p>
    <w:p w:rsidR="00055C64" w:rsidRPr="00156497" w:rsidRDefault="00055C64" w:rsidP="001E465D">
      <w:pPr>
        <w:numPr>
          <w:ilvl w:val="0"/>
          <w:numId w:val="5"/>
        </w:numPr>
        <w:rPr>
          <w:rFonts w:eastAsia="Times New Roman"/>
          <w:lang w:val="en-GB" w:eastAsia="zh-CN"/>
        </w:rPr>
      </w:pPr>
      <w:r w:rsidRPr="00156497">
        <w:rPr>
          <w:rFonts w:eastAsia="Times New Roman"/>
          <w:lang w:val="en-GB" w:eastAsia="zh-CN"/>
        </w:rPr>
        <w:t>the business sector has a larger role in the co-operation efforts in relation to investments and related activities in ASEAN; and</w:t>
      </w:r>
    </w:p>
    <w:p w:rsidR="00055C64" w:rsidRPr="00156497" w:rsidRDefault="00055C64" w:rsidP="001E465D">
      <w:pPr>
        <w:numPr>
          <w:ilvl w:val="0"/>
          <w:numId w:val="5"/>
        </w:numPr>
        <w:rPr>
          <w:rFonts w:eastAsia="Times New Roman"/>
          <w:lang w:val="en-GB" w:eastAsia="zh-CN"/>
        </w:rPr>
      </w:pPr>
      <w:r w:rsidRPr="00156497">
        <w:rPr>
          <w:rFonts w:eastAsia="Times New Roman"/>
          <w:lang w:val="en-GB" w:eastAsia="zh-CN"/>
        </w:rPr>
        <w:t>there is freer flow of capital, skilled labour and professionals, and technology amongst Member States.</w:t>
      </w:r>
    </w:p>
    <w:p w:rsidR="00055C64" w:rsidRPr="00156497" w:rsidRDefault="00645FF2" w:rsidP="001E465D">
      <w:pPr>
        <w:pStyle w:val="Heading1"/>
        <w:rPr>
          <w:lang w:val="en-GB"/>
        </w:rPr>
      </w:pPr>
      <w:bookmarkStart w:id="21" w:name="_Toc379552186"/>
      <w:bookmarkStart w:id="22" w:name="_Toc517779062"/>
      <w:r w:rsidRPr="00156497">
        <w:rPr>
          <w:lang w:val="en-GB"/>
        </w:rPr>
        <w:t>ARTICLE 5</w:t>
      </w:r>
      <w:bookmarkStart w:id="23" w:name="_Toc379552187"/>
      <w:bookmarkStart w:id="24" w:name="_Toc248237813"/>
      <w:bookmarkEnd w:id="21"/>
      <w:r w:rsidR="0065689F">
        <w:rPr>
          <w:lang w:val="en-GB"/>
        </w:rPr>
        <w:br/>
      </w:r>
      <w:r w:rsidRPr="00156497">
        <w:rPr>
          <w:lang w:val="en-GB"/>
        </w:rPr>
        <w:t>GENERAL OBLIGATIONS</w:t>
      </w:r>
      <w:bookmarkEnd w:id="22"/>
      <w:bookmarkEnd w:id="23"/>
      <w:bookmarkEnd w:id="24"/>
    </w:p>
    <w:p w:rsidR="00055C64" w:rsidRPr="00156497" w:rsidRDefault="00055C64" w:rsidP="001E465D">
      <w:pPr>
        <w:rPr>
          <w:rFonts w:eastAsia="Times New Roman"/>
          <w:lang w:val="en-GB" w:eastAsia="zh-CN"/>
        </w:rPr>
      </w:pPr>
      <w:r w:rsidRPr="00156497">
        <w:rPr>
          <w:rFonts w:eastAsia="Times New Roman"/>
          <w:lang w:val="en-GB" w:eastAsia="zh-CN"/>
        </w:rPr>
        <w:t>To realise the objectives referred to in Article 3, the Member States shall:</w:t>
      </w:r>
    </w:p>
    <w:p w:rsidR="00055C64" w:rsidRPr="00156497" w:rsidRDefault="00055C64" w:rsidP="001E465D">
      <w:pPr>
        <w:numPr>
          <w:ilvl w:val="0"/>
          <w:numId w:val="6"/>
        </w:numPr>
        <w:rPr>
          <w:rFonts w:eastAsia="Times New Roman"/>
          <w:lang w:val="en-GB" w:eastAsia="zh-CN"/>
        </w:rPr>
      </w:pPr>
      <w:r w:rsidRPr="00156497">
        <w:rPr>
          <w:rFonts w:eastAsia="Times New Roman"/>
          <w:lang w:val="en-GB" w:eastAsia="zh-CN"/>
        </w:rPr>
        <w:t>ensure that measures and programmes are undertaken on a fair and mutually beneficial basis;</w:t>
      </w:r>
    </w:p>
    <w:p w:rsidR="00055C64" w:rsidRPr="00156497" w:rsidRDefault="00055C64" w:rsidP="001E465D">
      <w:pPr>
        <w:numPr>
          <w:ilvl w:val="0"/>
          <w:numId w:val="6"/>
        </w:numPr>
        <w:rPr>
          <w:rFonts w:eastAsia="Times New Roman"/>
          <w:lang w:val="en-GB" w:eastAsia="zh-CN"/>
        </w:rPr>
      </w:pPr>
      <w:r w:rsidRPr="00156497">
        <w:rPr>
          <w:rFonts w:eastAsia="Times New Roman"/>
          <w:lang w:val="en-GB" w:eastAsia="zh-CN"/>
        </w:rPr>
        <w:t>undertake appropriate measures to ensure transparency and consistency in the application and interpretation of their investment laws, regulations and administrative procedures in order to create and maintain a predictable investment regime in ASEAN;</w:t>
      </w:r>
    </w:p>
    <w:p w:rsidR="00055C64" w:rsidRPr="00156497" w:rsidRDefault="00055C64" w:rsidP="001E465D">
      <w:pPr>
        <w:numPr>
          <w:ilvl w:val="0"/>
          <w:numId w:val="6"/>
        </w:numPr>
        <w:rPr>
          <w:rFonts w:eastAsia="Times New Roman"/>
          <w:lang w:val="en-GB" w:eastAsia="zh-CN"/>
        </w:rPr>
      </w:pPr>
      <w:r w:rsidRPr="00156497">
        <w:rPr>
          <w:rFonts w:eastAsia="Times New Roman"/>
          <w:lang w:val="en-GB" w:eastAsia="zh-CN"/>
        </w:rPr>
        <w:t>begin the process of facilitation, promotion and liberalisation which would contribute continuously and significantly to achieving the objective of a more liberal and transparent investment environment;</w:t>
      </w:r>
    </w:p>
    <w:p w:rsidR="00055C64" w:rsidRPr="00156497" w:rsidRDefault="00055C64" w:rsidP="001E465D">
      <w:pPr>
        <w:numPr>
          <w:ilvl w:val="0"/>
          <w:numId w:val="6"/>
        </w:numPr>
        <w:rPr>
          <w:rFonts w:eastAsia="Times New Roman"/>
          <w:lang w:val="en-GB" w:eastAsia="zh-CN"/>
        </w:rPr>
      </w:pPr>
      <w:r w:rsidRPr="00156497">
        <w:rPr>
          <w:rFonts w:eastAsia="Times New Roman"/>
          <w:lang w:val="en-GB" w:eastAsia="zh-CN"/>
        </w:rPr>
        <w:t>take appropriate measures to enhance the attractiveness of the investment environment of Member States for direct investment flows; and</w:t>
      </w:r>
    </w:p>
    <w:p w:rsidR="00055C64" w:rsidRPr="00156497" w:rsidRDefault="00055C64" w:rsidP="001E465D">
      <w:pPr>
        <w:numPr>
          <w:ilvl w:val="0"/>
          <w:numId w:val="6"/>
        </w:numPr>
        <w:rPr>
          <w:rFonts w:eastAsia="Times New Roman"/>
          <w:lang w:val="en-GB" w:eastAsia="zh-CN"/>
        </w:rPr>
      </w:pPr>
      <w:r w:rsidRPr="00156497">
        <w:rPr>
          <w:rFonts w:eastAsia="Times New Roman"/>
          <w:lang w:val="en-GB" w:eastAsia="zh-CN"/>
        </w:rPr>
        <w:t>take such reasonable actions as may be available to them to ensure observance of the provisions of this Agreement by the regional and local governments and authorities within their territories.</w:t>
      </w:r>
    </w:p>
    <w:p w:rsidR="00055C64" w:rsidRPr="00156497" w:rsidRDefault="00645FF2" w:rsidP="001E465D">
      <w:pPr>
        <w:pStyle w:val="Heading1"/>
        <w:rPr>
          <w:lang w:val="en-GB"/>
        </w:rPr>
      </w:pPr>
      <w:bookmarkStart w:id="25" w:name="_Toc379552188"/>
      <w:bookmarkStart w:id="26" w:name="_Toc517779063"/>
      <w:r w:rsidRPr="00156497">
        <w:rPr>
          <w:lang w:val="en-GB"/>
        </w:rPr>
        <w:t>ARTICLE 6</w:t>
      </w:r>
      <w:bookmarkStart w:id="27" w:name="_Toc379552189"/>
      <w:bookmarkStart w:id="28" w:name="_Toc248237815"/>
      <w:bookmarkEnd w:id="25"/>
      <w:r w:rsidR="0065689F">
        <w:rPr>
          <w:lang w:val="en-GB"/>
        </w:rPr>
        <w:br/>
      </w:r>
      <w:r w:rsidRPr="00156497">
        <w:rPr>
          <w:lang w:val="en-GB"/>
        </w:rPr>
        <w:t>PROGRAMMES AND ACTION PLANS</w:t>
      </w:r>
      <w:bookmarkEnd w:id="26"/>
      <w:bookmarkEnd w:id="27"/>
      <w:bookmarkEnd w:id="28"/>
    </w:p>
    <w:p w:rsidR="00055C64" w:rsidRPr="00156497" w:rsidRDefault="00055C64" w:rsidP="001E465D">
      <w:pPr>
        <w:numPr>
          <w:ilvl w:val="0"/>
          <w:numId w:val="7"/>
        </w:numPr>
        <w:ind w:hanging="357"/>
        <w:rPr>
          <w:rFonts w:eastAsia="Times New Roman"/>
          <w:lang w:val="en-GB" w:eastAsia="zh-CN"/>
        </w:rPr>
      </w:pPr>
      <w:r w:rsidRPr="00156497">
        <w:rPr>
          <w:rFonts w:eastAsia="Times New Roman"/>
          <w:lang w:val="en-GB" w:eastAsia="zh-CN"/>
        </w:rPr>
        <w:t>Member States shall, for the implementation of the obligations under this Agreement, undertake the joint development and implementation of the following programmes:</w:t>
      </w:r>
    </w:p>
    <w:p w:rsidR="00055C64" w:rsidRPr="00156497" w:rsidRDefault="00055C64" w:rsidP="001E465D">
      <w:pPr>
        <w:numPr>
          <w:ilvl w:val="0"/>
          <w:numId w:val="8"/>
        </w:numPr>
        <w:ind w:hanging="357"/>
        <w:rPr>
          <w:rFonts w:eastAsia="Times New Roman"/>
          <w:lang w:val="en-GB" w:eastAsia="zh-CN"/>
        </w:rPr>
      </w:pPr>
      <w:r w:rsidRPr="00156497">
        <w:rPr>
          <w:rFonts w:eastAsia="Times New Roman"/>
          <w:lang w:val="en-GB" w:eastAsia="zh-CN"/>
        </w:rPr>
        <w:t>co-operation and facilitation programme as specified in Schedule I;</w:t>
      </w:r>
    </w:p>
    <w:p w:rsidR="00055C64" w:rsidRPr="00156497" w:rsidRDefault="00055C64" w:rsidP="001E465D">
      <w:pPr>
        <w:numPr>
          <w:ilvl w:val="0"/>
          <w:numId w:val="8"/>
        </w:numPr>
        <w:ind w:hanging="357"/>
        <w:rPr>
          <w:rFonts w:eastAsia="Times New Roman"/>
          <w:lang w:val="en-GB" w:eastAsia="zh-CN"/>
        </w:rPr>
      </w:pPr>
      <w:r w:rsidRPr="00156497">
        <w:rPr>
          <w:rFonts w:eastAsia="Times New Roman"/>
          <w:lang w:val="en-GB" w:eastAsia="zh-CN"/>
        </w:rPr>
        <w:lastRenderedPageBreak/>
        <w:t>promotion and awareness programme as specified in Schedule II; and</w:t>
      </w:r>
    </w:p>
    <w:p w:rsidR="00055C64" w:rsidRPr="00156497" w:rsidRDefault="00055C64" w:rsidP="001E465D">
      <w:pPr>
        <w:numPr>
          <w:ilvl w:val="0"/>
          <w:numId w:val="8"/>
        </w:numPr>
        <w:ind w:hanging="357"/>
        <w:rPr>
          <w:rFonts w:eastAsia="Times New Roman"/>
          <w:lang w:val="en-GB" w:eastAsia="zh-CN"/>
        </w:rPr>
      </w:pPr>
      <w:r w:rsidRPr="00156497">
        <w:rPr>
          <w:rFonts w:eastAsia="Times New Roman"/>
          <w:lang w:val="en-GB" w:eastAsia="zh-CN"/>
        </w:rPr>
        <w:t>liberalisation programme as specified in Schedule III.</w:t>
      </w:r>
    </w:p>
    <w:p w:rsidR="00055C64" w:rsidRPr="00156497" w:rsidRDefault="00055C64" w:rsidP="001E465D">
      <w:pPr>
        <w:numPr>
          <w:ilvl w:val="0"/>
          <w:numId w:val="7"/>
        </w:numPr>
        <w:ind w:hanging="357"/>
        <w:rPr>
          <w:rFonts w:eastAsia="Times New Roman"/>
          <w:lang w:val="en-GB" w:eastAsia="zh-CN"/>
        </w:rPr>
      </w:pPr>
      <w:r w:rsidRPr="00156497">
        <w:rPr>
          <w:rFonts w:eastAsia="Times New Roman"/>
          <w:lang w:val="en-GB" w:eastAsia="zh-CN"/>
        </w:rPr>
        <w:t>Member States shall submit Action Plans for the implementation of the programmes in paragraph 1 to the AIA Council established under Article 16 of this Agreement.</w:t>
      </w:r>
    </w:p>
    <w:p w:rsidR="00055C64" w:rsidRPr="00156497" w:rsidRDefault="00055C64" w:rsidP="001E465D">
      <w:pPr>
        <w:numPr>
          <w:ilvl w:val="0"/>
          <w:numId w:val="7"/>
        </w:numPr>
        <w:ind w:hanging="357"/>
        <w:rPr>
          <w:rFonts w:eastAsia="Times New Roman"/>
          <w:lang w:val="en-GB" w:eastAsia="zh-CN"/>
        </w:rPr>
      </w:pPr>
      <w:r w:rsidRPr="00156497">
        <w:rPr>
          <w:rFonts w:eastAsia="Times New Roman"/>
          <w:lang w:val="en-GB" w:eastAsia="zh-CN"/>
        </w:rPr>
        <w:t>The Action Plans shall be reviewed every 2 years to ensure that the objectives of this Agreement are achieved.</w:t>
      </w:r>
    </w:p>
    <w:p w:rsidR="00055C64" w:rsidRPr="00156497" w:rsidRDefault="00645FF2" w:rsidP="001E465D">
      <w:pPr>
        <w:pStyle w:val="Heading1"/>
        <w:rPr>
          <w:rFonts w:eastAsia="Calibri"/>
          <w:lang w:val="en-GB"/>
        </w:rPr>
      </w:pPr>
      <w:bookmarkStart w:id="29" w:name="_Toc379552190"/>
      <w:bookmarkStart w:id="30" w:name="_Toc517779064"/>
      <w:r w:rsidRPr="00156497">
        <w:rPr>
          <w:rFonts w:eastAsia="Calibri"/>
          <w:lang w:val="en-GB"/>
        </w:rPr>
        <w:t>ARTICLE 7</w:t>
      </w:r>
      <w:bookmarkStart w:id="31" w:name="_Toc379552191"/>
      <w:bookmarkStart w:id="32" w:name="_Toc248237817"/>
      <w:bookmarkEnd w:id="29"/>
      <w:r w:rsidR="0065689F">
        <w:rPr>
          <w:rFonts w:eastAsia="Calibri"/>
          <w:lang w:val="en-GB"/>
        </w:rPr>
        <w:br/>
      </w:r>
      <w:r w:rsidRPr="00156497">
        <w:rPr>
          <w:rFonts w:eastAsia="Calibri"/>
          <w:lang w:val="en-GB"/>
        </w:rPr>
        <w:t>OPENING UP OF INDUSTRIES AND NATIONAL</w:t>
      </w:r>
      <w:r w:rsidR="00055C64" w:rsidRPr="00156497">
        <w:rPr>
          <w:kern w:val="32"/>
          <w:lang w:val="en-GB"/>
        </w:rPr>
        <w:t xml:space="preserve"> </w:t>
      </w:r>
      <w:r w:rsidRPr="00156497">
        <w:rPr>
          <w:rFonts w:eastAsia="Calibri"/>
          <w:lang w:val="en-GB"/>
        </w:rPr>
        <w:t>TREATMENT</w:t>
      </w:r>
      <w:bookmarkEnd w:id="30"/>
      <w:bookmarkEnd w:id="31"/>
      <w:bookmarkEnd w:id="32"/>
    </w:p>
    <w:p w:rsidR="00055C64" w:rsidRPr="00156497" w:rsidRDefault="00055C64" w:rsidP="001E465D">
      <w:pPr>
        <w:numPr>
          <w:ilvl w:val="0"/>
          <w:numId w:val="9"/>
        </w:numPr>
        <w:ind w:hanging="357"/>
        <w:rPr>
          <w:rFonts w:eastAsia="Times New Roman"/>
          <w:lang w:val="en-GB" w:eastAsia="zh-CN"/>
        </w:rPr>
      </w:pPr>
      <w:r w:rsidRPr="00156497">
        <w:rPr>
          <w:rFonts w:eastAsia="Times New Roman"/>
          <w:lang w:val="en-GB" w:eastAsia="zh-CN"/>
        </w:rPr>
        <w:t>Subject to the provisions of this Article, each Member State shall:</w:t>
      </w:r>
    </w:p>
    <w:p w:rsidR="00055C64" w:rsidRPr="00156497" w:rsidRDefault="00055C64" w:rsidP="001E465D">
      <w:pPr>
        <w:numPr>
          <w:ilvl w:val="0"/>
          <w:numId w:val="10"/>
        </w:numPr>
        <w:ind w:hanging="357"/>
        <w:rPr>
          <w:rFonts w:eastAsia="Times New Roman"/>
          <w:lang w:val="en-GB" w:eastAsia="zh-CN"/>
        </w:rPr>
      </w:pPr>
      <w:r w:rsidRPr="00156497">
        <w:rPr>
          <w:rFonts w:eastAsia="Times New Roman"/>
          <w:lang w:val="en-GB" w:eastAsia="zh-CN"/>
        </w:rPr>
        <w:t xml:space="preserve">open immediately all its industries for investments by ASEAN Investors; </w:t>
      </w:r>
    </w:p>
    <w:p w:rsidR="00055C64" w:rsidRPr="00156497" w:rsidRDefault="00055C64" w:rsidP="001E465D">
      <w:pPr>
        <w:numPr>
          <w:ilvl w:val="0"/>
          <w:numId w:val="10"/>
        </w:numPr>
        <w:ind w:hanging="357"/>
        <w:rPr>
          <w:rFonts w:eastAsia="Times New Roman"/>
          <w:lang w:val="en-GB" w:eastAsia="zh-CN"/>
        </w:rPr>
      </w:pPr>
      <w:r w:rsidRPr="00156497">
        <w:rPr>
          <w:rFonts w:eastAsia="Times New Roman"/>
          <w:lang w:val="en-GB" w:eastAsia="zh-CN"/>
        </w:rPr>
        <w:t>accord immediately to ASEAN investors and their investments, in respect of all industries and measures affecting investment including but not limited to the admission, establishment, acquisition, expansion, management, operation and disposition of investments, treatment no less favourable than that it accords to its own like investors and investments ("national treatment").</w:t>
      </w:r>
    </w:p>
    <w:p w:rsidR="00055C64" w:rsidRPr="00156497" w:rsidRDefault="00055C64" w:rsidP="001E465D">
      <w:pPr>
        <w:numPr>
          <w:ilvl w:val="0"/>
          <w:numId w:val="9"/>
        </w:numPr>
        <w:ind w:hanging="357"/>
        <w:rPr>
          <w:rFonts w:eastAsia="Times New Roman"/>
          <w:lang w:val="en-GB" w:eastAsia="zh-CN"/>
        </w:rPr>
      </w:pPr>
      <w:r w:rsidRPr="00156497">
        <w:rPr>
          <w:rFonts w:eastAsia="Times New Roman"/>
          <w:lang w:val="en-GB" w:eastAsia="zh-CN"/>
        </w:rPr>
        <w:t>Each Member State shall submit a Temporary Exclusion List and a Sensitive List, if any, within 6 months after the date of signing of this Agreement, of any industries or measures affecting investments (referred to in paragraph 1 above) with regard to which it is unable to open up or to accord national treatment to ASEAN investors. These lists shall form an annex to this Agreement. In the event that a Member State, for justifiable reasons, is unable to provide any list within the stipulated period, it may seek an extension from the AIA Council.</w:t>
      </w:r>
    </w:p>
    <w:p w:rsidR="00055C64" w:rsidRPr="00156497" w:rsidRDefault="00055C64" w:rsidP="001E465D">
      <w:pPr>
        <w:numPr>
          <w:ilvl w:val="0"/>
          <w:numId w:val="9"/>
        </w:numPr>
        <w:ind w:hanging="357"/>
        <w:rPr>
          <w:rFonts w:eastAsia="Times New Roman"/>
          <w:lang w:val="en-GB" w:eastAsia="zh-CN"/>
        </w:rPr>
      </w:pPr>
      <w:r w:rsidRPr="00156497">
        <w:rPr>
          <w:rFonts w:eastAsia="Times New Roman"/>
          <w:lang w:val="en-GB" w:eastAsia="zh-CN"/>
        </w:rPr>
        <w:t>The Temporary Exclusion List shall be reviewed every 2 years and shall be progressively phased out by 2010 by all Member States except the Socialist Republic of Vietnam, the Lao People's Democratic Republic and the Union of Myanmar. The Socialist Republic of Vietnam shall progressively phase out the Temporary Exclusion List by 2013 and the Lao People's Democratic Republic and the Union of Myanmar shall progressively phase out their Temporary Exclusion Lists by 2015.</w:t>
      </w:r>
    </w:p>
    <w:p w:rsidR="00055C64" w:rsidRPr="00156497" w:rsidRDefault="00055C64" w:rsidP="001E465D">
      <w:pPr>
        <w:numPr>
          <w:ilvl w:val="0"/>
          <w:numId w:val="9"/>
        </w:numPr>
        <w:ind w:hanging="357"/>
        <w:rPr>
          <w:rFonts w:eastAsia="Times New Roman"/>
          <w:lang w:val="en-GB" w:eastAsia="zh-CN"/>
        </w:rPr>
      </w:pPr>
      <w:r w:rsidRPr="00156497">
        <w:rPr>
          <w:rFonts w:eastAsia="Times New Roman"/>
          <w:lang w:val="en-GB" w:eastAsia="zh-CN"/>
        </w:rPr>
        <w:t>The Sensitive List shall be reviewed by 1 January 2003 and at such subsequent periodic intervals as may be decided by the AIA Council.</w:t>
      </w:r>
    </w:p>
    <w:p w:rsidR="00055C64" w:rsidRPr="00156497" w:rsidRDefault="00645FF2" w:rsidP="001E465D">
      <w:pPr>
        <w:pStyle w:val="Heading1"/>
        <w:rPr>
          <w:lang w:val="en-GB"/>
        </w:rPr>
      </w:pPr>
      <w:bookmarkStart w:id="33" w:name="_Toc379552192"/>
      <w:bookmarkStart w:id="34" w:name="_Toc517779065"/>
      <w:r w:rsidRPr="00156497">
        <w:rPr>
          <w:lang w:val="en-GB"/>
        </w:rPr>
        <w:t>ARTICLE 8</w:t>
      </w:r>
      <w:bookmarkStart w:id="35" w:name="_Toc379552193"/>
      <w:bookmarkStart w:id="36" w:name="_Toc248237819"/>
      <w:bookmarkEnd w:id="33"/>
      <w:r w:rsidR="0065689F">
        <w:rPr>
          <w:lang w:val="en-GB"/>
        </w:rPr>
        <w:br/>
      </w:r>
      <w:r w:rsidRPr="00156497">
        <w:rPr>
          <w:lang w:val="en-GB"/>
        </w:rPr>
        <w:t>MOST FAVOURED NATION TREATMENT</w:t>
      </w:r>
      <w:bookmarkEnd w:id="34"/>
      <w:bookmarkEnd w:id="35"/>
      <w:bookmarkEnd w:id="36"/>
    </w:p>
    <w:p w:rsidR="00055C64" w:rsidRPr="00156497" w:rsidRDefault="00055C64" w:rsidP="001E465D">
      <w:pPr>
        <w:numPr>
          <w:ilvl w:val="0"/>
          <w:numId w:val="11"/>
        </w:numPr>
        <w:ind w:left="357" w:hanging="357"/>
        <w:rPr>
          <w:rFonts w:eastAsia="Times New Roman"/>
          <w:lang w:val="en-GB" w:eastAsia="zh-CN"/>
        </w:rPr>
      </w:pPr>
      <w:r w:rsidRPr="00156497">
        <w:rPr>
          <w:rFonts w:eastAsia="Times New Roman"/>
          <w:lang w:val="en-GB" w:eastAsia="zh-CN"/>
        </w:rPr>
        <w:t>Subject to Articles 7 and 9 of this Agreement, each Member State shall accord immediately and unconditionally to investors and investments of another Member State, treatment no less favourable than that it accords to investors and investments of any other Member State with respect to all measures affecting investment including but not limited to the admission, establishment, acquisition, expansion, management, operation and disposition of investments.</w:t>
      </w:r>
    </w:p>
    <w:p w:rsidR="00055C64" w:rsidRPr="00156497" w:rsidRDefault="00055C64" w:rsidP="001E465D">
      <w:pPr>
        <w:numPr>
          <w:ilvl w:val="0"/>
          <w:numId w:val="11"/>
        </w:numPr>
        <w:ind w:left="357" w:hanging="357"/>
        <w:rPr>
          <w:rFonts w:eastAsia="Times New Roman"/>
          <w:lang w:val="en-GB" w:eastAsia="zh-CN"/>
        </w:rPr>
      </w:pPr>
      <w:r w:rsidRPr="00156497">
        <w:rPr>
          <w:rFonts w:eastAsia="Times New Roman"/>
          <w:lang w:val="en-GB" w:eastAsia="zh-CN"/>
        </w:rPr>
        <w:t>In relation to investments falling within the scope of this Agreement, any preferential treatment granted under any existing or future agreements or arrangements to which a Member State is a party shall be extended on the most favoured nation basis to all other Member States.</w:t>
      </w:r>
    </w:p>
    <w:p w:rsidR="00055C64" w:rsidRPr="00156497" w:rsidRDefault="00055C64" w:rsidP="001E465D">
      <w:pPr>
        <w:numPr>
          <w:ilvl w:val="0"/>
          <w:numId w:val="11"/>
        </w:numPr>
        <w:ind w:left="357" w:hanging="357"/>
        <w:rPr>
          <w:rFonts w:eastAsia="Times New Roman"/>
          <w:lang w:val="en-GB" w:eastAsia="zh-CN"/>
        </w:rPr>
      </w:pPr>
      <w:r w:rsidRPr="00156497">
        <w:rPr>
          <w:rFonts w:eastAsia="Times New Roman"/>
          <w:lang w:val="en-GB" w:eastAsia="zh-CN"/>
        </w:rPr>
        <w:lastRenderedPageBreak/>
        <w:t xml:space="preserve">The requirement in paragraph 2 shall not apply to existing agreements or arrangements notified by Member States to the </w:t>
      </w:r>
      <w:r w:rsidRPr="00156497">
        <w:rPr>
          <w:rFonts w:eastAsia="Times New Roman"/>
          <w:bCs/>
          <w:lang w:val="en-GB" w:eastAsia="zh-CN"/>
        </w:rPr>
        <w:t>AIA</w:t>
      </w:r>
      <w:r w:rsidRPr="00156497">
        <w:rPr>
          <w:rFonts w:eastAsia="Times New Roman"/>
          <w:b/>
          <w:bCs/>
          <w:lang w:val="en-GB" w:eastAsia="zh-CN"/>
        </w:rPr>
        <w:t xml:space="preserve"> </w:t>
      </w:r>
      <w:r w:rsidRPr="00156497">
        <w:rPr>
          <w:rFonts w:eastAsia="Times New Roman"/>
          <w:lang w:val="en-GB" w:eastAsia="zh-CN"/>
        </w:rPr>
        <w:t>Council within 6 months after the date of signing of this Agreement.</w:t>
      </w:r>
    </w:p>
    <w:p w:rsidR="00055C64" w:rsidRPr="00156497" w:rsidRDefault="00055C64" w:rsidP="001E465D">
      <w:pPr>
        <w:numPr>
          <w:ilvl w:val="0"/>
          <w:numId w:val="11"/>
        </w:numPr>
        <w:ind w:left="357" w:hanging="357"/>
        <w:rPr>
          <w:rFonts w:eastAsia="Times New Roman"/>
          <w:lang w:val="en-GB" w:eastAsia="zh-CN"/>
        </w:rPr>
      </w:pPr>
      <w:r w:rsidRPr="00156497">
        <w:rPr>
          <w:rFonts w:eastAsia="Times New Roman"/>
          <w:lang w:val="en-GB" w:eastAsia="zh-CN"/>
        </w:rPr>
        <w:t>Nothing in paragraph 1 shall prevent any Member State from conferring special treatment or advantages to adjacent countries under growth triangles and other sub- regional arrangements between Member States.</w:t>
      </w:r>
    </w:p>
    <w:p w:rsidR="00055C64" w:rsidRPr="00156497" w:rsidRDefault="00645FF2" w:rsidP="001E465D">
      <w:pPr>
        <w:pStyle w:val="Heading1"/>
        <w:rPr>
          <w:lang w:val="en-GB"/>
        </w:rPr>
      </w:pPr>
      <w:bookmarkStart w:id="37" w:name="_Toc379552194"/>
      <w:bookmarkStart w:id="38" w:name="_Toc517779066"/>
      <w:r w:rsidRPr="00156497">
        <w:rPr>
          <w:lang w:val="en-GB"/>
        </w:rPr>
        <w:t>ARTICLE 9</w:t>
      </w:r>
      <w:bookmarkStart w:id="39" w:name="_Toc379552195"/>
      <w:bookmarkStart w:id="40" w:name="_Toc248237821"/>
      <w:bookmarkEnd w:id="37"/>
      <w:r w:rsidR="0065689F">
        <w:rPr>
          <w:lang w:val="en-GB"/>
        </w:rPr>
        <w:br/>
      </w:r>
      <w:r w:rsidRPr="00156497">
        <w:rPr>
          <w:lang w:val="en-GB"/>
        </w:rPr>
        <w:t>WAIVER OF MOST FAVOURED NATION TREATMENT</w:t>
      </w:r>
      <w:bookmarkEnd w:id="38"/>
      <w:bookmarkEnd w:id="39"/>
      <w:bookmarkEnd w:id="40"/>
    </w:p>
    <w:p w:rsidR="00055C64" w:rsidRPr="00156497" w:rsidRDefault="00055C64" w:rsidP="001E465D">
      <w:pPr>
        <w:numPr>
          <w:ilvl w:val="0"/>
          <w:numId w:val="12"/>
        </w:numPr>
        <w:rPr>
          <w:rFonts w:eastAsia="Times New Roman"/>
          <w:lang w:val="en-GB" w:eastAsia="zh-CN"/>
        </w:rPr>
      </w:pPr>
      <w:r w:rsidRPr="00156497">
        <w:rPr>
          <w:rFonts w:eastAsia="Times New Roman"/>
          <w:lang w:val="en-GB" w:eastAsia="zh-CN"/>
        </w:rPr>
        <w:t>Where a Member State is temporarily not ready to make concessions under Articles 7 of this Agreement, and another Member State has made concessions under the said Article, then the first mentioned Member State shall waive its rights to such concessions. However, if a Member State which grants such concessions is willing to forego the waiver, then the first mentioned Member State can still enjoy these concessions.</w:t>
      </w:r>
    </w:p>
    <w:p w:rsidR="00055C64" w:rsidRPr="00156497" w:rsidRDefault="00055C64" w:rsidP="001E465D">
      <w:pPr>
        <w:numPr>
          <w:ilvl w:val="0"/>
          <w:numId w:val="12"/>
        </w:numPr>
        <w:rPr>
          <w:rFonts w:eastAsia="Times New Roman"/>
          <w:lang w:val="en-GB" w:eastAsia="zh-CN"/>
        </w:rPr>
      </w:pPr>
      <w:r w:rsidRPr="00156497">
        <w:rPr>
          <w:rFonts w:eastAsia="Times New Roman"/>
          <w:lang w:val="en-GB" w:eastAsia="zh-CN"/>
        </w:rPr>
        <w:t>Having regard to the late entry into ASEAN of the Socialist Republic of Vietnam, the Lao People's Democratic Republic and the Union of Myanmar, the provisions of paragraph 1 of this Article shall only apply to the Socialist Republic of Vietnam for a period of 3 years, and the Lao People's Democratic Republic and the Union of Myanmar for a period of 5 years from the date this Agreement comes into force.</w:t>
      </w:r>
    </w:p>
    <w:p w:rsidR="00055C64" w:rsidRPr="00156497" w:rsidRDefault="002C06AC" w:rsidP="001E465D">
      <w:pPr>
        <w:pStyle w:val="Heading1"/>
        <w:rPr>
          <w:kern w:val="32"/>
          <w:lang w:val="en-GB"/>
        </w:rPr>
      </w:pPr>
      <w:bookmarkStart w:id="41" w:name="_Toc379552196"/>
      <w:bookmarkStart w:id="42" w:name="_Toc517779067"/>
      <w:r w:rsidRPr="00156497">
        <w:rPr>
          <w:rFonts w:eastAsia="Calibri"/>
          <w:lang w:val="en-GB"/>
        </w:rPr>
        <w:t>ARTICLE 10</w:t>
      </w:r>
      <w:bookmarkStart w:id="43" w:name="_Toc379552197"/>
      <w:bookmarkStart w:id="44" w:name="_Toc248237823"/>
      <w:bookmarkEnd w:id="41"/>
      <w:r w:rsidR="0065689F">
        <w:rPr>
          <w:rFonts w:eastAsia="Calibri"/>
          <w:lang w:val="en-GB"/>
        </w:rPr>
        <w:br/>
      </w:r>
      <w:r w:rsidRPr="00156497">
        <w:rPr>
          <w:rFonts w:eastAsia="Calibri"/>
          <w:lang w:val="en-GB"/>
        </w:rPr>
        <w:t>MODIFICATION OF SCHEDULES, ANNEXES AND</w:t>
      </w:r>
      <w:r w:rsidRPr="00156497">
        <w:rPr>
          <w:kern w:val="32"/>
          <w:lang w:val="en-GB"/>
        </w:rPr>
        <w:t xml:space="preserve"> ACTION PLANS</w:t>
      </w:r>
      <w:bookmarkEnd w:id="42"/>
      <w:bookmarkEnd w:id="43"/>
      <w:bookmarkEnd w:id="44"/>
    </w:p>
    <w:p w:rsidR="00055C64" w:rsidRPr="00156497" w:rsidRDefault="00055C64" w:rsidP="001E465D">
      <w:pPr>
        <w:numPr>
          <w:ilvl w:val="0"/>
          <w:numId w:val="13"/>
        </w:numPr>
        <w:rPr>
          <w:rFonts w:eastAsia="Times New Roman"/>
          <w:lang w:val="en-GB" w:eastAsia="zh-CN"/>
        </w:rPr>
      </w:pPr>
      <w:r w:rsidRPr="00156497">
        <w:rPr>
          <w:rFonts w:eastAsia="Times New Roman"/>
          <w:lang w:val="en-GB" w:eastAsia="zh-CN"/>
        </w:rPr>
        <w:t>Any modification to Schedules I and II, and Action Plans thereof shall be subject to the approval of the Co-ordinating Committee on Investments (CCI) established under Article 16(4) of this Agreement.</w:t>
      </w:r>
    </w:p>
    <w:p w:rsidR="00055C64" w:rsidRPr="00156497" w:rsidRDefault="00055C64" w:rsidP="001E465D">
      <w:pPr>
        <w:numPr>
          <w:ilvl w:val="0"/>
          <w:numId w:val="13"/>
        </w:numPr>
        <w:rPr>
          <w:rFonts w:eastAsia="Times New Roman"/>
          <w:lang w:val="en-GB" w:eastAsia="zh-CN"/>
        </w:rPr>
      </w:pPr>
      <w:r w:rsidRPr="00156497">
        <w:rPr>
          <w:rFonts w:eastAsia="Times New Roman"/>
          <w:lang w:val="en-GB" w:eastAsia="zh-CN"/>
        </w:rPr>
        <w:t>Any modification to or withdrawal of any commitments in Schedule III and Action Plans thereof and the Annexes shall be subject to the consideration of the AIA Council in accordance with the provisions of the ASEAN Protocol on Notification Procedures</w:t>
      </w:r>
    </w:p>
    <w:p w:rsidR="00055C64" w:rsidRPr="00156497" w:rsidRDefault="00645FF2" w:rsidP="001E465D">
      <w:pPr>
        <w:pStyle w:val="Heading1"/>
        <w:rPr>
          <w:lang w:val="en-GB"/>
        </w:rPr>
      </w:pPr>
      <w:bookmarkStart w:id="45" w:name="_Toc379552198"/>
      <w:bookmarkStart w:id="46" w:name="_Toc517779068"/>
      <w:r w:rsidRPr="00156497">
        <w:rPr>
          <w:lang w:val="en-GB"/>
        </w:rPr>
        <w:t>ARTICLE 11</w:t>
      </w:r>
      <w:bookmarkStart w:id="47" w:name="_Toc379552199"/>
      <w:bookmarkStart w:id="48" w:name="_Toc248237825"/>
      <w:bookmarkEnd w:id="45"/>
      <w:r w:rsidR="0065689F">
        <w:rPr>
          <w:lang w:val="en-GB"/>
        </w:rPr>
        <w:br/>
      </w:r>
      <w:r w:rsidRPr="00156497">
        <w:rPr>
          <w:lang w:val="en-GB"/>
        </w:rPr>
        <w:t>TRANSPARENCY</w:t>
      </w:r>
      <w:bookmarkEnd w:id="46"/>
      <w:bookmarkEnd w:id="47"/>
      <w:bookmarkEnd w:id="48"/>
    </w:p>
    <w:p w:rsidR="00055C64" w:rsidRPr="00156497" w:rsidRDefault="00055C64" w:rsidP="001E465D">
      <w:pPr>
        <w:numPr>
          <w:ilvl w:val="0"/>
          <w:numId w:val="14"/>
        </w:numPr>
        <w:rPr>
          <w:rFonts w:eastAsia="Times New Roman"/>
          <w:lang w:val="en-GB" w:eastAsia="zh-CN"/>
        </w:rPr>
      </w:pPr>
      <w:r w:rsidRPr="00156497">
        <w:rPr>
          <w:rFonts w:eastAsia="Times New Roman"/>
          <w:lang w:val="en-GB" w:eastAsia="zh-CN"/>
        </w:rPr>
        <w:t>Each Member State shall make available to the AIA Council through publication or any other means, all relevant measures, laws, regulations and administrative guidelines which pertain to, or affect, the operation of this Agreement. This shall also apply to international agreements pertaining to or affecting investment to which a Member State is also a signatory.</w:t>
      </w:r>
    </w:p>
    <w:p w:rsidR="00055C64" w:rsidRPr="00156497" w:rsidRDefault="00055C64" w:rsidP="001E465D">
      <w:pPr>
        <w:numPr>
          <w:ilvl w:val="0"/>
          <w:numId w:val="14"/>
        </w:numPr>
        <w:rPr>
          <w:rFonts w:eastAsia="Times New Roman"/>
          <w:lang w:val="en-GB" w:eastAsia="zh-CN"/>
        </w:rPr>
      </w:pPr>
      <w:r w:rsidRPr="00156497">
        <w:rPr>
          <w:rFonts w:eastAsia="Times New Roman"/>
          <w:lang w:val="en-GB" w:eastAsia="zh-CN"/>
        </w:rPr>
        <w:t>Each Member State shall promptly and at least annually inform the AIA Council of the introduction of any new or any changes to existing laws, regulations or administrative guidelines which significantly affect investments or its commitments under this Agreement.</w:t>
      </w:r>
    </w:p>
    <w:p w:rsidR="00055C64" w:rsidRPr="00156497" w:rsidRDefault="00055C64" w:rsidP="001E465D">
      <w:pPr>
        <w:numPr>
          <w:ilvl w:val="0"/>
          <w:numId w:val="14"/>
        </w:numPr>
        <w:rPr>
          <w:rFonts w:eastAsia="Times New Roman"/>
          <w:lang w:val="en-GB" w:eastAsia="zh-CN"/>
        </w:rPr>
      </w:pPr>
      <w:r w:rsidRPr="00156497">
        <w:rPr>
          <w:rFonts w:eastAsia="Times New Roman"/>
          <w:lang w:val="en-GB" w:eastAsia="zh-CN"/>
        </w:rPr>
        <w:t>Nothing in this Agreement shall require any Member State to provide confidential information, the disclosure of which would impede law enforcement, or otherwise be contrary to the public interest, or which would prejudice legitimate commercial interests of particular enterprises, public or private.</w:t>
      </w:r>
    </w:p>
    <w:p w:rsidR="00055C64" w:rsidRPr="00156497" w:rsidRDefault="00645FF2" w:rsidP="001E465D">
      <w:pPr>
        <w:pStyle w:val="Heading1"/>
        <w:rPr>
          <w:lang w:val="en-GB"/>
        </w:rPr>
      </w:pPr>
      <w:bookmarkStart w:id="49" w:name="_Toc379552200"/>
      <w:bookmarkStart w:id="50" w:name="_Toc517779069"/>
      <w:r w:rsidRPr="00156497">
        <w:rPr>
          <w:lang w:val="en-GB"/>
        </w:rPr>
        <w:lastRenderedPageBreak/>
        <w:t>ARTICLE 12</w:t>
      </w:r>
      <w:bookmarkStart w:id="51" w:name="_Toc379552201"/>
      <w:bookmarkStart w:id="52" w:name="_Toc248237827"/>
      <w:bookmarkEnd w:id="49"/>
      <w:r w:rsidR="0065689F">
        <w:rPr>
          <w:lang w:val="en-GB"/>
        </w:rPr>
        <w:br/>
      </w:r>
      <w:r w:rsidRPr="00156497">
        <w:rPr>
          <w:lang w:val="en-GB"/>
        </w:rPr>
        <w:t>OTHER AGREEMENTS</w:t>
      </w:r>
      <w:bookmarkEnd w:id="50"/>
      <w:bookmarkEnd w:id="51"/>
      <w:bookmarkEnd w:id="52"/>
    </w:p>
    <w:p w:rsidR="00055C64" w:rsidRPr="00156497" w:rsidRDefault="00055C64" w:rsidP="001E465D">
      <w:pPr>
        <w:numPr>
          <w:ilvl w:val="0"/>
          <w:numId w:val="15"/>
        </w:numPr>
        <w:rPr>
          <w:rFonts w:eastAsia="Times New Roman"/>
          <w:lang w:val="en-GB" w:eastAsia="zh-CN"/>
        </w:rPr>
      </w:pPr>
      <w:r w:rsidRPr="00156497">
        <w:rPr>
          <w:rFonts w:eastAsia="Times New Roman"/>
          <w:lang w:val="en-GB" w:eastAsia="zh-CN"/>
        </w:rPr>
        <w:t>Member States affirm their existing rights and obligations under the 1987 ASEAN Agreement for the Promotion and Protection of Investments and its 1996 Protocol. In the event that this Agreement provides for better or enhanced provisions over the said Agreement and its Protocol, then such provisions of this Agreement shall prevail.</w:t>
      </w:r>
    </w:p>
    <w:p w:rsidR="00055C64" w:rsidRPr="00156497" w:rsidRDefault="00055C64" w:rsidP="001E465D">
      <w:pPr>
        <w:numPr>
          <w:ilvl w:val="0"/>
          <w:numId w:val="15"/>
        </w:numPr>
        <w:rPr>
          <w:rFonts w:eastAsia="Times New Roman"/>
          <w:lang w:val="en-GB" w:eastAsia="zh-CN"/>
        </w:rPr>
      </w:pPr>
      <w:r w:rsidRPr="00156497">
        <w:rPr>
          <w:rFonts w:eastAsia="Times New Roman"/>
          <w:lang w:val="en-GB" w:eastAsia="zh-CN"/>
        </w:rPr>
        <w:t>This Agreement or any action taken under it shall not affect the rights and obligations of the Member States under existing agreements to which they are parties.</w:t>
      </w:r>
    </w:p>
    <w:p w:rsidR="00055C64" w:rsidRPr="00156497" w:rsidRDefault="00055C64" w:rsidP="001E465D">
      <w:pPr>
        <w:numPr>
          <w:ilvl w:val="0"/>
          <w:numId w:val="15"/>
        </w:numPr>
        <w:rPr>
          <w:rFonts w:eastAsia="Times New Roman"/>
          <w:lang w:val="en-GB" w:eastAsia="zh-CN"/>
        </w:rPr>
      </w:pPr>
      <w:r w:rsidRPr="00156497">
        <w:rPr>
          <w:rFonts w:eastAsia="Times New Roman"/>
          <w:lang w:val="en-GB" w:eastAsia="zh-CN"/>
        </w:rPr>
        <w:t>Nothing in this Agreement shall affect the rights of the Member States to enter into other agreements not contrary to the principles, objectives and terms of this Agreement.</w:t>
      </w:r>
    </w:p>
    <w:p w:rsidR="00055C64" w:rsidRPr="00156497" w:rsidRDefault="00645FF2" w:rsidP="001E465D">
      <w:pPr>
        <w:pStyle w:val="Heading1"/>
        <w:rPr>
          <w:lang w:val="en-GB"/>
        </w:rPr>
      </w:pPr>
      <w:bookmarkStart w:id="53" w:name="_Toc379552202"/>
      <w:bookmarkStart w:id="54" w:name="_Toc517779070"/>
      <w:r w:rsidRPr="00156497">
        <w:rPr>
          <w:lang w:val="en-GB"/>
        </w:rPr>
        <w:t>ARTICLE 13</w:t>
      </w:r>
      <w:bookmarkStart w:id="55" w:name="_Toc379552203"/>
      <w:bookmarkStart w:id="56" w:name="_Toc248237829"/>
      <w:bookmarkEnd w:id="53"/>
      <w:r w:rsidR="0065689F">
        <w:rPr>
          <w:lang w:val="en-GB"/>
        </w:rPr>
        <w:br/>
      </w:r>
      <w:r w:rsidRPr="00156497">
        <w:rPr>
          <w:lang w:val="en-GB"/>
        </w:rPr>
        <w:t>GENERAL EXCEPTIONS</w:t>
      </w:r>
      <w:bookmarkEnd w:id="54"/>
      <w:bookmarkEnd w:id="55"/>
      <w:bookmarkEnd w:id="56"/>
    </w:p>
    <w:p w:rsidR="00055C64" w:rsidRPr="00156497" w:rsidRDefault="00055C64" w:rsidP="001E465D">
      <w:pPr>
        <w:rPr>
          <w:rFonts w:eastAsia="Times New Roman"/>
          <w:lang w:val="en-GB" w:eastAsia="zh-CN"/>
        </w:rPr>
      </w:pPr>
      <w:r w:rsidRPr="00156497">
        <w:rPr>
          <w:rFonts w:eastAsia="Times New Roman"/>
          <w:lang w:val="en-GB" w:eastAsia="zh-CN"/>
        </w:rPr>
        <w:t>Subject to the requirement that such measures are not applied in a manner which would constitute a means of arbitrary or unjustifiable discrimination between countries where like conditions prevail, or a disguised restriction on investment flows, nothing in this Agreement shall be construed to prevent the adoption or enforcement by any Member State of measures;</w:t>
      </w:r>
    </w:p>
    <w:p w:rsidR="00055C64" w:rsidRPr="00156497" w:rsidRDefault="00055C64" w:rsidP="001E465D">
      <w:pPr>
        <w:numPr>
          <w:ilvl w:val="0"/>
          <w:numId w:val="16"/>
        </w:numPr>
        <w:rPr>
          <w:rFonts w:eastAsia="Times New Roman"/>
          <w:lang w:val="en-GB" w:eastAsia="zh-CN"/>
        </w:rPr>
      </w:pPr>
      <w:r w:rsidRPr="00156497">
        <w:rPr>
          <w:rFonts w:eastAsia="Times New Roman"/>
          <w:lang w:val="en-GB" w:eastAsia="zh-CN"/>
        </w:rPr>
        <w:t>necessary to protect national security and public morals;</w:t>
      </w:r>
    </w:p>
    <w:p w:rsidR="00055C64" w:rsidRPr="00156497" w:rsidRDefault="00055C64" w:rsidP="001E465D">
      <w:pPr>
        <w:numPr>
          <w:ilvl w:val="0"/>
          <w:numId w:val="16"/>
        </w:numPr>
        <w:rPr>
          <w:rFonts w:eastAsia="Times New Roman"/>
          <w:lang w:val="en-GB" w:eastAsia="zh-CN"/>
        </w:rPr>
      </w:pPr>
      <w:r w:rsidRPr="00156497">
        <w:rPr>
          <w:rFonts w:eastAsia="Times New Roman"/>
          <w:lang w:val="en-GB" w:eastAsia="zh-CN"/>
        </w:rPr>
        <w:t>necessary to protect human, animal or plant life or health;</w:t>
      </w:r>
    </w:p>
    <w:p w:rsidR="00055C64" w:rsidRPr="00156497" w:rsidRDefault="00055C64" w:rsidP="001E465D">
      <w:pPr>
        <w:numPr>
          <w:ilvl w:val="0"/>
          <w:numId w:val="16"/>
        </w:numPr>
        <w:rPr>
          <w:rFonts w:eastAsia="Times New Roman"/>
          <w:lang w:val="en-GB" w:eastAsia="zh-CN"/>
        </w:rPr>
      </w:pPr>
      <w:r w:rsidRPr="00156497">
        <w:rPr>
          <w:rFonts w:eastAsia="Times New Roman"/>
          <w:lang w:val="en-GB" w:eastAsia="zh-CN"/>
        </w:rPr>
        <w:t>necessary to secure compliance with laws or regulations which are not inconsistent with the provisions of this Agreement including those relating to:</w:t>
      </w:r>
    </w:p>
    <w:p w:rsidR="00055C64" w:rsidRPr="00156497" w:rsidRDefault="00055C64" w:rsidP="001E465D">
      <w:pPr>
        <w:numPr>
          <w:ilvl w:val="0"/>
          <w:numId w:val="17"/>
        </w:numPr>
        <w:ind w:left="1440"/>
        <w:rPr>
          <w:rFonts w:eastAsia="Times New Roman"/>
          <w:lang w:val="en-GB" w:eastAsia="zh-CN"/>
        </w:rPr>
      </w:pPr>
      <w:r w:rsidRPr="00156497">
        <w:rPr>
          <w:rFonts w:eastAsia="Times New Roman"/>
          <w:lang w:val="en-GB" w:eastAsia="zh-CN"/>
        </w:rPr>
        <w:t>the prevention of deceptive and fraudulent practices or to deal with the effects of a default on investment agreement.</w:t>
      </w:r>
    </w:p>
    <w:p w:rsidR="00055C64" w:rsidRPr="00156497" w:rsidRDefault="00055C64" w:rsidP="001E465D">
      <w:pPr>
        <w:numPr>
          <w:ilvl w:val="0"/>
          <w:numId w:val="17"/>
        </w:numPr>
        <w:ind w:left="1440"/>
        <w:rPr>
          <w:rFonts w:eastAsia="Times New Roman"/>
          <w:lang w:val="en-GB" w:eastAsia="zh-CN"/>
        </w:rPr>
      </w:pPr>
      <w:r w:rsidRPr="00156497">
        <w:rPr>
          <w:rFonts w:eastAsia="Times New Roman"/>
          <w:lang w:val="en-GB" w:eastAsia="zh-CN"/>
        </w:rPr>
        <w:t>the protection of the privacy of individuals in relation to the processing and dissemination of personal data and the protection of confidentiality of individual records and accounts.</w:t>
      </w:r>
    </w:p>
    <w:p w:rsidR="00055C64" w:rsidRPr="00156497" w:rsidRDefault="00055C64" w:rsidP="001E465D">
      <w:pPr>
        <w:numPr>
          <w:ilvl w:val="0"/>
          <w:numId w:val="17"/>
        </w:numPr>
        <w:ind w:left="1440"/>
        <w:rPr>
          <w:rFonts w:eastAsia="Times New Roman"/>
          <w:lang w:val="en-GB" w:eastAsia="zh-CN"/>
        </w:rPr>
      </w:pPr>
      <w:r w:rsidRPr="00156497">
        <w:rPr>
          <w:rFonts w:eastAsia="Times New Roman"/>
          <w:lang w:val="en-GB" w:eastAsia="zh-CN"/>
        </w:rPr>
        <w:t>safety.</w:t>
      </w:r>
    </w:p>
    <w:p w:rsidR="00055C64" w:rsidRPr="00156497" w:rsidRDefault="00055C64" w:rsidP="001E465D">
      <w:pPr>
        <w:numPr>
          <w:ilvl w:val="0"/>
          <w:numId w:val="16"/>
        </w:numPr>
        <w:rPr>
          <w:rFonts w:eastAsia="Times New Roman"/>
          <w:lang w:val="en-GB" w:eastAsia="zh-CN"/>
        </w:rPr>
      </w:pPr>
      <w:r w:rsidRPr="00156497">
        <w:rPr>
          <w:rFonts w:eastAsia="Times New Roman"/>
          <w:lang w:val="en-GB" w:eastAsia="zh-CN"/>
        </w:rPr>
        <w:t>aimed at ensuring the equitable or effective imposition or collection of direct taxes in respect of investments or investors of Member States.</w:t>
      </w:r>
    </w:p>
    <w:p w:rsidR="00055C64" w:rsidRPr="00156497" w:rsidRDefault="00645FF2" w:rsidP="001E465D">
      <w:pPr>
        <w:pStyle w:val="Heading1"/>
        <w:rPr>
          <w:lang w:val="en-GB"/>
        </w:rPr>
      </w:pPr>
      <w:bookmarkStart w:id="57" w:name="_Toc379552204"/>
      <w:bookmarkStart w:id="58" w:name="_Toc517779071"/>
      <w:r w:rsidRPr="00156497">
        <w:rPr>
          <w:lang w:val="en-GB"/>
        </w:rPr>
        <w:t>ARTICLE 14</w:t>
      </w:r>
      <w:bookmarkStart w:id="59" w:name="_Toc379552205"/>
      <w:bookmarkStart w:id="60" w:name="_Toc248237831"/>
      <w:bookmarkEnd w:id="57"/>
      <w:r w:rsidR="0065689F">
        <w:rPr>
          <w:lang w:val="en-GB"/>
        </w:rPr>
        <w:br/>
      </w:r>
      <w:r w:rsidRPr="00156497">
        <w:rPr>
          <w:lang w:val="en-GB"/>
        </w:rPr>
        <w:t>EMERGENCY SAFEGUARD MEASURES</w:t>
      </w:r>
      <w:bookmarkEnd w:id="58"/>
      <w:bookmarkEnd w:id="59"/>
      <w:bookmarkEnd w:id="60"/>
    </w:p>
    <w:p w:rsidR="00055C64" w:rsidRPr="00156497" w:rsidRDefault="00055C64" w:rsidP="001E465D">
      <w:pPr>
        <w:numPr>
          <w:ilvl w:val="0"/>
          <w:numId w:val="18"/>
        </w:numPr>
        <w:rPr>
          <w:rFonts w:eastAsia="Times New Roman"/>
          <w:lang w:val="en-GB" w:eastAsia="zh-CN"/>
        </w:rPr>
      </w:pPr>
      <w:r w:rsidRPr="00156497">
        <w:rPr>
          <w:rFonts w:eastAsia="Times New Roman"/>
          <w:lang w:val="en-GB" w:eastAsia="zh-CN"/>
        </w:rPr>
        <w:t>If, as a result of the implementation of the liberalisation programme under this Agreement, a Member state suffers or is threatened with any serious injury and threat, the Member State may take emergency safeguard measures to the extent and for such period as may be necessary to prevent or to remedy such injury. The measures taken shall be provisional and without discrimination.</w:t>
      </w:r>
    </w:p>
    <w:p w:rsidR="00055C64" w:rsidRPr="00156497" w:rsidRDefault="00055C64" w:rsidP="001E465D">
      <w:pPr>
        <w:numPr>
          <w:ilvl w:val="0"/>
          <w:numId w:val="18"/>
        </w:numPr>
        <w:rPr>
          <w:rFonts w:eastAsia="Times New Roman"/>
          <w:lang w:val="en-GB" w:eastAsia="zh-CN"/>
        </w:rPr>
      </w:pPr>
      <w:r w:rsidRPr="00156497">
        <w:rPr>
          <w:rFonts w:eastAsia="Times New Roman"/>
          <w:lang w:val="en-GB" w:eastAsia="zh-CN"/>
        </w:rPr>
        <w:lastRenderedPageBreak/>
        <w:t>Where emergency safeguard measures are taken pursuant to this Article, notice of such measure shall be given to the AIA Council within 14 days from the date such measures are taken.</w:t>
      </w:r>
    </w:p>
    <w:p w:rsidR="00055C64" w:rsidRPr="00156497" w:rsidRDefault="00055C64" w:rsidP="001E465D">
      <w:pPr>
        <w:numPr>
          <w:ilvl w:val="0"/>
          <w:numId w:val="18"/>
        </w:numPr>
        <w:rPr>
          <w:rFonts w:eastAsia="Times New Roman"/>
          <w:lang w:val="en-GB" w:eastAsia="zh-CN"/>
        </w:rPr>
      </w:pPr>
      <w:r w:rsidRPr="00156497">
        <w:rPr>
          <w:rFonts w:eastAsia="Times New Roman"/>
          <w:lang w:val="en-GB" w:eastAsia="zh-CN"/>
        </w:rPr>
        <w:t>The AIA Council shall determine the definition of serious injury and threat of serious injury and the procedures of instituting emergency safeguards measures pursuant to this Article.</w:t>
      </w:r>
    </w:p>
    <w:p w:rsidR="00055C64" w:rsidRPr="00156497" w:rsidRDefault="00645FF2" w:rsidP="001E465D">
      <w:pPr>
        <w:pStyle w:val="Heading1"/>
        <w:rPr>
          <w:rFonts w:eastAsia="Calibri"/>
          <w:lang w:val="en-GB"/>
        </w:rPr>
      </w:pPr>
      <w:bookmarkStart w:id="61" w:name="_Toc379552206"/>
      <w:bookmarkStart w:id="62" w:name="_Toc517779072"/>
      <w:r w:rsidRPr="00156497">
        <w:rPr>
          <w:rFonts w:eastAsia="Calibri"/>
          <w:lang w:val="en-GB"/>
        </w:rPr>
        <w:t>ARTICLE 15</w:t>
      </w:r>
      <w:bookmarkStart w:id="63" w:name="_Toc379552207"/>
      <w:bookmarkStart w:id="64" w:name="_Toc248237833"/>
      <w:bookmarkEnd w:id="61"/>
      <w:r w:rsidR="0065689F">
        <w:rPr>
          <w:rFonts w:eastAsia="Calibri"/>
          <w:lang w:val="en-GB"/>
        </w:rPr>
        <w:br/>
      </w:r>
      <w:r w:rsidRPr="00156497">
        <w:rPr>
          <w:rFonts w:eastAsia="Calibri"/>
          <w:lang w:val="en-GB"/>
        </w:rPr>
        <w:t>MEASURES TO SAFEGUARD THE BALANCE OF</w:t>
      </w:r>
      <w:r w:rsidR="00055C64" w:rsidRPr="00156497">
        <w:rPr>
          <w:kern w:val="32"/>
          <w:lang w:val="en-GB"/>
        </w:rPr>
        <w:t xml:space="preserve"> </w:t>
      </w:r>
      <w:r w:rsidRPr="00156497">
        <w:rPr>
          <w:rFonts w:eastAsia="Calibri"/>
          <w:lang w:val="en-GB"/>
        </w:rPr>
        <w:t>PAYMENTS</w:t>
      </w:r>
      <w:bookmarkEnd w:id="62"/>
      <w:bookmarkEnd w:id="63"/>
      <w:bookmarkEnd w:id="64"/>
    </w:p>
    <w:p w:rsidR="00055C64" w:rsidRPr="00156497" w:rsidRDefault="00055C64" w:rsidP="001E465D">
      <w:pPr>
        <w:numPr>
          <w:ilvl w:val="0"/>
          <w:numId w:val="19"/>
        </w:numPr>
        <w:rPr>
          <w:rFonts w:eastAsia="Times New Roman"/>
          <w:lang w:val="en-GB" w:eastAsia="zh-CN"/>
        </w:rPr>
      </w:pPr>
      <w:r w:rsidRPr="00156497">
        <w:rPr>
          <w:rFonts w:eastAsia="Times New Roman"/>
          <w:lang w:val="en-GB" w:eastAsia="zh-CN"/>
        </w:rPr>
        <w:t>In the event of serious balance of payments and external financial difficulties or threat thereof, a Member State may adopt or maintain restrictions on investments on which it has undertaken specific commitments, including on payments or transfers for transactions related to such commitments. It is recognised that particular pressures on the balance of payments of a Member State in the process of economic development or economic transition may necessitate the use of restrictions to ensure, inter alia, the maintenance of a level of financial reserves adequate for the implementation of its programme of economic development or economic transition.</w:t>
      </w:r>
    </w:p>
    <w:p w:rsidR="00055C64" w:rsidRPr="00156497" w:rsidRDefault="00055C64" w:rsidP="001E465D">
      <w:pPr>
        <w:numPr>
          <w:ilvl w:val="0"/>
          <w:numId w:val="19"/>
        </w:numPr>
        <w:rPr>
          <w:rFonts w:eastAsia="Times New Roman"/>
          <w:lang w:val="en-GB" w:eastAsia="zh-CN"/>
        </w:rPr>
      </w:pPr>
      <w:r w:rsidRPr="00156497">
        <w:rPr>
          <w:rFonts w:eastAsia="Times New Roman"/>
          <w:lang w:val="en-GB" w:eastAsia="zh-CN"/>
        </w:rPr>
        <w:t>Where measures to safeguard balance of payments are taken pursuant to this Article notice of such measures shall be given to the AIA Council within 14 days from the date such measures are taken.</w:t>
      </w:r>
    </w:p>
    <w:p w:rsidR="00055C64" w:rsidRPr="00156497" w:rsidRDefault="00055C64" w:rsidP="001E465D">
      <w:pPr>
        <w:numPr>
          <w:ilvl w:val="0"/>
          <w:numId w:val="19"/>
        </w:numPr>
        <w:rPr>
          <w:rFonts w:eastAsia="Times New Roman"/>
          <w:lang w:val="en-GB" w:eastAsia="zh-CN"/>
        </w:rPr>
      </w:pPr>
      <w:r w:rsidRPr="00156497">
        <w:rPr>
          <w:rFonts w:eastAsia="Times New Roman"/>
          <w:lang w:val="en-GB" w:eastAsia="zh-CN"/>
        </w:rPr>
        <w:t>The measures referred to in paragraph (1):</w:t>
      </w:r>
    </w:p>
    <w:p w:rsidR="00055C64" w:rsidRPr="00156497" w:rsidRDefault="00055C64" w:rsidP="001E465D">
      <w:pPr>
        <w:numPr>
          <w:ilvl w:val="0"/>
          <w:numId w:val="20"/>
        </w:numPr>
        <w:rPr>
          <w:rFonts w:eastAsia="Times New Roman"/>
          <w:lang w:val="en-GB" w:eastAsia="zh-CN"/>
        </w:rPr>
      </w:pPr>
      <w:r w:rsidRPr="00156497">
        <w:rPr>
          <w:rFonts w:eastAsia="Times New Roman"/>
          <w:lang w:val="en-GB" w:eastAsia="zh-CN"/>
        </w:rPr>
        <w:t>shall not discriminate among Member States;</w:t>
      </w:r>
    </w:p>
    <w:p w:rsidR="00055C64" w:rsidRPr="00156497" w:rsidRDefault="00055C64" w:rsidP="001E465D">
      <w:pPr>
        <w:numPr>
          <w:ilvl w:val="0"/>
          <w:numId w:val="20"/>
        </w:numPr>
        <w:rPr>
          <w:rFonts w:eastAsia="Times New Roman"/>
          <w:lang w:val="en-GB" w:eastAsia="zh-CN"/>
        </w:rPr>
      </w:pPr>
      <w:r w:rsidRPr="00156497">
        <w:rPr>
          <w:rFonts w:eastAsia="Times New Roman"/>
          <w:lang w:val="en-GB" w:eastAsia="zh-CN"/>
        </w:rPr>
        <w:t>shall be consistent with the Articles of Agreement of the International Monetary Fund;</w:t>
      </w:r>
    </w:p>
    <w:p w:rsidR="00055C64" w:rsidRPr="00156497" w:rsidRDefault="00055C64" w:rsidP="001E465D">
      <w:pPr>
        <w:numPr>
          <w:ilvl w:val="0"/>
          <w:numId w:val="20"/>
        </w:numPr>
        <w:rPr>
          <w:rFonts w:eastAsia="Times New Roman"/>
          <w:lang w:val="en-GB" w:eastAsia="zh-CN"/>
        </w:rPr>
      </w:pPr>
      <w:r w:rsidRPr="00156497">
        <w:rPr>
          <w:rFonts w:eastAsia="Times New Roman"/>
          <w:lang w:val="en-GB" w:eastAsia="zh-CN"/>
        </w:rPr>
        <w:t>shall avoid unnecessary damage to the commercial, economic and financial interests of any other Member State;</w:t>
      </w:r>
    </w:p>
    <w:p w:rsidR="00055C64" w:rsidRPr="00156497" w:rsidRDefault="00055C64" w:rsidP="001E465D">
      <w:pPr>
        <w:numPr>
          <w:ilvl w:val="0"/>
          <w:numId w:val="20"/>
        </w:numPr>
        <w:rPr>
          <w:rFonts w:eastAsia="Times New Roman"/>
          <w:lang w:val="en-GB" w:eastAsia="zh-CN"/>
        </w:rPr>
      </w:pPr>
      <w:r w:rsidRPr="00156497">
        <w:rPr>
          <w:rFonts w:eastAsia="Times New Roman"/>
          <w:lang w:val="en-GB" w:eastAsia="zh-CN"/>
        </w:rPr>
        <w:t>shall not exceed those necessary to deal with the circumstances described in paragrap</w:t>
      </w:r>
      <w:r w:rsidR="00135759">
        <w:rPr>
          <w:rFonts w:eastAsia="Times New Roman"/>
          <w:lang w:val="en-GB" w:eastAsia="zh-CN"/>
        </w:rPr>
        <w:t>h 1</w:t>
      </w:r>
      <w:r w:rsidRPr="00156497">
        <w:rPr>
          <w:rFonts w:eastAsia="Times New Roman"/>
          <w:lang w:val="en-GB" w:eastAsia="zh-CN"/>
        </w:rPr>
        <w:t>; and</w:t>
      </w:r>
    </w:p>
    <w:p w:rsidR="00055C64" w:rsidRPr="00156497" w:rsidRDefault="00055C64" w:rsidP="001E465D">
      <w:pPr>
        <w:numPr>
          <w:ilvl w:val="0"/>
          <w:numId w:val="20"/>
        </w:numPr>
        <w:rPr>
          <w:rFonts w:eastAsia="Times New Roman"/>
          <w:lang w:val="en-GB" w:eastAsia="zh-CN"/>
        </w:rPr>
      </w:pPr>
      <w:r w:rsidRPr="00156497">
        <w:rPr>
          <w:rFonts w:eastAsia="Times New Roman"/>
          <w:lang w:val="en-GB" w:eastAsia="zh-CN"/>
        </w:rPr>
        <w:t>shall be temporary and be phased out progressively as the situation specified in paragraph 1 improves.</w:t>
      </w:r>
    </w:p>
    <w:p w:rsidR="00055C64" w:rsidRPr="00156497" w:rsidRDefault="00055C64" w:rsidP="001E465D">
      <w:pPr>
        <w:numPr>
          <w:ilvl w:val="0"/>
          <w:numId w:val="19"/>
        </w:numPr>
        <w:rPr>
          <w:rFonts w:eastAsia="Times New Roman"/>
          <w:lang w:val="en-GB" w:eastAsia="zh-CN"/>
        </w:rPr>
      </w:pPr>
      <w:r w:rsidRPr="00156497">
        <w:rPr>
          <w:rFonts w:eastAsia="Times New Roman"/>
          <w:lang w:val="en-GB" w:eastAsia="zh-CN"/>
        </w:rPr>
        <w:t>The Member States adopting the balance of payments measures shall commence consultations with the AIA Council and other Member States within 90 days from the date of notification in order to review the balance of payment measures adopted by it.</w:t>
      </w:r>
    </w:p>
    <w:p w:rsidR="00055C64" w:rsidRPr="00156497" w:rsidRDefault="00055C64" w:rsidP="001E465D">
      <w:pPr>
        <w:numPr>
          <w:ilvl w:val="0"/>
          <w:numId w:val="19"/>
        </w:numPr>
        <w:rPr>
          <w:rFonts w:eastAsia="Times New Roman"/>
          <w:lang w:val="en-GB" w:eastAsia="zh-CN"/>
        </w:rPr>
      </w:pPr>
      <w:r w:rsidRPr="00156497">
        <w:rPr>
          <w:rFonts w:eastAsia="Times New Roman"/>
          <w:lang w:val="en-GB" w:eastAsia="zh-CN"/>
        </w:rPr>
        <w:t>The AIA Council shall determine the rules applicable to the procedures under this Article.</w:t>
      </w:r>
    </w:p>
    <w:p w:rsidR="00055C64" w:rsidRPr="00156497" w:rsidRDefault="00645FF2" w:rsidP="001E465D">
      <w:pPr>
        <w:pStyle w:val="Heading1"/>
        <w:rPr>
          <w:lang w:val="en-GB"/>
        </w:rPr>
      </w:pPr>
      <w:bookmarkStart w:id="65" w:name="_Toc379552208"/>
      <w:bookmarkStart w:id="66" w:name="_Toc517779073"/>
      <w:r w:rsidRPr="00156497">
        <w:rPr>
          <w:lang w:val="en-GB"/>
        </w:rPr>
        <w:t>ARTICLE 16</w:t>
      </w:r>
      <w:bookmarkStart w:id="67" w:name="_Toc379552209"/>
      <w:bookmarkStart w:id="68" w:name="_Toc248237835"/>
      <w:bookmarkEnd w:id="65"/>
      <w:r w:rsidR="0065689F">
        <w:rPr>
          <w:lang w:val="en-GB"/>
        </w:rPr>
        <w:br/>
      </w:r>
      <w:r w:rsidRPr="00156497">
        <w:rPr>
          <w:lang w:val="en-GB"/>
        </w:rPr>
        <w:t>INSTITUTIONAL ARRANGEMENTS</w:t>
      </w:r>
      <w:bookmarkEnd w:id="66"/>
      <w:bookmarkEnd w:id="67"/>
      <w:bookmarkEnd w:id="68"/>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t>The ASEAN Economic Ministers (AEM) shall establish an ASEAN Investment Area Council (in this Agreement referred to as "the AIA Council") comprising the Ministers responsible for investment and the Secretary-General of ASEAN. The ASEAN Heads of Investment Agencies shall participate in the AIA Council meetings.</w:t>
      </w:r>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t>Notwithstanding Article 21 of this Agreement, the AIA Council shall be established upon the signing of this Agreement.</w:t>
      </w:r>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lastRenderedPageBreak/>
        <w:t>The AIA Council shall supervise, co-ordinate and review the implementation of this Agreement and assist the AEM in all matters relating thereto.</w:t>
      </w:r>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t>In the performance of its functions, the AIA Council shall establish a Co-ordinating Committee on Investment (CCI) comprising senior officials responsible for investment and other senior officials from relevant government agencies.</w:t>
      </w:r>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t>The Co-ordinating Committee on Investment shall report to the AIA Council through the Senior Economic Officials Meeting (SEOM).</w:t>
      </w:r>
    </w:p>
    <w:p w:rsidR="00055C64" w:rsidRPr="00156497" w:rsidRDefault="00055C64" w:rsidP="001E465D">
      <w:pPr>
        <w:numPr>
          <w:ilvl w:val="0"/>
          <w:numId w:val="21"/>
        </w:numPr>
        <w:rPr>
          <w:rFonts w:eastAsia="Times New Roman"/>
          <w:lang w:val="en-GB" w:eastAsia="zh-CN"/>
        </w:rPr>
      </w:pPr>
      <w:r w:rsidRPr="00156497">
        <w:rPr>
          <w:rFonts w:eastAsia="Times New Roman"/>
          <w:lang w:val="en-GB" w:eastAsia="zh-CN"/>
        </w:rPr>
        <w:t>The ASEAN Secretariat shall be the secretariat to the AIA Council and the Co-ordinating Committee on Investment (CCI).</w:t>
      </w:r>
    </w:p>
    <w:p w:rsidR="00055C64" w:rsidRPr="00156497" w:rsidRDefault="00645FF2" w:rsidP="001E465D">
      <w:pPr>
        <w:pStyle w:val="Heading1"/>
        <w:rPr>
          <w:lang w:val="en-GB"/>
        </w:rPr>
      </w:pPr>
      <w:bookmarkStart w:id="69" w:name="_Toc379552210"/>
      <w:bookmarkStart w:id="70" w:name="_Toc517779074"/>
      <w:r w:rsidRPr="00156497">
        <w:rPr>
          <w:lang w:val="en-GB"/>
        </w:rPr>
        <w:t>ARTICLE 17</w:t>
      </w:r>
      <w:bookmarkStart w:id="71" w:name="_Toc379552211"/>
      <w:bookmarkStart w:id="72" w:name="_Toc248237837"/>
      <w:bookmarkEnd w:id="69"/>
      <w:r w:rsidR="0065689F">
        <w:rPr>
          <w:lang w:val="en-GB"/>
        </w:rPr>
        <w:br/>
      </w:r>
      <w:r w:rsidRPr="00156497">
        <w:rPr>
          <w:lang w:val="en-GB"/>
        </w:rPr>
        <w:t>SETTLEMENT OF DISPUTES</w:t>
      </w:r>
      <w:bookmarkEnd w:id="70"/>
      <w:bookmarkEnd w:id="71"/>
      <w:bookmarkEnd w:id="72"/>
    </w:p>
    <w:p w:rsidR="00055C64" w:rsidRPr="00156497" w:rsidRDefault="00055C64" w:rsidP="001E465D">
      <w:pPr>
        <w:ind w:left="360" w:hanging="360"/>
        <w:rPr>
          <w:rFonts w:eastAsia="Times New Roman"/>
          <w:lang w:val="en-GB" w:eastAsia="zh-CN"/>
        </w:rPr>
      </w:pPr>
      <w:r w:rsidRPr="00156497">
        <w:rPr>
          <w:rFonts w:eastAsia="Times New Roman"/>
          <w:lang w:val="en-GB" w:eastAsia="zh-CN"/>
        </w:rPr>
        <w:t>1.  The Protocol on Dispute Settlement Mechanism for ASEAN shall apply in relation to any dispute arising from, or any differences between Member States concerning the interpretation or application of this Agreement or any arrangement arising therefrom.</w:t>
      </w:r>
    </w:p>
    <w:p w:rsidR="00055C64" w:rsidRPr="00156497" w:rsidRDefault="00055C64" w:rsidP="001E465D">
      <w:pPr>
        <w:ind w:left="360" w:hanging="360"/>
        <w:rPr>
          <w:rFonts w:eastAsia="Times New Roman"/>
          <w:lang w:val="en-GB" w:eastAsia="zh-CN"/>
        </w:rPr>
      </w:pPr>
      <w:r w:rsidRPr="00156497">
        <w:rPr>
          <w:rFonts w:eastAsia="Times New Roman"/>
          <w:lang w:val="en-GB" w:eastAsia="zh-CN"/>
        </w:rPr>
        <w:t>2.  If necessary, a specific dispute settlement mechanism may be established for the purpose of this Agreement which shall form an integral part of this Agreement.</w:t>
      </w:r>
    </w:p>
    <w:p w:rsidR="00055C64" w:rsidRPr="00156497" w:rsidRDefault="00645FF2" w:rsidP="001E465D">
      <w:pPr>
        <w:pStyle w:val="Heading1"/>
        <w:rPr>
          <w:lang w:val="en-GB"/>
        </w:rPr>
      </w:pPr>
      <w:bookmarkStart w:id="73" w:name="_Toc379552212"/>
      <w:bookmarkStart w:id="74" w:name="_Toc517779075"/>
      <w:r w:rsidRPr="00156497">
        <w:rPr>
          <w:lang w:val="en-GB"/>
        </w:rPr>
        <w:t>ARTICLE 18</w:t>
      </w:r>
      <w:bookmarkStart w:id="75" w:name="_Toc379552213"/>
      <w:bookmarkStart w:id="76" w:name="_Toc248237839"/>
      <w:bookmarkEnd w:id="73"/>
      <w:r w:rsidR="0065689F">
        <w:rPr>
          <w:lang w:val="en-GB"/>
        </w:rPr>
        <w:br/>
      </w:r>
      <w:r w:rsidRPr="00156497">
        <w:rPr>
          <w:lang w:val="en-GB"/>
        </w:rPr>
        <w:t>AMENDMENTS</w:t>
      </w:r>
      <w:bookmarkEnd w:id="74"/>
      <w:bookmarkEnd w:id="75"/>
      <w:bookmarkEnd w:id="76"/>
    </w:p>
    <w:p w:rsidR="00055C64" w:rsidRPr="00156497" w:rsidRDefault="00055C64" w:rsidP="001E465D">
      <w:pPr>
        <w:rPr>
          <w:rFonts w:eastAsia="Times New Roman"/>
          <w:lang w:val="en-GB" w:eastAsia="zh-CN"/>
        </w:rPr>
      </w:pPr>
      <w:r w:rsidRPr="00156497">
        <w:rPr>
          <w:rFonts w:eastAsia="Times New Roman"/>
          <w:lang w:val="en-GB" w:eastAsia="zh-CN"/>
        </w:rPr>
        <w:t>Any amendments to this Agreement shall be made by consensus and shall become effective upon the deposit of instruments of ratification or acceptance by all signatory governments with the Secretary-General of ASEAN.</w:t>
      </w:r>
    </w:p>
    <w:p w:rsidR="00055C64" w:rsidRPr="00156497" w:rsidRDefault="00645FF2" w:rsidP="001E465D">
      <w:pPr>
        <w:pStyle w:val="Heading1"/>
        <w:rPr>
          <w:rFonts w:eastAsia="Calibri"/>
          <w:lang w:val="en-GB"/>
        </w:rPr>
      </w:pPr>
      <w:bookmarkStart w:id="77" w:name="_Toc379552214"/>
      <w:bookmarkStart w:id="78" w:name="_Toc517779076"/>
      <w:r w:rsidRPr="00156497">
        <w:rPr>
          <w:rFonts w:eastAsia="Calibri"/>
          <w:lang w:val="en-GB"/>
        </w:rPr>
        <w:t>ARTICLE 19</w:t>
      </w:r>
      <w:bookmarkStart w:id="79" w:name="_Toc379552215"/>
      <w:bookmarkStart w:id="80" w:name="_Toc248237841"/>
      <w:bookmarkEnd w:id="77"/>
      <w:r w:rsidR="0065689F">
        <w:rPr>
          <w:rFonts w:eastAsia="Calibri"/>
          <w:lang w:val="en-GB"/>
        </w:rPr>
        <w:br/>
      </w:r>
      <w:r w:rsidRPr="00156497">
        <w:rPr>
          <w:rFonts w:eastAsia="Calibri"/>
          <w:lang w:val="en-GB"/>
        </w:rPr>
        <w:t>SUPPLEMENTARY AGREEMENTS OR</w:t>
      </w:r>
      <w:r w:rsidR="00055C64" w:rsidRPr="00156497">
        <w:rPr>
          <w:kern w:val="32"/>
          <w:lang w:val="en-GB"/>
        </w:rPr>
        <w:t xml:space="preserve"> </w:t>
      </w:r>
      <w:r w:rsidRPr="00156497">
        <w:rPr>
          <w:rFonts w:eastAsia="Calibri"/>
          <w:lang w:val="en-GB"/>
        </w:rPr>
        <w:t>ARRANGEMENTS</w:t>
      </w:r>
      <w:bookmarkEnd w:id="78"/>
      <w:bookmarkEnd w:id="79"/>
      <w:bookmarkEnd w:id="80"/>
    </w:p>
    <w:p w:rsidR="00055C64" w:rsidRPr="00156497" w:rsidRDefault="00055C64" w:rsidP="001E465D">
      <w:pPr>
        <w:rPr>
          <w:rFonts w:eastAsia="Times New Roman"/>
          <w:lang w:val="en-GB" w:eastAsia="zh-CN"/>
        </w:rPr>
      </w:pPr>
      <w:r w:rsidRPr="00156497">
        <w:rPr>
          <w:rFonts w:eastAsia="Times New Roman"/>
          <w:lang w:val="en-GB" w:eastAsia="zh-CN"/>
        </w:rPr>
        <w:t>The Schedules, Action Plans, Annexes, and any other arrangements or agreements arising under this Agreement shall form an integral part of this Agreement.</w:t>
      </w:r>
    </w:p>
    <w:p w:rsidR="00055C64" w:rsidRPr="00156497" w:rsidRDefault="00645FF2" w:rsidP="001E465D">
      <w:pPr>
        <w:pStyle w:val="Heading1"/>
        <w:rPr>
          <w:lang w:val="en-GB"/>
        </w:rPr>
      </w:pPr>
      <w:bookmarkStart w:id="81" w:name="_Toc379552216"/>
      <w:bookmarkStart w:id="82" w:name="_Toc517779077"/>
      <w:r w:rsidRPr="00156497">
        <w:rPr>
          <w:lang w:val="en-GB"/>
        </w:rPr>
        <w:t>ARTICLE 20</w:t>
      </w:r>
      <w:bookmarkStart w:id="83" w:name="_Toc379552217"/>
      <w:bookmarkStart w:id="84" w:name="_Toc248237843"/>
      <w:bookmarkEnd w:id="81"/>
      <w:r w:rsidR="0065689F">
        <w:rPr>
          <w:lang w:val="en-GB"/>
        </w:rPr>
        <w:br/>
      </w:r>
      <w:r w:rsidRPr="00156497">
        <w:rPr>
          <w:lang w:val="en-GB"/>
        </w:rPr>
        <w:t>ACCESSION OF NEW MEMBERS</w:t>
      </w:r>
      <w:bookmarkEnd w:id="82"/>
      <w:bookmarkEnd w:id="83"/>
      <w:bookmarkEnd w:id="84"/>
    </w:p>
    <w:p w:rsidR="00055C64" w:rsidRPr="00156497" w:rsidRDefault="00055C64" w:rsidP="001E465D">
      <w:pPr>
        <w:rPr>
          <w:rFonts w:eastAsia="Times New Roman"/>
          <w:lang w:val="en-GB" w:eastAsia="zh-CN"/>
        </w:rPr>
      </w:pPr>
      <w:r w:rsidRPr="00156497">
        <w:rPr>
          <w:rFonts w:eastAsia="Times New Roman"/>
          <w:lang w:val="en-GB" w:eastAsia="zh-CN"/>
        </w:rPr>
        <w:t>New members of ASEAN shall accede to this Agreement on terms and conditions agreed between them and signatories to this Agreement and by depositing the instrument of accession with the Secretary-General of ASEAN.</w:t>
      </w:r>
    </w:p>
    <w:p w:rsidR="00055C64" w:rsidRPr="00156497" w:rsidRDefault="00645FF2" w:rsidP="001E465D">
      <w:pPr>
        <w:pStyle w:val="Heading1"/>
        <w:rPr>
          <w:lang w:val="en-GB"/>
        </w:rPr>
      </w:pPr>
      <w:bookmarkStart w:id="85" w:name="_Toc379552218"/>
      <w:bookmarkStart w:id="86" w:name="_Toc517779078"/>
      <w:r w:rsidRPr="00156497">
        <w:rPr>
          <w:lang w:val="en-GB"/>
        </w:rPr>
        <w:t>ARTICLE 21</w:t>
      </w:r>
      <w:bookmarkStart w:id="87" w:name="_Toc379552219"/>
      <w:bookmarkStart w:id="88" w:name="_Toc248237845"/>
      <w:bookmarkEnd w:id="85"/>
      <w:r w:rsidRPr="00156497">
        <w:rPr>
          <w:lang w:val="en-GB"/>
        </w:rPr>
        <w:t xml:space="preserve"> </w:t>
      </w:r>
      <w:r w:rsidR="0065689F">
        <w:rPr>
          <w:lang w:val="en-GB"/>
        </w:rPr>
        <w:br/>
      </w:r>
      <w:r w:rsidRPr="00156497">
        <w:rPr>
          <w:lang w:val="en-GB"/>
        </w:rPr>
        <w:t>FINAL PROVISIONS</w:t>
      </w:r>
      <w:bookmarkEnd w:id="86"/>
      <w:bookmarkEnd w:id="87"/>
      <w:bookmarkEnd w:id="88"/>
    </w:p>
    <w:p w:rsidR="00055C64" w:rsidRPr="00156497" w:rsidRDefault="00055C64" w:rsidP="001E465D">
      <w:pPr>
        <w:numPr>
          <w:ilvl w:val="0"/>
          <w:numId w:val="22"/>
        </w:numPr>
        <w:rPr>
          <w:rFonts w:eastAsia="Times New Roman"/>
          <w:lang w:val="en-GB" w:eastAsia="zh-CN"/>
        </w:rPr>
      </w:pPr>
      <w:r w:rsidRPr="00156497">
        <w:rPr>
          <w:rFonts w:eastAsia="Times New Roman"/>
          <w:lang w:val="en-GB" w:eastAsia="zh-CN"/>
        </w:rPr>
        <w:t>This Agreement shall enter into force upon the deposit of instruments of ratification or acceptance by all signatory governments with the Secretary-General of ASEAN. The signatory governments undertake to deposit their instruments of ratification or acceptance within 6 months after the date of signing of this Agreement.</w:t>
      </w:r>
    </w:p>
    <w:p w:rsidR="00055C64" w:rsidRPr="00156497" w:rsidRDefault="00055C64" w:rsidP="006A77F7">
      <w:pPr>
        <w:numPr>
          <w:ilvl w:val="0"/>
          <w:numId w:val="22"/>
        </w:numPr>
        <w:rPr>
          <w:rFonts w:eastAsia="Times New Roman"/>
          <w:b/>
          <w:bCs/>
          <w:lang w:val="en-GB" w:eastAsia="zh-CN"/>
        </w:rPr>
      </w:pPr>
      <w:r w:rsidRPr="00156497">
        <w:rPr>
          <w:rFonts w:eastAsia="Times New Roman"/>
          <w:lang w:val="en-GB" w:eastAsia="zh-CN"/>
        </w:rPr>
        <w:lastRenderedPageBreak/>
        <w:t>This Agreement shall be deposited with the Secretary-General of ASEAN, who shall promptly furnish a certified copy thereof to each Member State.</w:t>
      </w:r>
    </w:p>
    <w:p w:rsidR="001E465D" w:rsidRPr="00156497" w:rsidRDefault="001E465D" w:rsidP="001E465D">
      <w:pPr>
        <w:ind w:left="360"/>
        <w:rPr>
          <w:rFonts w:eastAsia="Times New Roman"/>
          <w:b/>
          <w:bCs/>
          <w:lang w:val="en-GB" w:eastAsia="zh-CN"/>
        </w:rPr>
      </w:pPr>
    </w:p>
    <w:p w:rsidR="00055C64" w:rsidRPr="00156497" w:rsidRDefault="00055C64" w:rsidP="001E465D">
      <w:pPr>
        <w:rPr>
          <w:rFonts w:eastAsia="Times New Roman"/>
          <w:lang w:val="en-GB" w:eastAsia="zh-CN"/>
        </w:rPr>
      </w:pPr>
      <w:r w:rsidRPr="00156497">
        <w:rPr>
          <w:rFonts w:eastAsia="Times New Roman"/>
          <w:b/>
          <w:bCs/>
          <w:lang w:val="en-GB" w:eastAsia="zh-CN"/>
        </w:rPr>
        <w:t xml:space="preserve">IN WITNESS WHEREOF, </w:t>
      </w:r>
      <w:r w:rsidRPr="00156497">
        <w:rPr>
          <w:rFonts w:eastAsia="Times New Roman"/>
          <w:lang w:val="en-GB" w:eastAsia="zh-CN"/>
        </w:rPr>
        <w:t>the undersigned being duly authorised by their respective Governments, have signed this Framework Agreement on the ASEAN Investment Area.</w:t>
      </w:r>
    </w:p>
    <w:p w:rsidR="00055C64" w:rsidRPr="00156497" w:rsidRDefault="00055C64" w:rsidP="001E465D">
      <w:pPr>
        <w:rPr>
          <w:rFonts w:eastAsia="Times New Roman" w:cs="Arial"/>
          <w:lang w:val="en-GB" w:eastAsia="zh-CN"/>
        </w:rPr>
      </w:pPr>
      <w:r w:rsidRPr="00156497">
        <w:rPr>
          <w:rFonts w:eastAsia="Times New Roman"/>
          <w:b/>
          <w:bCs/>
          <w:lang w:val="en-GB" w:eastAsia="zh-CN"/>
        </w:rPr>
        <w:t xml:space="preserve">DONE at Makati, Philippines this 7th day of October 1998, </w:t>
      </w:r>
      <w:r w:rsidRPr="00156497">
        <w:rPr>
          <w:rFonts w:eastAsia="Times New Roman"/>
          <w:lang w:val="en-GB" w:eastAsia="zh-CN"/>
        </w:rPr>
        <w:t>in a single copy in the English language.</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w:t>
      </w:r>
      <w:r w:rsidR="0065689F">
        <w:rPr>
          <w:rFonts w:eastAsia="Times New Roman" w:cs="Arial"/>
          <w:lang w:val="en-GB"/>
        </w:rPr>
        <w:t xml:space="preserve">the Government of </w:t>
      </w:r>
      <w:r w:rsidRPr="00156497">
        <w:rPr>
          <w:rFonts w:eastAsia="Times New Roman" w:cs="Arial"/>
          <w:lang w:val="en-GB"/>
        </w:rPr>
        <w:t xml:space="preserve">Brunei Darussalam: </w:t>
      </w:r>
      <w:r w:rsidRPr="00156497">
        <w:rPr>
          <w:rFonts w:eastAsia="Times New Roman" w:cs="Arial"/>
          <w:b/>
          <w:lang w:val="en-GB"/>
        </w:rPr>
        <w:t>ABDUL RAHMAN TAIB</w:t>
      </w:r>
      <w:r w:rsidRPr="00156497">
        <w:rPr>
          <w:rFonts w:eastAsia="Times New Roman" w:cs="Arial"/>
          <w:lang w:val="en-GB"/>
        </w:rPr>
        <w:t>, Minister of Industry and Primary Resources</w:t>
      </w:r>
    </w:p>
    <w:p w:rsidR="00055C64" w:rsidRPr="00156497" w:rsidRDefault="00055C64" w:rsidP="001E465D">
      <w:pPr>
        <w:ind w:left="720"/>
        <w:rPr>
          <w:rFonts w:eastAsia="Times New Roman" w:cs="Arial"/>
          <w:lang w:val="en-GB"/>
        </w:rPr>
      </w:pPr>
      <w:r w:rsidRPr="00156497">
        <w:rPr>
          <w:rFonts w:eastAsia="Times New Roman" w:cs="Arial"/>
          <w:lang w:val="en-GB"/>
        </w:rPr>
        <w:t>For the</w:t>
      </w:r>
      <w:r w:rsidR="0065689F">
        <w:rPr>
          <w:rFonts w:eastAsia="Times New Roman" w:cs="Arial"/>
          <w:lang w:val="en-GB"/>
        </w:rPr>
        <w:t xml:space="preserve"> Government of the</w:t>
      </w:r>
      <w:r w:rsidRPr="00156497">
        <w:rPr>
          <w:rFonts w:eastAsia="Times New Roman" w:cs="Arial"/>
          <w:lang w:val="en-GB"/>
        </w:rPr>
        <w:t xml:space="preserve"> Republic of Indonesia: </w:t>
      </w:r>
      <w:r w:rsidRPr="00156497">
        <w:rPr>
          <w:rFonts w:eastAsia="Times New Roman" w:cs="Arial"/>
          <w:b/>
          <w:lang w:val="en-GB"/>
        </w:rPr>
        <w:t>HAMZAH HAZ</w:t>
      </w:r>
      <w:r w:rsidRPr="00156497">
        <w:rPr>
          <w:rFonts w:eastAsia="Times New Roman" w:cs="Arial"/>
          <w:lang w:val="en-GB"/>
        </w:rPr>
        <w:t>, Minister of Investment/Chairman of Investment Coordinating Board</w:t>
      </w:r>
    </w:p>
    <w:p w:rsidR="00055C64" w:rsidRPr="00156497" w:rsidRDefault="00055C64" w:rsidP="001E465D">
      <w:pPr>
        <w:ind w:left="720"/>
        <w:rPr>
          <w:rFonts w:eastAsia="Times New Roman" w:cs="Arial"/>
          <w:lang w:val="en-GB"/>
        </w:rPr>
      </w:pPr>
      <w:r w:rsidRPr="00156497">
        <w:rPr>
          <w:rFonts w:eastAsia="Times New Roman" w:cs="Arial"/>
          <w:lang w:val="en-GB"/>
        </w:rPr>
        <w:t>For the</w:t>
      </w:r>
      <w:r w:rsidR="00521A10">
        <w:rPr>
          <w:rFonts w:eastAsia="Times New Roman" w:cs="Arial"/>
          <w:lang w:val="en-GB"/>
        </w:rPr>
        <w:t xml:space="preserve"> Government of the</w:t>
      </w:r>
      <w:r w:rsidRPr="00156497">
        <w:rPr>
          <w:rFonts w:eastAsia="Times New Roman" w:cs="Arial"/>
          <w:lang w:val="en-GB"/>
        </w:rPr>
        <w:t xml:space="preserve"> Lao People’s Democratic Republic: </w:t>
      </w:r>
      <w:r w:rsidRPr="00156497">
        <w:rPr>
          <w:rFonts w:eastAsia="Times New Roman" w:cs="Arial"/>
          <w:b/>
          <w:lang w:val="en-GB"/>
        </w:rPr>
        <w:t>SOULIVONG DARAVONG</w:t>
      </w:r>
      <w:r w:rsidRPr="00156497">
        <w:rPr>
          <w:rFonts w:eastAsia="Times New Roman" w:cs="Arial"/>
          <w:lang w:val="en-GB"/>
        </w:rPr>
        <w:t xml:space="preserve">, Minister of Industry and Handicrafts </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w:t>
      </w:r>
      <w:r w:rsidR="00521A10">
        <w:rPr>
          <w:rFonts w:eastAsia="Times New Roman" w:cs="Arial"/>
          <w:lang w:val="en-GB"/>
        </w:rPr>
        <w:t xml:space="preserve">the Government of </w:t>
      </w:r>
      <w:r w:rsidRPr="00156497">
        <w:rPr>
          <w:rFonts w:eastAsia="Times New Roman" w:cs="Arial"/>
          <w:lang w:val="en-GB"/>
        </w:rPr>
        <w:t xml:space="preserve">Malaysia: </w:t>
      </w:r>
      <w:r w:rsidRPr="00156497">
        <w:rPr>
          <w:rFonts w:eastAsia="Times New Roman" w:cs="Arial"/>
          <w:b/>
          <w:lang w:val="en-GB"/>
        </w:rPr>
        <w:t>RAFIDAH AZIZ</w:t>
      </w:r>
      <w:r w:rsidRPr="00156497">
        <w:rPr>
          <w:rFonts w:eastAsia="Times New Roman" w:cs="Arial"/>
          <w:lang w:val="en-GB"/>
        </w:rPr>
        <w:t>, Minister of International Trade and Industry</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w:t>
      </w:r>
      <w:r w:rsidR="00521A10">
        <w:rPr>
          <w:rFonts w:eastAsia="Times New Roman" w:cs="Arial"/>
          <w:lang w:val="en-GB"/>
        </w:rPr>
        <w:t xml:space="preserve">the Government of </w:t>
      </w:r>
      <w:r w:rsidRPr="00156497">
        <w:rPr>
          <w:rFonts w:eastAsia="Times New Roman" w:cs="Arial"/>
          <w:lang w:val="en-GB"/>
        </w:rPr>
        <w:t xml:space="preserve">the Union of Myanmar: </w:t>
      </w:r>
      <w:r w:rsidRPr="00156497">
        <w:rPr>
          <w:rFonts w:eastAsia="Times New Roman" w:cs="Arial"/>
          <w:b/>
          <w:lang w:val="en-GB"/>
        </w:rPr>
        <w:t>BRIGADIER GENERAL DAVID O. ABEL</w:t>
      </w:r>
      <w:r w:rsidRPr="00156497">
        <w:rPr>
          <w:rFonts w:eastAsia="Times New Roman" w:cs="Arial"/>
          <w:lang w:val="en-GB"/>
        </w:rPr>
        <w:t>, Minister at the Office of the Chairman of the State Peace and Development Council</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the </w:t>
      </w:r>
      <w:r w:rsidR="00521A10">
        <w:rPr>
          <w:rFonts w:eastAsia="Times New Roman" w:cs="Arial"/>
          <w:lang w:val="en-GB"/>
        </w:rPr>
        <w:t xml:space="preserve">Government of the </w:t>
      </w:r>
      <w:r w:rsidRPr="00156497">
        <w:rPr>
          <w:rFonts w:eastAsia="Times New Roman" w:cs="Arial"/>
          <w:lang w:val="en-GB"/>
        </w:rPr>
        <w:t xml:space="preserve">Republic of the Philippines: </w:t>
      </w:r>
      <w:r w:rsidRPr="00156497">
        <w:rPr>
          <w:rFonts w:eastAsia="Times New Roman" w:cs="Arial"/>
          <w:b/>
          <w:lang w:val="en-GB"/>
        </w:rPr>
        <w:t>JOSE TRINIDAD PARDO</w:t>
      </w:r>
      <w:r w:rsidRPr="00156497">
        <w:rPr>
          <w:rFonts w:eastAsia="Times New Roman" w:cs="Arial"/>
          <w:lang w:val="en-GB"/>
        </w:rPr>
        <w:t xml:space="preserve">, Secretary of Trade and Industry </w:t>
      </w:r>
    </w:p>
    <w:p w:rsidR="00055C64" w:rsidRPr="00156497" w:rsidRDefault="00055C64" w:rsidP="001E465D">
      <w:pPr>
        <w:ind w:left="720"/>
        <w:rPr>
          <w:rFonts w:eastAsia="Times New Roman" w:cs="Arial"/>
          <w:lang w:val="en-GB"/>
        </w:rPr>
      </w:pPr>
      <w:r w:rsidRPr="00156497">
        <w:rPr>
          <w:rFonts w:eastAsia="Times New Roman" w:cs="Arial"/>
          <w:lang w:val="en-GB"/>
        </w:rPr>
        <w:t>For the</w:t>
      </w:r>
      <w:r w:rsidR="00521A10">
        <w:rPr>
          <w:rFonts w:eastAsia="Times New Roman" w:cs="Arial"/>
          <w:lang w:val="en-GB"/>
        </w:rPr>
        <w:t xml:space="preserve"> Government of the</w:t>
      </w:r>
      <w:r w:rsidRPr="00156497">
        <w:rPr>
          <w:rFonts w:eastAsia="Times New Roman" w:cs="Arial"/>
          <w:lang w:val="en-GB"/>
        </w:rPr>
        <w:t xml:space="preserve"> Republic of Singapore: </w:t>
      </w:r>
      <w:r w:rsidRPr="00156497">
        <w:rPr>
          <w:rFonts w:eastAsia="Times New Roman" w:cs="Arial"/>
          <w:b/>
          <w:lang w:val="en-GB"/>
        </w:rPr>
        <w:t>LEE YOCK SUAN</w:t>
      </w:r>
      <w:r w:rsidRPr="00156497">
        <w:rPr>
          <w:rFonts w:eastAsia="Times New Roman" w:cs="Arial"/>
          <w:lang w:val="en-GB"/>
        </w:rPr>
        <w:t>, Minister for Trade and Industry</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the </w:t>
      </w:r>
      <w:r w:rsidR="00521A10">
        <w:rPr>
          <w:rFonts w:eastAsia="Times New Roman" w:cs="Arial"/>
          <w:lang w:val="en-GB"/>
        </w:rPr>
        <w:t xml:space="preserve">Government of the </w:t>
      </w:r>
      <w:r w:rsidRPr="00156497">
        <w:rPr>
          <w:rFonts w:eastAsia="Times New Roman" w:cs="Arial"/>
          <w:lang w:val="en-GB"/>
        </w:rPr>
        <w:t xml:space="preserve">Kingdom of Thailand: </w:t>
      </w:r>
      <w:r w:rsidRPr="00156497">
        <w:rPr>
          <w:rFonts w:eastAsia="Times New Roman" w:cs="Arial"/>
          <w:b/>
          <w:lang w:val="en-GB"/>
        </w:rPr>
        <w:t>SUPACHAI PANITCHPAKDI</w:t>
      </w:r>
      <w:r w:rsidRPr="00156497">
        <w:rPr>
          <w:rFonts w:eastAsia="Times New Roman" w:cs="Arial"/>
          <w:lang w:val="en-GB"/>
        </w:rPr>
        <w:t>, Deputy Prime Minister and Minister of Commerce</w:t>
      </w:r>
    </w:p>
    <w:p w:rsidR="00055C64" w:rsidRPr="00156497" w:rsidRDefault="00055C64" w:rsidP="001E465D">
      <w:pPr>
        <w:ind w:left="720"/>
        <w:rPr>
          <w:rFonts w:eastAsia="Times New Roman" w:cs="Arial"/>
          <w:lang w:val="en-GB"/>
        </w:rPr>
      </w:pPr>
      <w:r w:rsidRPr="00156497">
        <w:rPr>
          <w:rFonts w:eastAsia="Times New Roman" w:cs="Arial"/>
          <w:lang w:val="en-GB"/>
        </w:rPr>
        <w:t xml:space="preserve">For the </w:t>
      </w:r>
      <w:r w:rsidR="00521A10">
        <w:rPr>
          <w:rFonts w:eastAsia="Times New Roman" w:cs="Arial"/>
          <w:lang w:val="en-GB"/>
        </w:rPr>
        <w:t xml:space="preserve">Government of the </w:t>
      </w:r>
      <w:r w:rsidRPr="00156497">
        <w:rPr>
          <w:rFonts w:eastAsia="Times New Roman" w:cs="Arial"/>
          <w:lang w:val="en-GB"/>
        </w:rPr>
        <w:t xml:space="preserve">Socialist Republic of Vietnam: </w:t>
      </w:r>
      <w:r w:rsidRPr="00156497">
        <w:rPr>
          <w:rFonts w:eastAsia="Times New Roman" w:cs="Arial"/>
          <w:b/>
          <w:lang w:val="en-GB"/>
        </w:rPr>
        <w:t>TRUONG DINH TUYEN</w:t>
      </w:r>
      <w:r w:rsidRPr="00156497">
        <w:rPr>
          <w:rFonts w:eastAsia="Times New Roman" w:cs="Arial"/>
          <w:lang w:val="en-GB"/>
        </w:rPr>
        <w:t>, Minister of Trade</w:t>
      </w:r>
    </w:p>
    <w:p w:rsidR="00055C64" w:rsidRPr="00156497" w:rsidRDefault="00055C64" w:rsidP="001E465D">
      <w:pPr>
        <w:keepNext/>
        <w:jc w:val="center"/>
        <w:outlineLvl w:val="0"/>
        <w:rPr>
          <w:rFonts w:eastAsia="Times New Roman"/>
          <w:b/>
          <w:bCs/>
          <w:caps/>
          <w:kern w:val="32"/>
          <w:u w:val="single"/>
          <w:lang w:val="en-GB"/>
        </w:rPr>
      </w:pPr>
      <w:bookmarkStart w:id="89" w:name="_Toc248237846"/>
    </w:p>
    <w:p w:rsidR="00055C64" w:rsidRPr="00156497" w:rsidRDefault="00055C64" w:rsidP="001E465D">
      <w:pPr>
        <w:rPr>
          <w:rFonts w:eastAsia="Times New Roman"/>
          <w:lang w:val="en-GB"/>
        </w:rPr>
      </w:pPr>
    </w:p>
    <w:p w:rsidR="00055C64" w:rsidRPr="00630415" w:rsidRDefault="00055C64" w:rsidP="00630415">
      <w:pPr>
        <w:pStyle w:val="Heading1"/>
        <w:rPr>
          <w:lang w:val="en-GB"/>
        </w:rPr>
      </w:pPr>
      <w:bookmarkStart w:id="90" w:name="_Toc379552220"/>
      <w:r w:rsidRPr="00156497">
        <w:rPr>
          <w:kern w:val="32"/>
          <w:sz w:val="20"/>
          <w:u w:val="single"/>
          <w:lang w:val="en-GB"/>
        </w:rPr>
        <w:br w:type="page"/>
      </w:r>
      <w:bookmarkStart w:id="91" w:name="_Toc379552221"/>
      <w:bookmarkStart w:id="92" w:name="_Toc517779079"/>
      <w:bookmarkEnd w:id="89"/>
      <w:bookmarkEnd w:id="90"/>
      <w:r w:rsidR="00645FF2" w:rsidRPr="00156497">
        <w:rPr>
          <w:lang w:val="en-GB"/>
        </w:rPr>
        <w:lastRenderedPageBreak/>
        <w:t>SCHEDULE I</w:t>
      </w:r>
      <w:bookmarkStart w:id="93" w:name="_Toc379552222"/>
      <w:bookmarkStart w:id="94" w:name="_Toc248237848"/>
      <w:bookmarkEnd w:id="91"/>
      <w:r w:rsidR="00645FF2" w:rsidRPr="00156497">
        <w:rPr>
          <w:lang w:val="en-GB"/>
        </w:rPr>
        <w:t xml:space="preserve"> </w:t>
      </w:r>
      <w:r w:rsidR="00C90022">
        <w:rPr>
          <w:lang w:val="en-GB"/>
        </w:rPr>
        <w:br/>
      </w:r>
      <w:r w:rsidR="00645FF2" w:rsidRPr="00156497">
        <w:rPr>
          <w:lang w:val="en-GB"/>
        </w:rPr>
        <w:t>FRAMEWORK AGREEMENT ON THE ASEAN INVESTMENT AREA (AIA)</w:t>
      </w:r>
      <w:bookmarkStart w:id="95" w:name="_Toc379552223"/>
      <w:bookmarkStart w:id="96" w:name="_Toc248237849"/>
      <w:bookmarkEnd w:id="93"/>
      <w:bookmarkEnd w:id="94"/>
      <w:r w:rsidR="00630415">
        <w:rPr>
          <w:lang w:val="en-GB"/>
        </w:rPr>
        <w:br/>
      </w:r>
      <w:r w:rsidR="00645FF2" w:rsidRPr="00630415">
        <w:rPr>
          <w:sz w:val="20"/>
          <w:u w:val="single"/>
        </w:rPr>
        <w:t>Co-Operation And Facilitation Programme</w:t>
      </w:r>
      <w:bookmarkEnd w:id="92"/>
      <w:bookmarkEnd w:id="95"/>
      <w:bookmarkEnd w:id="96"/>
    </w:p>
    <w:p w:rsidR="00055C64" w:rsidRPr="00156497" w:rsidRDefault="00055C64" w:rsidP="001E465D">
      <w:pPr>
        <w:rPr>
          <w:rFonts w:eastAsia="Times New Roman"/>
          <w:lang w:val="en-GB" w:eastAsia="zh-CN"/>
        </w:rPr>
      </w:pPr>
      <w:r w:rsidRPr="00156497">
        <w:rPr>
          <w:rFonts w:eastAsia="Times New Roman"/>
          <w:lang w:val="en-GB" w:eastAsia="zh-CN"/>
        </w:rPr>
        <w:t>In respect of the Co-operation and Facilitation Programme, Member States shall take-</w:t>
      </w:r>
    </w:p>
    <w:p w:rsidR="00055C64" w:rsidRPr="00156497" w:rsidRDefault="00055C64" w:rsidP="001E465D">
      <w:pPr>
        <w:numPr>
          <w:ilvl w:val="0"/>
          <w:numId w:val="23"/>
        </w:numPr>
        <w:rPr>
          <w:rFonts w:eastAsia="Times New Roman"/>
          <w:lang w:val="en-GB" w:eastAsia="zh-CN"/>
        </w:rPr>
      </w:pPr>
      <w:r w:rsidRPr="00156497">
        <w:rPr>
          <w:rFonts w:eastAsia="Times New Roman"/>
          <w:lang w:val="en-GB" w:eastAsia="zh-CN"/>
        </w:rPr>
        <w:t>Individual initiative to-</w:t>
      </w:r>
    </w:p>
    <w:p w:rsidR="00055C64" w:rsidRPr="00156497" w:rsidRDefault="00055C64" w:rsidP="001E465D">
      <w:pPr>
        <w:numPr>
          <w:ilvl w:val="0"/>
          <w:numId w:val="24"/>
        </w:numPr>
        <w:rPr>
          <w:rFonts w:eastAsia="Times New Roman"/>
          <w:lang w:val="en-GB" w:eastAsia="zh-CN"/>
        </w:rPr>
      </w:pPr>
      <w:r w:rsidRPr="00156497">
        <w:rPr>
          <w:rFonts w:eastAsia="Times New Roman"/>
          <w:lang w:val="en-GB" w:eastAsia="zh-CN"/>
        </w:rPr>
        <w:t>Increase transparency of Member State's investment rules, regulations, policies and procedures through the publication of such information on a regular basis and making such information widely available;</w:t>
      </w:r>
    </w:p>
    <w:p w:rsidR="00055C64" w:rsidRPr="00156497" w:rsidRDefault="00055C64" w:rsidP="001E465D">
      <w:pPr>
        <w:numPr>
          <w:ilvl w:val="0"/>
          <w:numId w:val="24"/>
        </w:numPr>
        <w:rPr>
          <w:rFonts w:eastAsia="Times New Roman"/>
          <w:lang w:val="en-GB" w:eastAsia="zh-CN"/>
        </w:rPr>
      </w:pPr>
      <w:r w:rsidRPr="00156497">
        <w:rPr>
          <w:rFonts w:eastAsia="Times New Roman"/>
          <w:lang w:val="en-GB" w:eastAsia="zh-CN"/>
        </w:rPr>
        <w:t>Simplify and expedite procedures for applications and approvals of investment projects at all levels; and</w:t>
      </w:r>
    </w:p>
    <w:p w:rsidR="00055C64" w:rsidRPr="00156497" w:rsidRDefault="00055C64" w:rsidP="001E465D">
      <w:pPr>
        <w:numPr>
          <w:ilvl w:val="0"/>
          <w:numId w:val="24"/>
        </w:numPr>
        <w:rPr>
          <w:rFonts w:eastAsia="Times New Roman"/>
          <w:lang w:val="en-GB" w:eastAsia="zh-CN"/>
        </w:rPr>
      </w:pPr>
      <w:r w:rsidRPr="00156497">
        <w:rPr>
          <w:rFonts w:eastAsia="Times New Roman"/>
          <w:lang w:val="en-GB" w:eastAsia="zh-CN"/>
        </w:rPr>
        <w:t>Expand the number of bilateral Double Taxation Avoidance Agreements among ASEAN Member States.</w:t>
      </w:r>
    </w:p>
    <w:p w:rsidR="00055C64" w:rsidRPr="00156497" w:rsidRDefault="00055C64" w:rsidP="001E465D">
      <w:pPr>
        <w:numPr>
          <w:ilvl w:val="0"/>
          <w:numId w:val="23"/>
        </w:numPr>
        <w:rPr>
          <w:rFonts w:eastAsia="Times New Roman"/>
          <w:lang w:val="en-GB" w:eastAsia="zh-CN"/>
        </w:rPr>
      </w:pPr>
      <w:r w:rsidRPr="00156497">
        <w:rPr>
          <w:rFonts w:eastAsia="Times New Roman"/>
          <w:lang w:val="en-GB" w:eastAsia="zh-CN"/>
        </w:rPr>
        <w:t>Collective initiative to-</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Establish a Database for ASEAN Supporting Industries and ASEAN Technology Suppliers;</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Establish an ASEAN database to enhance the flow of ASEAN investment data and information on investment opportunities in ASEAN;</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Promote public-private sector linkages through regular dialogues with the ASEAN business community and other international organisations to identify investment impediments within and outside ASEAN and propose ways to improve the ASEAN investment environment;</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Identify target areas for technical co-operation, e.g., development of human resources, infrastructure, supporting industries, small and medium-sized enterprises, information technology, industrial technology, R&amp;D and co-ordinate efforts within ASEAN and other international organisations involved in technical co-operation;</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Review and where possible improve the ASEAN Agreement for the Promotion and Protection of Investment, and</w:t>
      </w:r>
    </w:p>
    <w:p w:rsidR="00055C64" w:rsidRPr="00156497" w:rsidRDefault="00055C64" w:rsidP="001E465D">
      <w:pPr>
        <w:numPr>
          <w:ilvl w:val="0"/>
          <w:numId w:val="25"/>
        </w:numPr>
        <w:rPr>
          <w:rFonts w:eastAsia="Times New Roman"/>
          <w:lang w:val="en-GB" w:eastAsia="zh-CN"/>
        </w:rPr>
      </w:pPr>
      <w:r w:rsidRPr="00156497">
        <w:rPr>
          <w:rFonts w:eastAsia="Times New Roman"/>
          <w:lang w:val="en-GB" w:eastAsia="zh-CN"/>
        </w:rPr>
        <w:t>Examine the possibility of an ASEAN Double Taxation Agreement.</w:t>
      </w:r>
    </w:p>
    <w:p w:rsidR="00055C64" w:rsidRPr="00630415" w:rsidRDefault="00055C64" w:rsidP="00630415">
      <w:pPr>
        <w:pStyle w:val="Heading1"/>
        <w:rPr>
          <w:lang w:val="en-GB"/>
        </w:rPr>
      </w:pPr>
      <w:bookmarkStart w:id="97" w:name="_Toc379552224"/>
      <w:r w:rsidRPr="00156497">
        <w:rPr>
          <w:kern w:val="32"/>
          <w:sz w:val="20"/>
          <w:lang w:val="en-GB"/>
        </w:rPr>
        <w:br w:type="page"/>
      </w:r>
      <w:bookmarkStart w:id="98" w:name="_Toc517779080"/>
      <w:r w:rsidR="00645FF2" w:rsidRPr="00156497">
        <w:rPr>
          <w:lang w:val="en-GB"/>
        </w:rPr>
        <w:lastRenderedPageBreak/>
        <w:t>SCHEDULE II</w:t>
      </w:r>
      <w:bookmarkStart w:id="99" w:name="_Toc379552225"/>
      <w:bookmarkStart w:id="100" w:name="_Toc248237851"/>
      <w:bookmarkEnd w:id="97"/>
      <w:r w:rsidR="00C90022">
        <w:rPr>
          <w:lang w:val="en-GB"/>
        </w:rPr>
        <w:br/>
      </w:r>
      <w:r w:rsidR="00645FF2" w:rsidRPr="00156497">
        <w:rPr>
          <w:lang w:val="en-GB"/>
        </w:rPr>
        <w:t>FRAMEWORK AGREEMENT ON THE ASEAN INVESTMENT AREA (AIA)</w:t>
      </w:r>
      <w:bookmarkStart w:id="101" w:name="_Toc379552226"/>
      <w:bookmarkStart w:id="102" w:name="_Toc248237852"/>
      <w:bookmarkEnd w:id="99"/>
      <w:bookmarkEnd w:id="100"/>
      <w:r w:rsidR="00630415">
        <w:rPr>
          <w:lang w:val="en-GB"/>
        </w:rPr>
        <w:br/>
      </w:r>
      <w:r w:rsidR="00645FF2" w:rsidRPr="00630415">
        <w:rPr>
          <w:sz w:val="20"/>
          <w:u w:val="single"/>
        </w:rPr>
        <w:t>Promotion And Awareness Programme</w:t>
      </w:r>
      <w:bookmarkEnd w:id="98"/>
      <w:bookmarkEnd w:id="101"/>
      <w:bookmarkEnd w:id="102"/>
    </w:p>
    <w:p w:rsidR="00055C64" w:rsidRPr="00156497" w:rsidRDefault="00055C64" w:rsidP="001E465D">
      <w:pPr>
        <w:rPr>
          <w:rFonts w:eastAsia="Times New Roman"/>
          <w:lang w:val="en-GB" w:eastAsia="zh-CN"/>
        </w:rPr>
      </w:pPr>
      <w:r w:rsidRPr="00156497">
        <w:rPr>
          <w:rFonts w:eastAsia="Times New Roman"/>
          <w:lang w:val="en-GB" w:eastAsia="zh-CN"/>
        </w:rPr>
        <w:t>In respect of the Promotion and Awareness Programme, Member States shall-</w:t>
      </w:r>
    </w:p>
    <w:p w:rsidR="00055C64" w:rsidRPr="00156497" w:rsidRDefault="00055C64" w:rsidP="001E465D">
      <w:pPr>
        <w:numPr>
          <w:ilvl w:val="0"/>
          <w:numId w:val="26"/>
        </w:numPr>
        <w:rPr>
          <w:rFonts w:eastAsia="Times New Roman"/>
          <w:lang w:val="en-GB" w:eastAsia="zh-CN"/>
        </w:rPr>
      </w:pPr>
      <w:r w:rsidRPr="00156497">
        <w:rPr>
          <w:rFonts w:eastAsia="Times New Roman"/>
          <w:lang w:val="en-GB" w:eastAsia="zh-CN"/>
        </w:rPr>
        <w:t>Organise joint investment promotion activities e.g., seminars, workshops, in-bound familiarisation tours for investors from capital exporting countries, joint promotion of specific projects with active business sector participation.</w:t>
      </w:r>
    </w:p>
    <w:p w:rsidR="00055C64" w:rsidRPr="00156497" w:rsidRDefault="00055C64" w:rsidP="001E465D">
      <w:pPr>
        <w:numPr>
          <w:ilvl w:val="0"/>
          <w:numId w:val="26"/>
        </w:numPr>
        <w:rPr>
          <w:rFonts w:eastAsia="Times New Roman"/>
          <w:lang w:val="en-GB" w:eastAsia="zh-CN"/>
        </w:rPr>
      </w:pPr>
      <w:r w:rsidRPr="00156497">
        <w:rPr>
          <w:rFonts w:eastAsia="Times New Roman"/>
          <w:lang w:val="en-GB" w:eastAsia="zh-CN"/>
        </w:rPr>
        <w:t>Conduct regular consultation among investment agencies of ASEAN on investment promotion matters;</w:t>
      </w:r>
    </w:p>
    <w:p w:rsidR="00055C64" w:rsidRPr="00156497" w:rsidRDefault="00055C64" w:rsidP="001E465D">
      <w:pPr>
        <w:numPr>
          <w:ilvl w:val="0"/>
          <w:numId w:val="26"/>
        </w:numPr>
        <w:rPr>
          <w:rFonts w:eastAsia="Times New Roman"/>
          <w:lang w:val="en-GB" w:eastAsia="zh-CN"/>
        </w:rPr>
      </w:pPr>
      <w:r w:rsidRPr="00156497">
        <w:rPr>
          <w:rFonts w:eastAsia="Times New Roman"/>
          <w:lang w:val="en-GB" w:eastAsia="zh-CN"/>
        </w:rPr>
        <w:t>Organise investment-related training programmes for officials of investment agencies of ASEAN;</w:t>
      </w:r>
    </w:p>
    <w:p w:rsidR="00055C64" w:rsidRPr="00156497" w:rsidRDefault="00055C64" w:rsidP="001E465D">
      <w:pPr>
        <w:numPr>
          <w:ilvl w:val="0"/>
          <w:numId w:val="26"/>
        </w:numPr>
        <w:rPr>
          <w:rFonts w:eastAsia="Times New Roman"/>
          <w:lang w:val="en-GB" w:eastAsia="zh-CN"/>
        </w:rPr>
      </w:pPr>
      <w:r w:rsidRPr="00156497">
        <w:rPr>
          <w:rFonts w:eastAsia="Times New Roman"/>
          <w:lang w:val="en-GB" w:eastAsia="zh-CN"/>
        </w:rPr>
        <w:t>Exchange lists of promoted sectors/industries where Member States could encourage investments from other Member States and initiate promotional activities; and</w:t>
      </w:r>
    </w:p>
    <w:p w:rsidR="00055C64" w:rsidRPr="00156497" w:rsidRDefault="00055C64" w:rsidP="001E465D">
      <w:pPr>
        <w:numPr>
          <w:ilvl w:val="0"/>
          <w:numId w:val="26"/>
        </w:numPr>
        <w:rPr>
          <w:rFonts w:eastAsia="Times New Roman"/>
          <w:lang w:val="en-GB" w:eastAsia="zh-CN"/>
        </w:rPr>
      </w:pPr>
      <w:r w:rsidRPr="00156497">
        <w:rPr>
          <w:rFonts w:eastAsia="Times New Roman"/>
          <w:lang w:val="en-GB" w:eastAsia="zh-CN"/>
        </w:rPr>
        <w:t>Examine possible ways by which the investment agencies of Member States can support the promotion efforts of other Member States.</w:t>
      </w:r>
    </w:p>
    <w:p w:rsidR="00055C64" w:rsidRPr="00630415" w:rsidRDefault="00645FF2" w:rsidP="00630415">
      <w:pPr>
        <w:pStyle w:val="Heading1"/>
        <w:rPr>
          <w:lang w:val="en-GB"/>
        </w:rPr>
      </w:pPr>
      <w:bookmarkStart w:id="103" w:name="_Toc379552227"/>
      <w:r w:rsidRPr="00156497">
        <w:rPr>
          <w:lang w:val="en-GB"/>
        </w:rPr>
        <w:br w:type="page"/>
      </w:r>
      <w:bookmarkStart w:id="104" w:name="_Toc517779081"/>
      <w:r w:rsidRPr="00156497">
        <w:rPr>
          <w:lang w:val="en-GB"/>
        </w:rPr>
        <w:lastRenderedPageBreak/>
        <w:t>SCHEDULE III</w:t>
      </w:r>
      <w:bookmarkStart w:id="105" w:name="_Toc379552228"/>
      <w:bookmarkStart w:id="106" w:name="_Toc248237854"/>
      <w:bookmarkEnd w:id="103"/>
      <w:r w:rsidR="00C90022">
        <w:rPr>
          <w:lang w:val="en-GB"/>
        </w:rPr>
        <w:br/>
      </w:r>
      <w:r w:rsidRPr="00156497">
        <w:rPr>
          <w:lang w:val="en-GB"/>
        </w:rPr>
        <w:t>FRAMEWORK AGREEMENT ON THE ASEAN INVESTMENT AREA (AIA)</w:t>
      </w:r>
      <w:bookmarkStart w:id="107" w:name="_Toc379552229"/>
      <w:bookmarkStart w:id="108" w:name="_Toc248237855"/>
      <w:bookmarkEnd w:id="105"/>
      <w:bookmarkEnd w:id="106"/>
      <w:r w:rsidR="00630415">
        <w:rPr>
          <w:lang w:val="en-GB"/>
        </w:rPr>
        <w:br/>
      </w:r>
      <w:r w:rsidRPr="00630415">
        <w:rPr>
          <w:sz w:val="20"/>
          <w:u w:val="single"/>
        </w:rPr>
        <w:t>Liberalisation Programme</w:t>
      </w:r>
      <w:bookmarkEnd w:id="104"/>
      <w:bookmarkEnd w:id="107"/>
      <w:bookmarkEnd w:id="108"/>
    </w:p>
    <w:p w:rsidR="00055C64" w:rsidRPr="00156497" w:rsidRDefault="00055C64" w:rsidP="001E465D">
      <w:pPr>
        <w:rPr>
          <w:rFonts w:eastAsia="Times New Roman"/>
          <w:lang w:val="en-GB" w:eastAsia="zh-CN"/>
        </w:rPr>
      </w:pPr>
      <w:r w:rsidRPr="00156497">
        <w:rPr>
          <w:rFonts w:eastAsia="Times New Roman"/>
          <w:lang w:val="en-GB" w:eastAsia="zh-CN"/>
        </w:rPr>
        <w:t>In respect of the Liberalisation Programme, Member States shall-</w:t>
      </w:r>
    </w:p>
    <w:p w:rsidR="00055C64" w:rsidRPr="00156497" w:rsidRDefault="00055C64" w:rsidP="001E465D">
      <w:pPr>
        <w:numPr>
          <w:ilvl w:val="0"/>
          <w:numId w:val="27"/>
        </w:numPr>
        <w:rPr>
          <w:rFonts w:eastAsia="Times New Roman"/>
          <w:lang w:val="en-GB" w:eastAsia="zh-CN"/>
        </w:rPr>
      </w:pPr>
      <w:r w:rsidRPr="00156497">
        <w:rPr>
          <w:rFonts w:eastAsia="Times New Roman"/>
          <w:lang w:val="en-GB" w:eastAsia="zh-CN"/>
        </w:rPr>
        <w:t>Unilaterally reduce and eliminate restrictive investment measures and review their investment regimes regularly towards further liberalisation. In this context, Member States may undertake actions to liberalise, among others:</w:t>
      </w:r>
    </w:p>
    <w:p w:rsidR="00055C64" w:rsidRPr="00156497" w:rsidRDefault="00055C64" w:rsidP="001E465D">
      <w:pPr>
        <w:numPr>
          <w:ilvl w:val="0"/>
          <w:numId w:val="28"/>
        </w:numPr>
        <w:rPr>
          <w:rFonts w:eastAsia="Times New Roman"/>
          <w:lang w:val="en-GB" w:eastAsia="zh-CN"/>
        </w:rPr>
      </w:pPr>
      <w:r w:rsidRPr="00156497">
        <w:rPr>
          <w:rFonts w:eastAsia="Times New Roman"/>
          <w:lang w:val="en-GB" w:eastAsia="zh-CN"/>
        </w:rPr>
        <w:t>rules, regulations and policies relating to investment;</w:t>
      </w:r>
    </w:p>
    <w:p w:rsidR="00055C64" w:rsidRPr="00156497" w:rsidRDefault="00055C64" w:rsidP="001E465D">
      <w:pPr>
        <w:numPr>
          <w:ilvl w:val="0"/>
          <w:numId w:val="28"/>
        </w:numPr>
        <w:rPr>
          <w:rFonts w:eastAsia="Times New Roman"/>
          <w:lang w:val="en-GB" w:eastAsia="zh-CN"/>
        </w:rPr>
      </w:pPr>
      <w:r w:rsidRPr="00156497">
        <w:rPr>
          <w:rFonts w:eastAsia="Times New Roman"/>
          <w:lang w:val="en-GB" w:eastAsia="zh-CN"/>
        </w:rPr>
        <w:t>rules on licensing conditions;</w:t>
      </w:r>
    </w:p>
    <w:p w:rsidR="00055C64" w:rsidRPr="00156497" w:rsidRDefault="00055C64" w:rsidP="001E465D">
      <w:pPr>
        <w:numPr>
          <w:ilvl w:val="0"/>
          <w:numId w:val="28"/>
        </w:numPr>
        <w:rPr>
          <w:rFonts w:eastAsia="Times New Roman"/>
          <w:lang w:val="en-GB" w:eastAsia="zh-CN"/>
        </w:rPr>
      </w:pPr>
      <w:r w:rsidRPr="00156497">
        <w:rPr>
          <w:rFonts w:eastAsia="Times New Roman"/>
          <w:lang w:val="en-GB" w:eastAsia="zh-CN"/>
        </w:rPr>
        <w:t>rules relating to access to domestic finance; and</w:t>
      </w:r>
    </w:p>
    <w:p w:rsidR="00055C64" w:rsidRPr="00156497" w:rsidRDefault="00055C64" w:rsidP="001E465D">
      <w:pPr>
        <w:numPr>
          <w:ilvl w:val="0"/>
          <w:numId w:val="28"/>
        </w:numPr>
        <w:rPr>
          <w:rFonts w:eastAsia="Times New Roman"/>
          <w:lang w:val="en-GB" w:eastAsia="zh-CN"/>
        </w:rPr>
      </w:pPr>
      <w:r w:rsidRPr="00156497">
        <w:rPr>
          <w:rFonts w:eastAsia="Times New Roman"/>
          <w:lang w:val="en-GB" w:eastAsia="zh-CN"/>
        </w:rPr>
        <w:t>rules to facilitate payment, receipts and repatriation of profits by investors.</w:t>
      </w:r>
    </w:p>
    <w:p w:rsidR="00055C64" w:rsidRPr="00156497" w:rsidRDefault="00055C64" w:rsidP="001E465D">
      <w:pPr>
        <w:numPr>
          <w:ilvl w:val="0"/>
          <w:numId w:val="27"/>
        </w:numPr>
        <w:rPr>
          <w:rFonts w:eastAsia="Times New Roman"/>
          <w:lang w:val="en-GB" w:eastAsia="zh-CN"/>
        </w:rPr>
      </w:pPr>
      <w:r w:rsidRPr="00156497">
        <w:rPr>
          <w:rFonts w:eastAsia="Times New Roman"/>
          <w:lang w:val="en-GB" w:eastAsia="zh-CN"/>
        </w:rPr>
        <w:t>Undertake individual action plans to:</w:t>
      </w:r>
    </w:p>
    <w:p w:rsidR="00055C64" w:rsidRPr="00156497" w:rsidRDefault="00055C64" w:rsidP="001E465D">
      <w:pPr>
        <w:numPr>
          <w:ilvl w:val="0"/>
          <w:numId w:val="29"/>
        </w:numPr>
        <w:rPr>
          <w:rFonts w:eastAsia="Times New Roman"/>
          <w:lang w:val="en-GB" w:eastAsia="zh-CN"/>
        </w:rPr>
      </w:pPr>
      <w:r w:rsidRPr="00156497">
        <w:rPr>
          <w:rFonts w:eastAsia="Times New Roman"/>
          <w:lang w:val="en-GB" w:eastAsia="zh-CN"/>
        </w:rPr>
        <w:t>open up all industries for investment to ASEAN investors by 2010 and to all investors by 2020 in accordance with the provisions of this Agreement; and</w:t>
      </w:r>
    </w:p>
    <w:p w:rsidR="00055C64" w:rsidRPr="00156497" w:rsidRDefault="00055C64" w:rsidP="001E465D">
      <w:pPr>
        <w:numPr>
          <w:ilvl w:val="0"/>
          <w:numId w:val="29"/>
        </w:numPr>
        <w:rPr>
          <w:rFonts w:eastAsia="Times New Roman"/>
          <w:lang w:val="en-GB" w:eastAsia="zh-CN"/>
        </w:rPr>
      </w:pPr>
      <w:r w:rsidRPr="00156497">
        <w:rPr>
          <w:rFonts w:eastAsia="Times New Roman"/>
          <w:lang w:val="en-GB" w:eastAsia="zh-CN"/>
        </w:rPr>
        <w:t>extend national treatment to all ASEAN investors by 2010 and to all investors by 2020 in accordance with the provisions of this Agreement; and</w:t>
      </w:r>
    </w:p>
    <w:p w:rsidR="00055C64" w:rsidRPr="00156497" w:rsidRDefault="00055C64" w:rsidP="001E465D">
      <w:pPr>
        <w:numPr>
          <w:ilvl w:val="0"/>
          <w:numId w:val="27"/>
        </w:numPr>
        <w:rPr>
          <w:rFonts w:eastAsia="Times New Roman"/>
          <w:lang w:val="en-GB" w:eastAsia="zh-CN"/>
        </w:rPr>
      </w:pPr>
      <w:r w:rsidRPr="00156497">
        <w:rPr>
          <w:rFonts w:eastAsia="Times New Roman"/>
          <w:lang w:val="en-GB" w:eastAsia="zh-CN"/>
        </w:rPr>
        <w:t>Promote freer flow of capital, skilled labour, professionals and technology among ASEAN Member States.</w:t>
      </w:r>
    </w:p>
    <w:p w:rsidR="00C573FC" w:rsidRPr="00156497" w:rsidRDefault="00C573FC" w:rsidP="001E465D">
      <w:pPr>
        <w:rPr>
          <w:lang w:val="en-GB"/>
        </w:rPr>
      </w:pPr>
    </w:p>
    <w:sectPr w:rsidR="00C573FC" w:rsidRPr="00156497" w:rsidSect="00055C64">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5E" w:rsidRDefault="00B92D5E" w:rsidP="00055C64">
      <w:pPr>
        <w:spacing w:before="0" w:after="0" w:line="240" w:lineRule="auto"/>
      </w:pPr>
      <w:r>
        <w:separator/>
      </w:r>
    </w:p>
  </w:endnote>
  <w:endnote w:type="continuationSeparator" w:id="0">
    <w:p w:rsidR="00B92D5E" w:rsidRDefault="00B92D5E" w:rsidP="00055C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2" w:rsidRPr="00055C64" w:rsidRDefault="00645FF2" w:rsidP="00CB3E83">
    <w:pPr>
      <w:pStyle w:val="Footer"/>
      <w:pBdr>
        <w:top w:val="single" w:sz="4" w:space="8" w:color="auto"/>
      </w:pBdr>
      <w:tabs>
        <w:tab w:val="clear" w:pos="9360"/>
        <w:tab w:val="right" w:pos="9027"/>
      </w:tabs>
      <w:rPr>
        <w:rFonts w:cs="Arial"/>
        <w:color w:val="7F7F7F"/>
        <w:sz w:val="16"/>
        <w:szCs w:val="16"/>
      </w:rPr>
    </w:pPr>
    <w:r w:rsidRPr="007C52B8">
      <w:rPr>
        <w:rFonts w:cs="Arial"/>
        <w:color w:val="7F7F7F"/>
        <w:sz w:val="16"/>
        <w:szCs w:val="16"/>
      </w:rPr>
      <w:t xml:space="preserve">UNOFFICIAL TEXT · CENTRE FOR INTERNATIONAL LAW · </w:t>
    </w:r>
    <w:hyperlink r:id="rId1" w:history="1">
      <w:r w:rsidRPr="007C52B8">
        <w:rPr>
          <w:rStyle w:val="Hyperlink"/>
          <w:rFonts w:cs="Arial"/>
          <w:color w:val="7F7F7F"/>
          <w:sz w:val="16"/>
          <w:szCs w:val="16"/>
        </w:rPr>
        <w:t>www.cil.nus.edu.sg</w:t>
      </w:r>
    </w:hyperlink>
    <w:r w:rsidRPr="007C52B8">
      <w:rPr>
        <w:rFonts w:cs="Arial"/>
        <w:color w:val="7F7F7F"/>
        <w:sz w:val="16"/>
        <w:szCs w:val="16"/>
      </w:rPr>
      <w:t xml:space="preserve">                                  </w:t>
    </w:r>
    <w:r w:rsidRPr="007C52B8">
      <w:rPr>
        <w:rFonts w:cs="Arial"/>
        <w:color w:val="7F7F7F"/>
        <w:sz w:val="16"/>
        <w:szCs w:val="16"/>
      </w:rPr>
      <w:tab/>
      <w:t xml:space="preserve">Page </w:t>
    </w:r>
    <w:r w:rsidRPr="007C52B8">
      <w:rPr>
        <w:rFonts w:cs="Arial"/>
        <w:color w:val="7F7F7F"/>
        <w:sz w:val="16"/>
        <w:szCs w:val="16"/>
      </w:rPr>
      <w:fldChar w:fldCharType="begin"/>
    </w:r>
    <w:r w:rsidRPr="007C52B8">
      <w:rPr>
        <w:rFonts w:cs="Arial"/>
        <w:color w:val="7F7F7F"/>
        <w:sz w:val="16"/>
        <w:szCs w:val="16"/>
      </w:rPr>
      <w:instrText xml:space="preserve"> PAGE </w:instrText>
    </w:r>
    <w:r w:rsidRPr="007C52B8">
      <w:rPr>
        <w:rFonts w:cs="Arial"/>
        <w:color w:val="7F7F7F"/>
        <w:sz w:val="16"/>
        <w:szCs w:val="16"/>
      </w:rPr>
      <w:fldChar w:fldCharType="separate"/>
    </w:r>
    <w:r w:rsidR="00BE7874">
      <w:rPr>
        <w:rFonts w:cs="Arial"/>
        <w:noProof/>
        <w:color w:val="7F7F7F"/>
        <w:sz w:val="16"/>
        <w:szCs w:val="16"/>
      </w:rPr>
      <w:t>13</w:t>
    </w:r>
    <w:r w:rsidRPr="007C52B8">
      <w:rPr>
        <w:rFonts w:cs="Arial"/>
        <w:color w:val="7F7F7F"/>
        <w:sz w:val="16"/>
        <w:szCs w:val="16"/>
      </w:rPr>
      <w:fldChar w:fldCharType="end"/>
    </w:r>
    <w:r w:rsidRPr="007C52B8">
      <w:rPr>
        <w:rFonts w:cs="Arial"/>
        <w:color w:val="7F7F7F"/>
        <w:sz w:val="16"/>
        <w:szCs w:val="16"/>
      </w:rPr>
      <w:t xml:space="preserve"> of </w:t>
    </w:r>
    <w:r w:rsidRPr="007C52B8">
      <w:rPr>
        <w:rFonts w:cs="Arial"/>
        <w:color w:val="7F7F7F"/>
        <w:sz w:val="16"/>
        <w:szCs w:val="16"/>
      </w:rPr>
      <w:fldChar w:fldCharType="begin"/>
    </w:r>
    <w:r w:rsidRPr="007C52B8">
      <w:rPr>
        <w:rFonts w:cs="Arial"/>
        <w:color w:val="7F7F7F"/>
        <w:sz w:val="16"/>
        <w:szCs w:val="16"/>
      </w:rPr>
      <w:instrText xml:space="preserve"> NUMPAGES  </w:instrText>
    </w:r>
    <w:r w:rsidRPr="007C52B8">
      <w:rPr>
        <w:rFonts w:cs="Arial"/>
        <w:color w:val="7F7F7F"/>
        <w:sz w:val="16"/>
        <w:szCs w:val="16"/>
      </w:rPr>
      <w:fldChar w:fldCharType="separate"/>
    </w:r>
    <w:r w:rsidR="00BE7874">
      <w:rPr>
        <w:rFonts w:cs="Arial"/>
        <w:noProof/>
        <w:color w:val="7F7F7F"/>
        <w:sz w:val="16"/>
        <w:szCs w:val="16"/>
      </w:rPr>
      <w:t>13</w:t>
    </w:r>
    <w:r w:rsidRPr="007C52B8">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2" w:rsidRPr="00055C64" w:rsidRDefault="00645FF2" w:rsidP="00055C64">
    <w:pPr>
      <w:pStyle w:val="Footer"/>
      <w:pBdr>
        <w:top w:val="single" w:sz="4" w:space="8" w:color="auto"/>
      </w:pBdr>
      <w:rPr>
        <w:rFonts w:cs="Arial"/>
        <w:color w:val="7F7F7F"/>
        <w:sz w:val="16"/>
        <w:szCs w:val="16"/>
      </w:rPr>
    </w:pPr>
    <w:r w:rsidRPr="007C52B8">
      <w:rPr>
        <w:rFonts w:cs="Arial"/>
        <w:color w:val="7F7F7F"/>
        <w:sz w:val="16"/>
        <w:szCs w:val="16"/>
      </w:rPr>
      <w:t xml:space="preserve">UNOFFICIAL TEXT · CENTRE FOR INTERNATIONAL LAW · </w:t>
    </w:r>
    <w:hyperlink r:id="rId1" w:history="1">
      <w:r w:rsidRPr="007C52B8">
        <w:rPr>
          <w:rStyle w:val="Hyperlink"/>
          <w:rFonts w:cs="Arial"/>
          <w:color w:val="7F7F7F"/>
          <w:sz w:val="16"/>
          <w:szCs w:val="16"/>
        </w:rPr>
        <w:t>www.cil.nus.edu.sg</w:t>
      </w:r>
    </w:hyperlink>
    <w:r w:rsidRPr="007C52B8">
      <w:rPr>
        <w:rFonts w:cs="Arial"/>
        <w:color w:val="7F7F7F"/>
        <w:sz w:val="16"/>
        <w:szCs w:val="16"/>
      </w:rPr>
      <w:t xml:space="preserve">        </w:t>
    </w:r>
    <w:r>
      <w:rPr>
        <w:rFonts w:cs="Arial"/>
        <w:color w:val="7F7F7F"/>
        <w:sz w:val="16"/>
        <w:szCs w:val="16"/>
      </w:rPr>
      <w:t xml:space="preserve">                          </w:t>
    </w:r>
    <w:r>
      <w:rPr>
        <w:rFonts w:cs="Arial"/>
        <w:color w:val="7F7F7F"/>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5E" w:rsidRDefault="00B92D5E" w:rsidP="00055C64">
      <w:pPr>
        <w:spacing w:before="0" w:after="0" w:line="240" w:lineRule="auto"/>
      </w:pPr>
      <w:r>
        <w:separator/>
      </w:r>
    </w:p>
  </w:footnote>
  <w:footnote w:type="continuationSeparator" w:id="0">
    <w:p w:rsidR="00B92D5E" w:rsidRDefault="00B92D5E" w:rsidP="00055C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2" w:rsidRPr="00055C64" w:rsidRDefault="00645FF2" w:rsidP="00055C64">
    <w:pPr>
      <w:pStyle w:val="Header"/>
      <w:pBdr>
        <w:bottom w:val="single" w:sz="8" w:space="1" w:color="auto"/>
      </w:pBdr>
      <w:rPr>
        <w:rFonts w:cs="Arial"/>
        <w:caps/>
        <w:color w:val="808080"/>
        <w:sz w:val="16"/>
        <w:szCs w:val="16"/>
      </w:rPr>
    </w:pPr>
    <w:r>
      <w:rPr>
        <w:rFonts w:cs="Arial"/>
        <w:caps/>
        <w:color w:val="808080"/>
        <w:sz w:val="16"/>
        <w:szCs w:val="16"/>
      </w:rPr>
      <w:t>1998 framework agreement on the asean investment area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B6"/>
    <w:multiLevelType w:val="hybridMultilevel"/>
    <w:tmpl w:val="0DC838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D141E4"/>
    <w:multiLevelType w:val="hybridMultilevel"/>
    <w:tmpl w:val="808AC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9A6A47"/>
    <w:multiLevelType w:val="hybridMultilevel"/>
    <w:tmpl w:val="89923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8D72EE"/>
    <w:multiLevelType w:val="hybridMultilevel"/>
    <w:tmpl w:val="A54CFA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251659D"/>
    <w:multiLevelType w:val="hybridMultilevel"/>
    <w:tmpl w:val="73CA8B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7A12923"/>
    <w:multiLevelType w:val="hybridMultilevel"/>
    <w:tmpl w:val="B824D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11C6E14"/>
    <w:multiLevelType w:val="hybridMultilevel"/>
    <w:tmpl w:val="6CF67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60F66"/>
    <w:multiLevelType w:val="hybridMultilevel"/>
    <w:tmpl w:val="C234CF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59A436C"/>
    <w:multiLevelType w:val="hybridMultilevel"/>
    <w:tmpl w:val="89923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63C4"/>
    <w:multiLevelType w:val="hybridMultilevel"/>
    <w:tmpl w:val="4D66AD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1063E"/>
    <w:multiLevelType w:val="hybridMultilevel"/>
    <w:tmpl w:val="48C2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49744A"/>
    <w:multiLevelType w:val="hybridMultilevel"/>
    <w:tmpl w:val="2CD8D76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36284C13"/>
    <w:multiLevelType w:val="hybridMultilevel"/>
    <w:tmpl w:val="587A9E3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6C0258B"/>
    <w:multiLevelType w:val="hybridMultilevel"/>
    <w:tmpl w:val="15F6FA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F93AC7"/>
    <w:multiLevelType w:val="hybridMultilevel"/>
    <w:tmpl w:val="57364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2C5E20"/>
    <w:multiLevelType w:val="hybridMultilevel"/>
    <w:tmpl w:val="77E278E2"/>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6" w15:restartNumberingAfterBreak="0">
    <w:nsid w:val="3E5C1B6B"/>
    <w:multiLevelType w:val="hybridMultilevel"/>
    <w:tmpl w:val="B8844C8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00963F3"/>
    <w:multiLevelType w:val="hybridMultilevel"/>
    <w:tmpl w:val="97620B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B2D3956"/>
    <w:multiLevelType w:val="hybridMultilevel"/>
    <w:tmpl w:val="9BBA97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681610"/>
    <w:multiLevelType w:val="hybridMultilevel"/>
    <w:tmpl w:val="53DC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72734D2"/>
    <w:multiLevelType w:val="hybridMultilevel"/>
    <w:tmpl w:val="42D8C3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E842655"/>
    <w:multiLevelType w:val="hybridMultilevel"/>
    <w:tmpl w:val="9AC608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601B52"/>
    <w:multiLevelType w:val="hybridMultilevel"/>
    <w:tmpl w:val="87BCD3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667266"/>
    <w:multiLevelType w:val="hybridMultilevel"/>
    <w:tmpl w:val="21681F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8595D42"/>
    <w:multiLevelType w:val="hybridMultilevel"/>
    <w:tmpl w:val="F22E8A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87765DA"/>
    <w:multiLevelType w:val="hybridMultilevel"/>
    <w:tmpl w:val="36920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C2E6A89"/>
    <w:multiLevelType w:val="hybridMultilevel"/>
    <w:tmpl w:val="C1D822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6C623758"/>
    <w:multiLevelType w:val="hybridMultilevel"/>
    <w:tmpl w:val="55F86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9540EC"/>
    <w:multiLevelType w:val="hybridMultilevel"/>
    <w:tmpl w:val="808AC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910F26"/>
    <w:multiLevelType w:val="hybridMultilevel"/>
    <w:tmpl w:val="AA5E5D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D8E7167"/>
    <w:multiLevelType w:val="hybridMultilevel"/>
    <w:tmpl w:val="8EBE94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64"/>
    <w:rsid w:val="00000FB0"/>
    <w:rsid w:val="000043E5"/>
    <w:rsid w:val="00011723"/>
    <w:rsid w:val="00013D73"/>
    <w:rsid w:val="00014980"/>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55C64"/>
    <w:rsid w:val="00061193"/>
    <w:rsid w:val="00061B8B"/>
    <w:rsid w:val="000627D9"/>
    <w:rsid w:val="00063C84"/>
    <w:rsid w:val="0007234F"/>
    <w:rsid w:val="000771E0"/>
    <w:rsid w:val="00080879"/>
    <w:rsid w:val="00080FD6"/>
    <w:rsid w:val="00081E70"/>
    <w:rsid w:val="00082260"/>
    <w:rsid w:val="000922A6"/>
    <w:rsid w:val="0009558E"/>
    <w:rsid w:val="00097F77"/>
    <w:rsid w:val="000A329C"/>
    <w:rsid w:val="000B02EF"/>
    <w:rsid w:val="000B197F"/>
    <w:rsid w:val="000C2967"/>
    <w:rsid w:val="000C2CE8"/>
    <w:rsid w:val="000C5A1A"/>
    <w:rsid w:val="000D31BC"/>
    <w:rsid w:val="000D6DF5"/>
    <w:rsid w:val="000D7512"/>
    <w:rsid w:val="000E1DDB"/>
    <w:rsid w:val="000E2394"/>
    <w:rsid w:val="000F2D66"/>
    <w:rsid w:val="001013AD"/>
    <w:rsid w:val="0010259B"/>
    <w:rsid w:val="00102B66"/>
    <w:rsid w:val="001077E4"/>
    <w:rsid w:val="00111688"/>
    <w:rsid w:val="00111A4C"/>
    <w:rsid w:val="00112A51"/>
    <w:rsid w:val="001142FA"/>
    <w:rsid w:val="001161C0"/>
    <w:rsid w:val="001207E1"/>
    <w:rsid w:val="0012281C"/>
    <w:rsid w:val="00122EC8"/>
    <w:rsid w:val="001246A1"/>
    <w:rsid w:val="001302AA"/>
    <w:rsid w:val="00130E46"/>
    <w:rsid w:val="00133AB9"/>
    <w:rsid w:val="00135759"/>
    <w:rsid w:val="00143BCA"/>
    <w:rsid w:val="001462AA"/>
    <w:rsid w:val="00153722"/>
    <w:rsid w:val="00156497"/>
    <w:rsid w:val="001648EA"/>
    <w:rsid w:val="001669E3"/>
    <w:rsid w:val="001728AB"/>
    <w:rsid w:val="00172E71"/>
    <w:rsid w:val="00176298"/>
    <w:rsid w:val="0018065C"/>
    <w:rsid w:val="00183009"/>
    <w:rsid w:val="00191FB7"/>
    <w:rsid w:val="00194639"/>
    <w:rsid w:val="0019674F"/>
    <w:rsid w:val="001A31BD"/>
    <w:rsid w:val="001B572F"/>
    <w:rsid w:val="001C50F5"/>
    <w:rsid w:val="001C7B98"/>
    <w:rsid w:val="001D116B"/>
    <w:rsid w:val="001D2E66"/>
    <w:rsid w:val="001D7F95"/>
    <w:rsid w:val="001E465D"/>
    <w:rsid w:val="001E502C"/>
    <w:rsid w:val="001E52A5"/>
    <w:rsid w:val="001F190C"/>
    <w:rsid w:val="001F27F8"/>
    <w:rsid w:val="001F2B50"/>
    <w:rsid w:val="00200AA3"/>
    <w:rsid w:val="0020147F"/>
    <w:rsid w:val="002226CD"/>
    <w:rsid w:val="002238CF"/>
    <w:rsid w:val="00224582"/>
    <w:rsid w:val="00224E12"/>
    <w:rsid w:val="002251FC"/>
    <w:rsid w:val="002423B7"/>
    <w:rsid w:val="0025204F"/>
    <w:rsid w:val="002520E2"/>
    <w:rsid w:val="002566AC"/>
    <w:rsid w:val="00260086"/>
    <w:rsid w:val="00260DE8"/>
    <w:rsid w:val="002653B1"/>
    <w:rsid w:val="00274C7A"/>
    <w:rsid w:val="002750EF"/>
    <w:rsid w:val="00275D0D"/>
    <w:rsid w:val="00284792"/>
    <w:rsid w:val="002927F7"/>
    <w:rsid w:val="00294CBA"/>
    <w:rsid w:val="00297B32"/>
    <w:rsid w:val="002A32A5"/>
    <w:rsid w:val="002A4172"/>
    <w:rsid w:val="002B473E"/>
    <w:rsid w:val="002B5E84"/>
    <w:rsid w:val="002B7265"/>
    <w:rsid w:val="002C06AC"/>
    <w:rsid w:val="002C506E"/>
    <w:rsid w:val="002C5925"/>
    <w:rsid w:val="002C6166"/>
    <w:rsid w:val="002C67E0"/>
    <w:rsid w:val="002D3A06"/>
    <w:rsid w:val="002D4B4B"/>
    <w:rsid w:val="002E0A92"/>
    <w:rsid w:val="002E6283"/>
    <w:rsid w:val="002F1577"/>
    <w:rsid w:val="002F7DA0"/>
    <w:rsid w:val="0030037C"/>
    <w:rsid w:val="003035FA"/>
    <w:rsid w:val="003071F6"/>
    <w:rsid w:val="00311F88"/>
    <w:rsid w:val="00312FB5"/>
    <w:rsid w:val="00315409"/>
    <w:rsid w:val="00321387"/>
    <w:rsid w:val="0032159B"/>
    <w:rsid w:val="00321890"/>
    <w:rsid w:val="00325A2D"/>
    <w:rsid w:val="00326D39"/>
    <w:rsid w:val="003316EF"/>
    <w:rsid w:val="0033544F"/>
    <w:rsid w:val="00336CA3"/>
    <w:rsid w:val="0034084B"/>
    <w:rsid w:val="00343E97"/>
    <w:rsid w:val="00351FC7"/>
    <w:rsid w:val="00355356"/>
    <w:rsid w:val="00361211"/>
    <w:rsid w:val="00363CA6"/>
    <w:rsid w:val="0036654E"/>
    <w:rsid w:val="003762D5"/>
    <w:rsid w:val="00382037"/>
    <w:rsid w:val="00384CCD"/>
    <w:rsid w:val="00386AC0"/>
    <w:rsid w:val="003870B6"/>
    <w:rsid w:val="0039419F"/>
    <w:rsid w:val="003A2096"/>
    <w:rsid w:val="003A2B2D"/>
    <w:rsid w:val="003A4607"/>
    <w:rsid w:val="003A46AB"/>
    <w:rsid w:val="003A6709"/>
    <w:rsid w:val="003B1B3D"/>
    <w:rsid w:val="003C3ABB"/>
    <w:rsid w:val="003C4214"/>
    <w:rsid w:val="003C47FA"/>
    <w:rsid w:val="003C696E"/>
    <w:rsid w:val="003C70F3"/>
    <w:rsid w:val="003D682E"/>
    <w:rsid w:val="003D6E5B"/>
    <w:rsid w:val="003E0C85"/>
    <w:rsid w:val="003E69D4"/>
    <w:rsid w:val="003F1817"/>
    <w:rsid w:val="00401F7F"/>
    <w:rsid w:val="00405210"/>
    <w:rsid w:val="0042164B"/>
    <w:rsid w:val="0042562D"/>
    <w:rsid w:val="00432B9B"/>
    <w:rsid w:val="004410EB"/>
    <w:rsid w:val="00452091"/>
    <w:rsid w:val="00453E7C"/>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C2B2B"/>
    <w:rsid w:val="004C33C2"/>
    <w:rsid w:val="004C5E25"/>
    <w:rsid w:val="004D6797"/>
    <w:rsid w:val="004E0ED9"/>
    <w:rsid w:val="004E1378"/>
    <w:rsid w:val="004E2177"/>
    <w:rsid w:val="004F129B"/>
    <w:rsid w:val="004F21D5"/>
    <w:rsid w:val="00504C42"/>
    <w:rsid w:val="00507CA6"/>
    <w:rsid w:val="0051026B"/>
    <w:rsid w:val="00510555"/>
    <w:rsid w:val="0051224B"/>
    <w:rsid w:val="00516331"/>
    <w:rsid w:val="00521A10"/>
    <w:rsid w:val="00522388"/>
    <w:rsid w:val="00535BF3"/>
    <w:rsid w:val="00537A67"/>
    <w:rsid w:val="00537D81"/>
    <w:rsid w:val="00545288"/>
    <w:rsid w:val="005627AF"/>
    <w:rsid w:val="00564EBA"/>
    <w:rsid w:val="00565B5D"/>
    <w:rsid w:val="005706A6"/>
    <w:rsid w:val="0057613A"/>
    <w:rsid w:val="005768A3"/>
    <w:rsid w:val="00581E07"/>
    <w:rsid w:val="005827A5"/>
    <w:rsid w:val="00584C90"/>
    <w:rsid w:val="005865AA"/>
    <w:rsid w:val="0058716E"/>
    <w:rsid w:val="00590C4E"/>
    <w:rsid w:val="00591A40"/>
    <w:rsid w:val="0059630D"/>
    <w:rsid w:val="00597551"/>
    <w:rsid w:val="005A0C6D"/>
    <w:rsid w:val="005A384B"/>
    <w:rsid w:val="005A418E"/>
    <w:rsid w:val="005A67CE"/>
    <w:rsid w:val="005A6C1B"/>
    <w:rsid w:val="005B2D91"/>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20043"/>
    <w:rsid w:val="00624B74"/>
    <w:rsid w:val="0062758C"/>
    <w:rsid w:val="00627B91"/>
    <w:rsid w:val="00630415"/>
    <w:rsid w:val="00642035"/>
    <w:rsid w:val="0064206B"/>
    <w:rsid w:val="00645FF2"/>
    <w:rsid w:val="00646905"/>
    <w:rsid w:val="006477C3"/>
    <w:rsid w:val="0065689F"/>
    <w:rsid w:val="006633EA"/>
    <w:rsid w:val="00666445"/>
    <w:rsid w:val="006829B2"/>
    <w:rsid w:val="00686294"/>
    <w:rsid w:val="006878B4"/>
    <w:rsid w:val="00695153"/>
    <w:rsid w:val="006A181F"/>
    <w:rsid w:val="006A368A"/>
    <w:rsid w:val="006A5BC7"/>
    <w:rsid w:val="006A77F7"/>
    <w:rsid w:val="006B0864"/>
    <w:rsid w:val="006C2FAC"/>
    <w:rsid w:val="006C6203"/>
    <w:rsid w:val="006C6EFB"/>
    <w:rsid w:val="006D1637"/>
    <w:rsid w:val="006D2062"/>
    <w:rsid w:val="006D35BA"/>
    <w:rsid w:val="006D61E5"/>
    <w:rsid w:val="006D6826"/>
    <w:rsid w:val="006D6EAA"/>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5CE9"/>
    <w:rsid w:val="007B0CD2"/>
    <w:rsid w:val="007B6E2C"/>
    <w:rsid w:val="007B7706"/>
    <w:rsid w:val="007C0404"/>
    <w:rsid w:val="007C158E"/>
    <w:rsid w:val="007C74A6"/>
    <w:rsid w:val="007C7558"/>
    <w:rsid w:val="007D197A"/>
    <w:rsid w:val="007D2AC8"/>
    <w:rsid w:val="007D308E"/>
    <w:rsid w:val="007E4920"/>
    <w:rsid w:val="007E7C82"/>
    <w:rsid w:val="007F1538"/>
    <w:rsid w:val="007F2FCB"/>
    <w:rsid w:val="007F5026"/>
    <w:rsid w:val="008016D1"/>
    <w:rsid w:val="00803BE9"/>
    <w:rsid w:val="00812B21"/>
    <w:rsid w:val="00814493"/>
    <w:rsid w:val="008171B7"/>
    <w:rsid w:val="00820B03"/>
    <w:rsid w:val="00821388"/>
    <w:rsid w:val="00822E73"/>
    <w:rsid w:val="00824DEF"/>
    <w:rsid w:val="008262AF"/>
    <w:rsid w:val="008419D9"/>
    <w:rsid w:val="00863AA4"/>
    <w:rsid w:val="00871D6D"/>
    <w:rsid w:val="00875863"/>
    <w:rsid w:val="008761FC"/>
    <w:rsid w:val="00877B52"/>
    <w:rsid w:val="008A2C17"/>
    <w:rsid w:val="008A3A39"/>
    <w:rsid w:val="008B0875"/>
    <w:rsid w:val="008B1645"/>
    <w:rsid w:val="008C33B3"/>
    <w:rsid w:val="008C3761"/>
    <w:rsid w:val="008C6A9C"/>
    <w:rsid w:val="008D292D"/>
    <w:rsid w:val="008D3F77"/>
    <w:rsid w:val="008E1A89"/>
    <w:rsid w:val="008E41DC"/>
    <w:rsid w:val="008E6E93"/>
    <w:rsid w:val="008E7703"/>
    <w:rsid w:val="008F1D4E"/>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364E"/>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3725"/>
    <w:rsid w:val="009C42E9"/>
    <w:rsid w:val="009C4737"/>
    <w:rsid w:val="009C6AFB"/>
    <w:rsid w:val="009C7121"/>
    <w:rsid w:val="009D1B8A"/>
    <w:rsid w:val="009E21A2"/>
    <w:rsid w:val="009E2828"/>
    <w:rsid w:val="009E4818"/>
    <w:rsid w:val="009E6790"/>
    <w:rsid w:val="009E6EB7"/>
    <w:rsid w:val="00A0085A"/>
    <w:rsid w:val="00A03EE4"/>
    <w:rsid w:val="00A04D76"/>
    <w:rsid w:val="00A05490"/>
    <w:rsid w:val="00A05E32"/>
    <w:rsid w:val="00A07327"/>
    <w:rsid w:val="00A12E87"/>
    <w:rsid w:val="00A14655"/>
    <w:rsid w:val="00A149F0"/>
    <w:rsid w:val="00A152B4"/>
    <w:rsid w:val="00A1553E"/>
    <w:rsid w:val="00A16CEA"/>
    <w:rsid w:val="00A21ED9"/>
    <w:rsid w:val="00A25765"/>
    <w:rsid w:val="00A302FE"/>
    <w:rsid w:val="00A32891"/>
    <w:rsid w:val="00A3329A"/>
    <w:rsid w:val="00A34C73"/>
    <w:rsid w:val="00A359D5"/>
    <w:rsid w:val="00A36EF4"/>
    <w:rsid w:val="00A5006A"/>
    <w:rsid w:val="00A551D1"/>
    <w:rsid w:val="00A60DBB"/>
    <w:rsid w:val="00A60F35"/>
    <w:rsid w:val="00A61CFF"/>
    <w:rsid w:val="00A62871"/>
    <w:rsid w:val="00A638C5"/>
    <w:rsid w:val="00A646B8"/>
    <w:rsid w:val="00A7627E"/>
    <w:rsid w:val="00A839BE"/>
    <w:rsid w:val="00A94579"/>
    <w:rsid w:val="00A9590E"/>
    <w:rsid w:val="00AA6802"/>
    <w:rsid w:val="00AB26B5"/>
    <w:rsid w:val="00AB38E2"/>
    <w:rsid w:val="00AB6F60"/>
    <w:rsid w:val="00AB7EF8"/>
    <w:rsid w:val="00AC1691"/>
    <w:rsid w:val="00AC1CA8"/>
    <w:rsid w:val="00AC4C08"/>
    <w:rsid w:val="00AC7F91"/>
    <w:rsid w:val="00AE05B5"/>
    <w:rsid w:val="00AE3DEB"/>
    <w:rsid w:val="00AE57CE"/>
    <w:rsid w:val="00AE6181"/>
    <w:rsid w:val="00AE64FF"/>
    <w:rsid w:val="00AF5172"/>
    <w:rsid w:val="00AF5D32"/>
    <w:rsid w:val="00B01951"/>
    <w:rsid w:val="00B05254"/>
    <w:rsid w:val="00B05F3A"/>
    <w:rsid w:val="00B0640C"/>
    <w:rsid w:val="00B14396"/>
    <w:rsid w:val="00B173B5"/>
    <w:rsid w:val="00B267DC"/>
    <w:rsid w:val="00B308F2"/>
    <w:rsid w:val="00B30DEB"/>
    <w:rsid w:val="00B34B14"/>
    <w:rsid w:val="00B456B7"/>
    <w:rsid w:val="00B45912"/>
    <w:rsid w:val="00B54E3F"/>
    <w:rsid w:val="00B61944"/>
    <w:rsid w:val="00B62E0A"/>
    <w:rsid w:val="00B6351C"/>
    <w:rsid w:val="00B736A5"/>
    <w:rsid w:val="00B74778"/>
    <w:rsid w:val="00B74FC8"/>
    <w:rsid w:val="00B755EE"/>
    <w:rsid w:val="00B76163"/>
    <w:rsid w:val="00B8232C"/>
    <w:rsid w:val="00B8350D"/>
    <w:rsid w:val="00B85BB1"/>
    <w:rsid w:val="00B85DB0"/>
    <w:rsid w:val="00B92D5E"/>
    <w:rsid w:val="00B96E99"/>
    <w:rsid w:val="00BA1C72"/>
    <w:rsid w:val="00BA3538"/>
    <w:rsid w:val="00BA7E2B"/>
    <w:rsid w:val="00BB2E42"/>
    <w:rsid w:val="00BB5610"/>
    <w:rsid w:val="00BC5DE2"/>
    <w:rsid w:val="00BD1600"/>
    <w:rsid w:val="00BD2E28"/>
    <w:rsid w:val="00BD36A4"/>
    <w:rsid w:val="00BD3EF7"/>
    <w:rsid w:val="00BE0B41"/>
    <w:rsid w:val="00BE0D36"/>
    <w:rsid w:val="00BE21D1"/>
    <w:rsid w:val="00BE4E55"/>
    <w:rsid w:val="00BE7874"/>
    <w:rsid w:val="00BF3AB0"/>
    <w:rsid w:val="00C00E55"/>
    <w:rsid w:val="00C0692C"/>
    <w:rsid w:val="00C07794"/>
    <w:rsid w:val="00C12E92"/>
    <w:rsid w:val="00C1575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022"/>
    <w:rsid w:val="00C9065C"/>
    <w:rsid w:val="00C90B5B"/>
    <w:rsid w:val="00C91236"/>
    <w:rsid w:val="00C921EF"/>
    <w:rsid w:val="00CA21A1"/>
    <w:rsid w:val="00CA449F"/>
    <w:rsid w:val="00CA540E"/>
    <w:rsid w:val="00CA5A41"/>
    <w:rsid w:val="00CB0C6C"/>
    <w:rsid w:val="00CB2E1A"/>
    <w:rsid w:val="00CB3E83"/>
    <w:rsid w:val="00CB485A"/>
    <w:rsid w:val="00CC2F8C"/>
    <w:rsid w:val="00CC535D"/>
    <w:rsid w:val="00CC68B0"/>
    <w:rsid w:val="00CD2BE4"/>
    <w:rsid w:val="00CD6EC7"/>
    <w:rsid w:val="00CE31C8"/>
    <w:rsid w:val="00CE4330"/>
    <w:rsid w:val="00CE567F"/>
    <w:rsid w:val="00CF4CBB"/>
    <w:rsid w:val="00D00ACC"/>
    <w:rsid w:val="00D07EE1"/>
    <w:rsid w:val="00D13015"/>
    <w:rsid w:val="00D133A2"/>
    <w:rsid w:val="00D13F5C"/>
    <w:rsid w:val="00D15AD4"/>
    <w:rsid w:val="00D1649F"/>
    <w:rsid w:val="00D20538"/>
    <w:rsid w:val="00D211DC"/>
    <w:rsid w:val="00D250B0"/>
    <w:rsid w:val="00D368AA"/>
    <w:rsid w:val="00D43EA3"/>
    <w:rsid w:val="00D45FAB"/>
    <w:rsid w:val="00D472FE"/>
    <w:rsid w:val="00D52236"/>
    <w:rsid w:val="00D528FE"/>
    <w:rsid w:val="00D56D91"/>
    <w:rsid w:val="00D67A09"/>
    <w:rsid w:val="00D804A1"/>
    <w:rsid w:val="00D86B2E"/>
    <w:rsid w:val="00D901BD"/>
    <w:rsid w:val="00D91710"/>
    <w:rsid w:val="00D92975"/>
    <w:rsid w:val="00D97852"/>
    <w:rsid w:val="00DA4CF4"/>
    <w:rsid w:val="00DB3B2A"/>
    <w:rsid w:val="00DB4343"/>
    <w:rsid w:val="00DB6E09"/>
    <w:rsid w:val="00DB7B56"/>
    <w:rsid w:val="00DC27F4"/>
    <w:rsid w:val="00DC3112"/>
    <w:rsid w:val="00DC3275"/>
    <w:rsid w:val="00DC5022"/>
    <w:rsid w:val="00DC5793"/>
    <w:rsid w:val="00DD1735"/>
    <w:rsid w:val="00DD1945"/>
    <w:rsid w:val="00DD2204"/>
    <w:rsid w:val="00DD7A7D"/>
    <w:rsid w:val="00DE4868"/>
    <w:rsid w:val="00DE4917"/>
    <w:rsid w:val="00DE57D4"/>
    <w:rsid w:val="00DF3DF6"/>
    <w:rsid w:val="00DF4E11"/>
    <w:rsid w:val="00E005B9"/>
    <w:rsid w:val="00E13279"/>
    <w:rsid w:val="00E15214"/>
    <w:rsid w:val="00E22F62"/>
    <w:rsid w:val="00E23830"/>
    <w:rsid w:val="00E2703D"/>
    <w:rsid w:val="00E36432"/>
    <w:rsid w:val="00E41649"/>
    <w:rsid w:val="00E42A9B"/>
    <w:rsid w:val="00E46A83"/>
    <w:rsid w:val="00E47C45"/>
    <w:rsid w:val="00E501FD"/>
    <w:rsid w:val="00E71017"/>
    <w:rsid w:val="00E80D04"/>
    <w:rsid w:val="00E82ED4"/>
    <w:rsid w:val="00E853A3"/>
    <w:rsid w:val="00E854D8"/>
    <w:rsid w:val="00E925D7"/>
    <w:rsid w:val="00E94458"/>
    <w:rsid w:val="00EA1963"/>
    <w:rsid w:val="00EA422B"/>
    <w:rsid w:val="00EA44D0"/>
    <w:rsid w:val="00EA6B9C"/>
    <w:rsid w:val="00EC2FAE"/>
    <w:rsid w:val="00ED01F1"/>
    <w:rsid w:val="00ED61BD"/>
    <w:rsid w:val="00ED6DF2"/>
    <w:rsid w:val="00EE207B"/>
    <w:rsid w:val="00EF63CD"/>
    <w:rsid w:val="00F01D85"/>
    <w:rsid w:val="00F05438"/>
    <w:rsid w:val="00F1258E"/>
    <w:rsid w:val="00F2602E"/>
    <w:rsid w:val="00F30635"/>
    <w:rsid w:val="00F30761"/>
    <w:rsid w:val="00F31524"/>
    <w:rsid w:val="00F41173"/>
    <w:rsid w:val="00F41BB1"/>
    <w:rsid w:val="00F521E0"/>
    <w:rsid w:val="00F53E6A"/>
    <w:rsid w:val="00F57A3C"/>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B35F7"/>
    <w:rsid w:val="00FB4CD5"/>
    <w:rsid w:val="00FB6164"/>
    <w:rsid w:val="00FB7DF5"/>
    <w:rsid w:val="00FC5496"/>
    <w:rsid w:val="00FD1758"/>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10AA"/>
  <w15:chartTrackingRefBased/>
  <w15:docId w15:val="{B8D068EA-7D36-4478-BD65-DF25297A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40"/>
    <w:pPr>
      <w:spacing w:before="240" w:after="120" w:line="276" w:lineRule="auto"/>
      <w:jc w:val="both"/>
    </w:pPr>
    <w:rPr>
      <w:rFonts w:ascii="Arial" w:hAnsi="Arial"/>
    </w:rPr>
  </w:style>
  <w:style w:type="paragraph" w:styleId="Heading1">
    <w:name w:val="heading 1"/>
    <w:basedOn w:val="Normal"/>
    <w:next w:val="Normal"/>
    <w:link w:val="Heading1Char"/>
    <w:autoRedefine/>
    <w:uiPriority w:val="9"/>
    <w:qFormat/>
    <w:rsid w:val="001E465D"/>
    <w:pPr>
      <w:keepNext/>
      <w:keepLines/>
      <w:jc w:val="center"/>
      <w:outlineLvl w:val="0"/>
    </w:pPr>
    <w:rPr>
      <w:rFonts w:eastAsia="Times New Roman"/>
      <w:b/>
      <w:bCs/>
      <w:caps/>
      <w:sz w:val="28"/>
      <w:lang w:eastAsia="zh-CN"/>
    </w:rPr>
  </w:style>
  <w:style w:type="paragraph" w:styleId="Heading2">
    <w:name w:val="heading 2"/>
    <w:basedOn w:val="Normal"/>
    <w:next w:val="Normal"/>
    <w:link w:val="Heading2Char"/>
    <w:autoRedefine/>
    <w:uiPriority w:val="9"/>
    <w:unhideWhenUsed/>
    <w:qFormat/>
    <w:rsid w:val="00C90022"/>
    <w:pPr>
      <w:jc w:val="center"/>
      <w:outlineLvl w:val="1"/>
    </w:pPr>
    <w:rPr>
      <w:b/>
      <w:bCs/>
      <w:caps/>
      <w:u w:val="single"/>
      <w:lang w:val="en-GB" w:eastAsia="zh-CN"/>
    </w:rPr>
  </w:style>
  <w:style w:type="paragraph" w:styleId="Heading3">
    <w:name w:val="heading 3"/>
    <w:basedOn w:val="Normal"/>
    <w:next w:val="Normal"/>
    <w:link w:val="Heading3Char"/>
    <w:uiPriority w:val="9"/>
    <w:unhideWhenUsed/>
    <w:qFormat/>
    <w:rsid w:val="0042562D"/>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591A40"/>
    <w:pPr>
      <w:keepLines w:val="0"/>
      <w:outlineLvl w:val="9"/>
    </w:pPr>
    <w:rPr>
      <w:rFonts w:eastAsia="Batang" w:cs="Arial"/>
      <w:kern w:val="32"/>
      <w:szCs w:val="32"/>
      <w:lang w:val="en-GB" w:eastAsia="ko-KR"/>
    </w:rPr>
  </w:style>
  <w:style w:type="character" w:customStyle="1" w:styleId="Heading1Char">
    <w:name w:val="Heading 1 Char"/>
    <w:link w:val="Heading1"/>
    <w:uiPriority w:val="9"/>
    <w:rsid w:val="001E465D"/>
    <w:rPr>
      <w:rFonts w:ascii="Arial" w:eastAsia="Times New Roman" w:hAnsi="Arial"/>
      <w:b/>
      <w:bCs/>
      <w:caps/>
      <w:sz w:val="28"/>
      <w:lang w:val="en-US" w:eastAsia="zh-CN"/>
    </w:rPr>
  </w:style>
  <w:style w:type="paragraph" w:customStyle="1" w:styleId="CIL2Heading">
    <w:name w:val="CIL 2 Heading"/>
    <w:basedOn w:val="Heading2"/>
    <w:autoRedefine/>
    <w:rsid w:val="00A359D5"/>
    <w:rPr>
      <w:rFonts w:eastAsia="Batang" w:cs="Arial"/>
      <w:b w:val="0"/>
      <w:iCs/>
      <w:caps w:val="0"/>
      <w:szCs w:val="28"/>
      <w:lang w:eastAsia="ko-KR"/>
    </w:rPr>
  </w:style>
  <w:style w:type="character" w:customStyle="1" w:styleId="Heading2Char">
    <w:name w:val="Heading 2 Char"/>
    <w:link w:val="Heading2"/>
    <w:uiPriority w:val="9"/>
    <w:rsid w:val="00C90022"/>
    <w:rPr>
      <w:rFonts w:ascii="Arial" w:hAnsi="Arial"/>
      <w:b/>
      <w:bCs/>
      <w:caps/>
      <w:u w:val="single"/>
      <w:lang w:val="en-GB" w:eastAsia="zh-CN"/>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1E465D"/>
    <w:pPr>
      <w:jc w:val="center"/>
    </w:pPr>
    <w:rPr>
      <w:rFonts w:eastAsia="Batang" w:cs="Arial"/>
      <w:i/>
      <w:lang w:val="en-GB" w:eastAsia="ko-KR"/>
    </w:rPr>
  </w:style>
  <w:style w:type="character" w:customStyle="1" w:styleId="CILSubtitleChar">
    <w:name w:val="CIL Subtitle Char"/>
    <w:link w:val="CILSubtitle"/>
    <w:rsid w:val="001E465D"/>
    <w:rPr>
      <w:rFonts w:ascii="Arial" w:eastAsia="Batang" w:hAnsi="Arial" w:cs="Arial"/>
      <w:i/>
      <w:lang w:val="en-GB" w:eastAsia="ko-KR"/>
    </w:rPr>
  </w:style>
  <w:style w:type="paragraph" w:customStyle="1" w:styleId="CILTitle">
    <w:name w:val="CIL Title"/>
    <w:basedOn w:val="Normal"/>
    <w:autoRedefine/>
    <w:qFormat/>
    <w:rsid w:val="001E465D"/>
    <w:pPr>
      <w:jc w:val="center"/>
    </w:pPr>
    <w:rPr>
      <w:rFonts w:eastAsia="Batang" w:cs="Arial"/>
      <w:b/>
      <w:bCs/>
      <w:caps/>
      <w:kern w:val="32"/>
      <w:sz w:val="28"/>
      <w:szCs w:val="28"/>
      <w:lang w:val="en-GB" w:eastAsia="ko-KR"/>
    </w:rPr>
  </w:style>
  <w:style w:type="character" w:customStyle="1" w:styleId="Heading3Char">
    <w:name w:val="Heading 3 Char"/>
    <w:link w:val="Heading3"/>
    <w:uiPriority w:val="9"/>
    <w:rsid w:val="0042562D"/>
    <w:rPr>
      <w:rFonts w:ascii="Cambria" w:eastAsia="Times New Roman" w:hAnsi="Cambria" w:cs="Times New Roman"/>
      <w:b/>
      <w:bCs/>
      <w:color w:val="4F81BD"/>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135759"/>
    <w:pPr>
      <w:tabs>
        <w:tab w:val="right" w:leader="dot" w:pos="9017"/>
      </w:tabs>
      <w:spacing w:before="60" w:after="60"/>
    </w:p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Normal"/>
    <w:next w:val="Normal"/>
    <w:autoRedefine/>
    <w:uiPriority w:val="39"/>
    <w:unhideWhenUsed/>
    <w:rsid w:val="0042562D"/>
    <w:pPr>
      <w:spacing w:after="100"/>
      <w:ind w:left="200"/>
    </w:p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rPr>
  </w:style>
  <w:style w:type="paragraph" w:styleId="Header">
    <w:name w:val="header"/>
    <w:basedOn w:val="Normal"/>
    <w:link w:val="HeaderChar"/>
    <w:uiPriority w:val="99"/>
    <w:unhideWhenUsed/>
    <w:rsid w:val="00055C64"/>
    <w:pPr>
      <w:tabs>
        <w:tab w:val="center" w:pos="4680"/>
        <w:tab w:val="right" w:pos="9360"/>
      </w:tabs>
      <w:spacing w:before="0" w:after="0" w:line="240" w:lineRule="auto"/>
    </w:pPr>
  </w:style>
  <w:style w:type="character" w:customStyle="1" w:styleId="HeaderChar">
    <w:name w:val="Header Char"/>
    <w:link w:val="Header"/>
    <w:uiPriority w:val="99"/>
    <w:rsid w:val="00055C64"/>
    <w:rPr>
      <w:rFonts w:ascii="Arial" w:hAnsi="Arial"/>
    </w:rPr>
  </w:style>
  <w:style w:type="paragraph" w:styleId="Footer">
    <w:name w:val="footer"/>
    <w:basedOn w:val="Normal"/>
    <w:link w:val="FooterChar"/>
    <w:uiPriority w:val="99"/>
    <w:unhideWhenUsed/>
    <w:rsid w:val="00055C64"/>
    <w:pPr>
      <w:tabs>
        <w:tab w:val="center" w:pos="4680"/>
        <w:tab w:val="right" w:pos="9360"/>
      </w:tabs>
      <w:spacing w:before="0" w:after="0" w:line="240" w:lineRule="auto"/>
    </w:pPr>
  </w:style>
  <w:style w:type="character" w:customStyle="1" w:styleId="FooterChar">
    <w:name w:val="Footer Char"/>
    <w:link w:val="Footer"/>
    <w:uiPriority w:val="99"/>
    <w:rsid w:val="00055C64"/>
    <w:rPr>
      <w:rFonts w:ascii="Arial" w:hAnsi="Arial"/>
    </w:rPr>
  </w:style>
  <w:style w:type="character" w:styleId="Hyperlink">
    <w:name w:val="Hyperlink"/>
    <w:uiPriority w:val="99"/>
    <w:unhideWhenUsed/>
    <w:rsid w:val="00055C64"/>
    <w:rPr>
      <w:color w:val="0000FF"/>
      <w:u w:val="single"/>
    </w:rPr>
  </w:style>
  <w:style w:type="paragraph" w:styleId="TOCHeading">
    <w:name w:val="TOC Heading"/>
    <w:basedOn w:val="Heading1"/>
    <w:next w:val="Normal"/>
    <w:uiPriority w:val="39"/>
    <w:unhideWhenUsed/>
    <w:qFormat/>
    <w:rsid w:val="00055C64"/>
    <w:pPr>
      <w:spacing w:before="480" w:after="0"/>
      <w:jc w:val="left"/>
      <w:outlineLvl w:val="9"/>
    </w:pPr>
    <w:rPr>
      <w:rFonts w:ascii="Cambria" w:hAnsi="Cambria"/>
      <w:caps w:val="0"/>
      <w:color w:val="365F91"/>
      <w:lang w:eastAsia="ja-JP"/>
    </w:rPr>
  </w:style>
  <w:style w:type="paragraph" w:styleId="BalloonText">
    <w:name w:val="Balloon Text"/>
    <w:basedOn w:val="Normal"/>
    <w:link w:val="BalloonTextChar"/>
    <w:uiPriority w:val="99"/>
    <w:semiHidden/>
    <w:unhideWhenUsed/>
    <w:rsid w:val="00055C64"/>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055C64"/>
    <w:rPr>
      <w:rFonts w:ascii="Tahoma" w:hAnsi="Tahoma" w:cs="Tahoma"/>
      <w:sz w:val="16"/>
      <w:szCs w:val="16"/>
    </w:rPr>
  </w:style>
  <w:style w:type="paragraph" w:styleId="Title">
    <w:name w:val="Title"/>
    <w:basedOn w:val="Normal"/>
    <w:next w:val="Normal"/>
    <w:link w:val="TitleChar"/>
    <w:uiPriority w:val="10"/>
    <w:qFormat/>
    <w:rsid w:val="001E465D"/>
    <w:pPr>
      <w:spacing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1E465D"/>
    <w:rPr>
      <w:rFonts w:ascii="Calibri Light" w:eastAsia="Times New Roman" w:hAnsi="Calibri Light" w:cs="Times New Roman"/>
      <w:b/>
      <w:bCs/>
      <w:kern w:val="28"/>
      <w:sz w:val="32"/>
      <w:szCs w:val="32"/>
      <w:lang w:val="en-US" w:eastAsia="en-US"/>
    </w:rPr>
  </w:style>
  <w:style w:type="paragraph" w:styleId="ListParagraph">
    <w:name w:val="List Paragraph"/>
    <w:basedOn w:val="Normal"/>
    <w:uiPriority w:val="34"/>
    <w:rsid w:val="00D9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1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8413-1337-4433-8DBF-CB31DF0A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Links>
    <vt:vector size="174" baseType="variant">
      <vt:variant>
        <vt:i4>1441843</vt:i4>
      </vt:variant>
      <vt:variant>
        <vt:i4>158</vt:i4>
      </vt:variant>
      <vt:variant>
        <vt:i4>0</vt:i4>
      </vt:variant>
      <vt:variant>
        <vt:i4>5</vt:i4>
      </vt:variant>
      <vt:variant>
        <vt:lpwstr/>
      </vt:variant>
      <vt:variant>
        <vt:lpwstr>_Toc462927794</vt:lpwstr>
      </vt:variant>
      <vt:variant>
        <vt:i4>1441843</vt:i4>
      </vt:variant>
      <vt:variant>
        <vt:i4>152</vt:i4>
      </vt:variant>
      <vt:variant>
        <vt:i4>0</vt:i4>
      </vt:variant>
      <vt:variant>
        <vt:i4>5</vt:i4>
      </vt:variant>
      <vt:variant>
        <vt:lpwstr/>
      </vt:variant>
      <vt:variant>
        <vt:lpwstr>_Toc462927793</vt:lpwstr>
      </vt:variant>
      <vt:variant>
        <vt:i4>1441843</vt:i4>
      </vt:variant>
      <vt:variant>
        <vt:i4>146</vt:i4>
      </vt:variant>
      <vt:variant>
        <vt:i4>0</vt:i4>
      </vt:variant>
      <vt:variant>
        <vt:i4>5</vt:i4>
      </vt:variant>
      <vt:variant>
        <vt:lpwstr/>
      </vt:variant>
      <vt:variant>
        <vt:lpwstr>_Toc462927792</vt:lpwstr>
      </vt:variant>
      <vt:variant>
        <vt:i4>1441843</vt:i4>
      </vt:variant>
      <vt:variant>
        <vt:i4>140</vt:i4>
      </vt:variant>
      <vt:variant>
        <vt:i4>0</vt:i4>
      </vt:variant>
      <vt:variant>
        <vt:i4>5</vt:i4>
      </vt:variant>
      <vt:variant>
        <vt:lpwstr/>
      </vt:variant>
      <vt:variant>
        <vt:lpwstr>_Toc462927791</vt:lpwstr>
      </vt:variant>
      <vt:variant>
        <vt:i4>1441843</vt:i4>
      </vt:variant>
      <vt:variant>
        <vt:i4>134</vt:i4>
      </vt:variant>
      <vt:variant>
        <vt:i4>0</vt:i4>
      </vt:variant>
      <vt:variant>
        <vt:i4>5</vt:i4>
      </vt:variant>
      <vt:variant>
        <vt:lpwstr/>
      </vt:variant>
      <vt:variant>
        <vt:lpwstr>_Toc462927790</vt:lpwstr>
      </vt:variant>
      <vt:variant>
        <vt:i4>1507379</vt:i4>
      </vt:variant>
      <vt:variant>
        <vt:i4>128</vt:i4>
      </vt:variant>
      <vt:variant>
        <vt:i4>0</vt:i4>
      </vt:variant>
      <vt:variant>
        <vt:i4>5</vt:i4>
      </vt:variant>
      <vt:variant>
        <vt:lpwstr/>
      </vt:variant>
      <vt:variant>
        <vt:lpwstr>_Toc462927789</vt:lpwstr>
      </vt:variant>
      <vt:variant>
        <vt:i4>1507379</vt:i4>
      </vt:variant>
      <vt:variant>
        <vt:i4>122</vt:i4>
      </vt:variant>
      <vt:variant>
        <vt:i4>0</vt:i4>
      </vt:variant>
      <vt:variant>
        <vt:i4>5</vt:i4>
      </vt:variant>
      <vt:variant>
        <vt:lpwstr/>
      </vt:variant>
      <vt:variant>
        <vt:lpwstr>_Toc462927788</vt:lpwstr>
      </vt:variant>
      <vt:variant>
        <vt:i4>1507379</vt:i4>
      </vt:variant>
      <vt:variant>
        <vt:i4>116</vt:i4>
      </vt:variant>
      <vt:variant>
        <vt:i4>0</vt:i4>
      </vt:variant>
      <vt:variant>
        <vt:i4>5</vt:i4>
      </vt:variant>
      <vt:variant>
        <vt:lpwstr/>
      </vt:variant>
      <vt:variant>
        <vt:lpwstr>_Toc462927787</vt:lpwstr>
      </vt:variant>
      <vt:variant>
        <vt:i4>1507379</vt:i4>
      </vt:variant>
      <vt:variant>
        <vt:i4>110</vt:i4>
      </vt:variant>
      <vt:variant>
        <vt:i4>0</vt:i4>
      </vt:variant>
      <vt:variant>
        <vt:i4>5</vt:i4>
      </vt:variant>
      <vt:variant>
        <vt:lpwstr/>
      </vt:variant>
      <vt:variant>
        <vt:lpwstr>_Toc462927786</vt:lpwstr>
      </vt:variant>
      <vt:variant>
        <vt:i4>1507379</vt:i4>
      </vt:variant>
      <vt:variant>
        <vt:i4>104</vt:i4>
      </vt:variant>
      <vt:variant>
        <vt:i4>0</vt:i4>
      </vt:variant>
      <vt:variant>
        <vt:i4>5</vt:i4>
      </vt:variant>
      <vt:variant>
        <vt:lpwstr/>
      </vt:variant>
      <vt:variant>
        <vt:lpwstr>_Toc462927785</vt:lpwstr>
      </vt:variant>
      <vt:variant>
        <vt:i4>1507379</vt:i4>
      </vt:variant>
      <vt:variant>
        <vt:i4>98</vt:i4>
      </vt:variant>
      <vt:variant>
        <vt:i4>0</vt:i4>
      </vt:variant>
      <vt:variant>
        <vt:i4>5</vt:i4>
      </vt:variant>
      <vt:variant>
        <vt:lpwstr/>
      </vt:variant>
      <vt:variant>
        <vt:lpwstr>_Toc462927784</vt:lpwstr>
      </vt:variant>
      <vt:variant>
        <vt:i4>1507379</vt:i4>
      </vt:variant>
      <vt:variant>
        <vt:i4>92</vt:i4>
      </vt:variant>
      <vt:variant>
        <vt:i4>0</vt:i4>
      </vt:variant>
      <vt:variant>
        <vt:i4>5</vt:i4>
      </vt:variant>
      <vt:variant>
        <vt:lpwstr/>
      </vt:variant>
      <vt:variant>
        <vt:lpwstr>_Toc462927783</vt:lpwstr>
      </vt:variant>
      <vt:variant>
        <vt:i4>1507379</vt:i4>
      </vt:variant>
      <vt:variant>
        <vt:i4>86</vt:i4>
      </vt:variant>
      <vt:variant>
        <vt:i4>0</vt:i4>
      </vt:variant>
      <vt:variant>
        <vt:i4>5</vt:i4>
      </vt:variant>
      <vt:variant>
        <vt:lpwstr/>
      </vt:variant>
      <vt:variant>
        <vt:lpwstr>_Toc462927782</vt:lpwstr>
      </vt:variant>
      <vt:variant>
        <vt:i4>1507379</vt:i4>
      </vt:variant>
      <vt:variant>
        <vt:i4>80</vt:i4>
      </vt:variant>
      <vt:variant>
        <vt:i4>0</vt:i4>
      </vt:variant>
      <vt:variant>
        <vt:i4>5</vt:i4>
      </vt:variant>
      <vt:variant>
        <vt:lpwstr/>
      </vt:variant>
      <vt:variant>
        <vt:lpwstr>_Toc462927781</vt:lpwstr>
      </vt:variant>
      <vt:variant>
        <vt:i4>1507379</vt:i4>
      </vt:variant>
      <vt:variant>
        <vt:i4>74</vt:i4>
      </vt:variant>
      <vt:variant>
        <vt:i4>0</vt:i4>
      </vt:variant>
      <vt:variant>
        <vt:i4>5</vt:i4>
      </vt:variant>
      <vt:variant>
        <vt:lpwstr/>
      </vt:variant>
      <vt:variant>
        <vt:lpwstr>_Toc462927780</vt:lpwstr>
      </vt:variant>
      <vt:variant>
        <vt:i4>1572915</vt:i4>
      </vt:variant>
      <vt:variant>
        <vt:i4>68</vt:i4>
      </vt:variant>
      <vt:variant>
        <vt:i4>0</vt:i4>
      </vt:variant>
      <vt:variant>
        <vt:i4>5</vt:i4>
      </vt:variant>
      <vt:variant>
        <vt:lpwstr/>
      </vt:variant>
      <vt:variant>
        <vt:lpwstr>_Toc462927779</vt:lpwstr>
      </vt:variant>
      <vt:variant>
        <vt:i4>1572915</vt:i4>
      </vt:variant>
      <vt:variant>
        <vt:i4>62</vt:i4>
      </vt:variant>
      <vt:variant>
        <vt:i4>0</vt:i4>
      </vt:variant>
      <vt:variant>
        <vt:i4>5</vt:i4>
      </vt:variant>
      <vt:variant>
        <vt:lpwstr/>
      </vt:variant>
      <vt:variant>
        <vt:lpwstr>_Toc462927778</vt:lpwstr>
      </vt:variant>
      <vt:variant>
        <vt:i4>1572915</vt:i4>
      </vt:variant>
      <vt:variant>
        <vt:i4>56</vt:i4>
      </vt:variant>
      <vt:variant>
        <vt:i4>0</vt:i4>
      </vt:variant>
      <vt:variant>
        <vt:i4>5</vt:i4>
      </vt:variant>
      <vt:variant>
        <vt:lpwstr/>
      </vt:variant>
      <vt:variant>
        <vt:lpwstr>_Toc462927777</vt:lpwstr>
      </vt:variant>
      <vt:variant>
        <vt:i4>1572915</vt:i4>
      </vt:variant>
      <vt:variant>
        <vt:i4>50</vt:i4>
      </vt:variant>
      <vt:variant>
        <vt:i4>0</vt:i4>
      </vt:variant>
      <vt:variant>
        <vt:i4>5</vt:i4>
      </vt:variant>
      <vt:variant>
        <vt:lpwstr/>
      </vt:variant>
      <vt:variant>
        <vt:lpwstr>_Toc462927776</vt:lpwstr>
      </vt:variant>
      <vt:variant>
        <vt:i4>1572915</vt:i4>
      </vt:variant>
      <vt:variant>
        <vt:i4>44</vt:i4>
      </vt:variant>
      <vt:variant>
        <vt:i4>0</vt:i4>
      </vt:variant>
      <vt:variant>
        <vt:i4>5</vt:i4>
      </vt:variant>
      <vt:variant>
        <vt:lpwstr/>
      </vt:variant>
      <vt:variant>
        <vt:lpwstr>_Toc462927775</vt:lpwstr>
      </vt:variant>
      <vt:variant>
        <vt:i4>1572915</vt:i4>
      </vt:variant>
      <vt:variant>
        <vt:i4>38</vt:i4>
      </vt:variant>
      <vt:variant>
        <vt:i4>0</vt:i4>
      </vt:variant>
      <vt:variant>
        <vt:i4>5</vt:i4>
      </vt:variant>
      <vt:variant>
        <vt:lpwstr/>
      </vt:variant>
      <vt:variant>
        <vt:lpwstr>_Toc462927774</vt:lpwstr>
      </vt:variant>
      <vt:variant>
        <vt:i4>1572915</vt:i4>
      </vt:variant>
      <vt:variant>
        <vt:i4>32</vt:i4>
      </vt:variant>
      <vt:variant>
        <vt:i4>0</vt:i4>
      </vt:variant>
      <vt:variant>
        <vt:i4>5</vt:i4>
      </vt:variant>
      <vt:variant>
        <vt:lpwstr/>
      </vt:variant>
      <vt:variant>
        <vt:lpwstr>_Toc462927773</vt:lpwstr>
      </vt:variant>
      <vt:variant>
        <vt:i4>1572915</vt:i4>
      </vt:variant>
      <vt:variant>
        <vt:i4>26</vt:i4>
      </vt:variant>
      <vt:variant>
        <vt:i4>0</vt:i4>
      </vt:variant>
      <vt:variant>
        <vt:i4>5</vt:i4>
      </vt:variant>
      <vt:variant>
        <vt:lpwstr/>
      </vt:variant>
      <vt:variant>
        <vt:lpwstr>_Toc462927772</vt:lpwstr>
      </vt:variant>
      <vt:variant>
        <vt:i4>1572915</vt:i4>
      </vt:variant>
      <vt:variant>
        <vt:i4>20</vt:i4>
      </vt:variant>
      <vt:variant>
        <vt:i4>0</vt:i4>
      </vt:variant>
      <vt:variant>
        <vt:i4>5</vt:i4>
      </vt:variant>
      <vt:variant>
        <vt:lpwstr/>
      </vt:variant>
      <vt:variant>
        <vt:lpwstr>_Toc462927771</vt:lpwstr>
      </vt:variant>
      <vt:variant>
        <vt:i4>1572915</vt:i4>
      </vt:variant>
      <vt:variant>
        <vt:i4>14</vt:i4>
      </vt:variant>
      <vt:variant>
        <vt:i4>0</vt:i4>
      </vt:variant>
      <vt:variant>
        <vt:i4>5</vt:i4>
      </vt:variant>
      <vt:variant>
        <vt:lpwstr/>
      </vt:variant>
      <vt:variant>
        <vt:lpwstr>_Toc462927770</vt:lpwstr>
      </vt:variant>
      <vt:variant>
        <vt:i4>1638451</vt:i4>
      </vt:variant>
      <vt:variant>
        <vt:i4>8</vt:i4>
      </vt:variant>
      <vt:variant>
        <vt:i4>0</vt:i4>
      </vt:variant>
      <vt:variant>
        <vt:i4>5</vt:i4>
      </vt:variant>
      <vt:variant>
        <vt:lpwstr/>
      </vt:variant>
      <vt:variant>
        <vt:lpwstr>_Toc462927769</vt:lpwstr>
      </vt:variant>
      <vt:variant>
        <vt:i4>1638451</vt:i4>
      </vt:variant>
      <vt:variant>
        <vt:i4>2</vt:i4>
      </vt:variant>
      <vt:variant>
        <vt:i4>0</vt:i4>
      </vt:variant>
      <vt:variant>
        <vt:i4>5</vt:i4>
      </vt:variant>
      <vt:variant>
        <vt:lpwstr/>
      </vt:variant>
      <vt:variant>
        <vt:lpwstr>_Toc462927768</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Lee Jie Yi, Gracia</cp:lastModifiedBy>
  <cp:revision>17</cp:revision>
  <cp:lastPrinted>2018-06-26T04:22:00Z</cp:lastPrinted>
  <dcterms:created xsi:type="dcterms:W3CDTF">2018-06-26T03:14:00Z</dcterms:created>
  <dcterms:modified xsi:type="dcterms:W3CDTF">2018-06-26T04:22:00Z</dcterms:modified>
</cp:coreProperties>
</file>