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B7D" w:rsidRDefault="00DF0B96" w:rsidP="009D4184">
      <w:pPr>
        <w:pStyle w:val="FullTitle"/>
      </w:pPr>
      <w:r>
        <w:t xml:space="preserve">2003 PROTOCOL TO AMEND THE ASEAN </w:t>
      </w:r>
      <w:r w:rsidR="006459EE">
        <w:br/>
      </w:r>
      <w:r>
        <w:t>FRAMEWORK AGREEMENT ON SERVICES</w:t>
      </w:r>
    </w:p>
    <w:p w:rsidR="004F0275" w:rsidRDefault="00DF0B96" w:rsidP="00C37EB2">
      <w:pPr>
        <w:pStyle w:val="Subtitle1"/>
      </w:pPr>
      <w:r>
        <w:t>Signed in Phnom Penh, Cambodia on 2 September 2003</w:t>
      </w:r>
    </w:p>
    <w:p w:rsidR="00A4171E" w:rsidRDefault="00A4171E">
      <w:pPr>
        <w:spacing w:after="160" w:line="259" w:lineRule="auto"/>
        <w:rPr>
          <w:rFonts w:ascii="Arial" w:hAnsi="Arial" w:cs="Arial"/>
          <w:i/>
          <w:sz w:val="20"/>
          <w:szCs w:val="20"/>
        </w:rPr>
      </w:pPr>
    </w:p>
    <w:p w:rsidR="00DF0B96" w:rsidRPr="00FB0DA2" w:rsidRDefault="00DF0B96" w:rsidP="00DF0B96">
      <w:pPr>
        <w:pStyle w:val="ParagraphText"/>
        <w:rPr>
          <w:sz w:val="22"/>
          <w:szCs w:val="22"/>
        </w:rPr>
      </w:pPr>
      <w:r w:rsidRPr="00FB0DA2">
        <w:rPr>
          <w:sz w:val="22"/>
          <w:szCs w:val="22"/>
        </w:rPr>
        <w:t>The Governments of Brunei Darussalam, the Kingdom of Cambodia, the Republic of Indonesia, Lao People’s Democratic Republic, Malaysia, the Union of Myanmar, the Republic of the Philippines, the Republic of Singapore, the Kingdom of Thailand and the Socialist Republic of Viet Nam, Member States of the Association of South East Asian Nations (hereinafter referred to as “ASEAN”);</w:t>
      </w:r>
    </w:p>
    <w:p w:rsidR="00DF0B96" w:rsidRPr="00FB0DA2" w:rsidRDefault="00DF0B96" w:rsidP="00DF0B96">
      <w:pPr>
        <w:pStyle w:val="ParagraphText"/>
        <w:rPr>
          <w:sz w:val="22"/>
          <w:szCs w:val="22"/>
        </w:rPr>
      </w:pPr>
      <w:r w:rsidRPr="00FB0DA2">
        <w:rPr>
          <w:b/>
          <w:sz w:val="22"/>
          <w:szCs w:val="22"/>
        </w:rPr>
        <w:t>RECALLING</w:t>
      </w:r>
      <w:r w:rsidRPr="00FB0DA2">
        <w:rPr>
          <w:sz w:val="22"/>
          <w:szCs w:val="22"/>
        </w:rPr>
        <w:t xml:space="preserve"> the Framework Agreement on Enhancing ASEAN Economic Cooperation signed on 28 January 1992 in Singapore, of which Article I paragraph 3 provides that all Member States shall participate in intra-ASEAN economic arrangements, provided that, in the implementation of these economic arrangements, two or more Member States may proceed first if other Member States are not ready to implement these arrangements;</w:t>
      </w:r>
    </w:p>
    <w:p w:rsidR="00DF0B96" w:rsidRPr="00FB0DA2" w:rsidRDefault="00DF0B96" w:rsidP="00DF0B96">
      <w:pPr>
        <w:pStyle w:val="ParagraphText"/>
        <w:rPr>
          <w:sz w:val="22"/>
          <w:szCs w:val="22"/>
        </w:rPr>
      </w:pPr>
      <w:r w:rsidRPr="00FB0DA2">
        <w:rPr>
          <w:b/>
          <w:sz w:val="22"/>
          <w:szCs w:val="22"/>
        </w:rPr>
        <w:t>RECALLING</w:t>
      </w:r>
      <w:r w:rsidRPr="00FB0DA2">
        <w:rPr>
          <w:sz w:val="22"/>
          <w:szCs w:val="22"/>
        </w:rPr>
        <w:t xml:space="preserve"> the decision of the ASEAN Economic Ministers (AEM) at their Retreat held in Genting Highlands, Malaysia on 6 July 2002 to accelerate services liberalization within Member States; </w:t>
      </w:r>
    </w:p>
    <w:p w:rsidR="00DF0B96" w:rsidRPr="00FB0DA2" w:rsidRDefault="00DF0B96" w:rsidP="00DF0B96">
      <w:pPr>
        <w:pStyle w:val="ParagraphText"/>
        <w:rPr>
          <w:sz w:val="22"/>
          <w:szCs w:val="22"/>
        </w:rPr>
      </w:pPr>
      <w:r w:rsidRPr="00FB0DA2">
        <w:rPr>
          <w:b/>
          <w:sz w:val="22"/>
          <w:szCs w:val="22"/>
        </w:rPr>
        <w:t>DESIRING</w:t>
      </w:r>
      <w:r w:rsidRPr="00FB0DA2">
        <w:rPr>
          <w:sz w:val="22"/>
          <w:szCs w:val="22"/>
        </w:rPr>
        <w:t xml:space="preserve"> to expedite the liberalization of trade in services within ASEAN through the implementation of the ASEAN-X formula, based on the parameters endorsed by the AEM at their 34th Meeting held in Bandar Seri Begawan, Brunei Darussalam on 12 September 2002;</w:t>
      </w:r>
    </w:p>
    <w:p w:rsidR="00DF0B96" w:rsidRPr="00FB0DA2" w:rsidRDefault="00DF0B96" w:rsidP="00DF0B96">
      <w:pPr>
        <w:pStyle w:val="ParagraphText"/>
        <w:rPr>
          <w:sz w:val="22"/>
          <w:szCs w:val="22"/>
        </w:rPr>
      </w:pPr>
      <w:r w:rsidRPr="00FB0DA2">
        <w:rPr>
          <w:b/>
          <w:sz w:val="22"/>
          <w:szCs w:val="22"/>
        </w:rPr>
        <w:t>NOTING</w:t>
      </w:r>
      <w:r w:rsidRPr="00FB0DA2">
        <w:rPr>
          <w:sz w:val="22"/>
          <w:szCs w:val="22"/>
        </w:rPr>
        <w:t xml:space="preserve"> the ASEAN Framework Agreement on Services (hereinafter referred to as “the Framework Agreement”) signed on 15 December 1995 at the Fifth ASEAN Summit held in Bangkok, Thailand, where Article II paragraph 1 provides that two or more Member States may proceed first if other Member States are not ready to implement cooperation arrangements under the Framework Agreement;</w:t>
      </w:r>
    </w:p>
    <w:p w:rsidR="00DF0B96" w:rsidRPr="00FB0DA2" w:rsidRDefault="00DF0B96" w:rsidP="00DF0B96">
      <w:pPr>
        <w:pStyle w:val="ParagraphText"/>
        <w:rPr>
          <w:sz w:val="22"/>
          <w:szCs w:val="22"/>
        </w:rPr>
      </w:pPr>
      <w:r w:rsidRPr="00FB0DA2">
        <w:rPr>
          <w:b/>
          <w:sz w:val="22"/>
          <w:szCs w:val="22"/>
        </w:rPr>
        <w:t>REFERRING</w:t>
      </w:r>
      <w:r w:rsidRPr="00FB0DA2">
        <w:rPr>
          <w:sz w:val="22"/>
          <w:szCs w:val="22"/>
        </w:rPr>
        <w:t xml:space="preserve"> to Article XII of the Framework Agreement, which provides for amendments; </w:t>
      </w:r>
    </w:p>
    <w:p w:rsidR="00DF0B96" w:rsidRPr="00FB0DA2" w:rsidRDefault="00DF0B96" w:rsidP="00DF0B96">
      <w:pPr>
        <w:pStyle w:val="ParagraphText"/>
        <w:rPr>
          <w:sz w:val="22"/>
          <w:szCs w:val="22"/>
        </w:rPr>
      </w:pPr>
      <w:r w:rsidRPr="00FB0DA2">
        <w:rPr>
          <w:b/>
          <w:sz w:val="22"/>
          <w:szCs w:val="22"/>
        </w:rPr>
        <w:t>HAVE AGREED AS FOLLOWS</w:t>
      </w:r>
      <w:r w:rsidRPr="00FB0DA2">
        <w:rPr>
          <w:sz w:val="22"/>
          <w:szCs w:val="22"/>
        </w:rPr>
        <w:t xml:space="preserve">: </w:t>
      </w:r>
    </w:p>
    <w:p w:rsidR="00DF0B96" w:rsidRDefault="00DF0B96" w:rsidP="00DF0B96">
      <w:pPr>
        <w:pStyle w:val="Heading10"/>
      </w:pPr>
      <w:bookmarkStart w:id="0" w:name="_Toc248027921"/>
      <w:bookmarkStart w:id="1" w:name="_Toc248028055"/>
      <w:bookmarkStart w:id="2" w:name="_Toc248548328"/>
      <w:bookmarkStart w:id="3" w:name="_Toc457571338"/>
      <w:r w:rsidRPr="00FB0DA2">
        <w:t>ARTICLE 1</w:t>
      </w:r>
      <w:bookmarkEnd w:id="0"/>
      <w:bookmarkEnd w:id="1"/>
      <w:bookmarkEnd w:id="2"/>
      <w:bookmarkEnd w:id="3"/>
    </w:p>
    <w:p w:rsidR="00DF0B96" w:rsidRPr="00FB0DA2" w:rsidRDefault="00DF0B96" w:rsidP="00DF0B96">
      <w:pPr>
        <w:pStyle w:val="ParagraphText"/>
      </w:pPr>
      <w:r w:rsidRPr="00FB0DA2">
        <w:t>The Framework Agreement shall be amended by adding a new “Article IV bis” immediately after the existing Article IV to read as follows:</w:t>
      </w:r>
    </w:p>
    <w:p w:rsidR="00DF0B96" w:rsidRPr="00FB0DA2" w:rsidRDefault="00DF0B96" w:rsidP="00DF0B96">
      <w:pPr>
        <w:pStyle w:val="ParagraphText"/>
      </w:pPr>
      <w:r w:rsidRPr="00FB0DA2">
        <w:t xml:space="preserve">“1. Notwithstanding the provisions of Article IV of this Framework Agreement, two or more Member States may conduct negotiations and agree to liberalize trade in services for specific sectors or sub-sectors (hereinafter referred to as “the participating Member States”). Any extension of such preferential treatment to the remaining Member States on an MFN basis shall be voluntary on the part of the participating Member States. </w:t>
      </w:r>
    </w:p>
    <w:p w:rsidR="00DF0B96" w:rsidRPr="00FB0DA2" w:rsidRDefault="00DF0B96" w:rsidP="00DF0B96">
      <w:pPr>
        <w:pStyle w:val="ParagraphText"/>
      </w:pPr>
      <w:r w:rsidRPr="00FB0DA2">
        <w:lastRenderedPageBreak/>
        <w:t>2. The participating Member States shall keep the remaining Member States informed through the ASEAN Secretariat of the progress or result of the negotiations, including the scheduling of commitments for the specific sectors or sub-sectors concerned. Member States wishing to join any on-going negotiations among the participating Member States may do so in consultation with the participating Member States.</w:t>
      </w:r>
    </w:p>
    <w:p w:rsidR="00DF0B96" w:rsidRPr="00FB0DA2" w:rsidRDefault="00DF0B96" w:rsidP="00DF0B96">
      <w:pPr>
        <w:pStyle w:val="ParagraphText"/>
      </w:pPr>
      <w:r w:rsidRPr="00FB0DA2">
        <w:t>3. Any Member State which is not a party to any agreement reached pursuant to paragraph 1 may in due course become a party to such an agreement upon making offers at similar or acceptable levels to the participating Member States.</w:t>
      </w:r>
    </w:p>
    <w:p w:rsidR="00DF0B96" w:rsidRPr="00FB0DA2" w:rsidRDefault="00DF0B96" w:rsidP="00DF0B96">
      <w:pPr>
        <w:pStyle w:val="ParagraphText"/>
      </w:pPr>
      <w:r w:rsidRPr="00FB0DA2">
        <w:t xml:space="preserve">4. The participating Member States can further refine the parameters for specific sectors or sub-sectors to be committed as may be mutually agreed by all participating Member States for the purpose of further liberalization of trade in services. </w:t>
      </w:r>
    </w:p>
    <w:p w:rsidR="00DF0B96" w:rsidRPr="00FB0DA2" w:rsidRDefault="00DF0B96" w:rsidP="00DF0B96">
      <w:pPr>
        <w:pStyle w:val="ParagraphText"/>
      </w:pPr>
      <w:r w:rsidRPr="00FB0DA2">
        <w:t>5. All agreements reached pursuant to paragraph 1 shall be deposited with the Secretary-General of ASEAN who shall promptly furnish a certified copy thereof to each Member State.”</w:t>
      </w:r>
    </w:p>
    <w:p w:rsidR="00DF0B96" w:rsidRPr="00FB0DA2" w:rsidRDefault="00DF0B96" w:rsidP="00DF0B96">
      <w:pPr>
        <w:pStyle w:val="Heading10"/>
      </w:pPr>
      <w:bookmarkStart w:id="4" w:name="_Toc248027922"/>
      <w:bookmarkStart w:id="5" w:name="_Toc248028056"/>
      <w:bookmarkStart w:id="6" w:name="_Toc248548329"/>
      <w:bookmarkStart w:id="7" w:name="_Toc457571339"/>
      <w:r w:rsidRPr="00FB0DA2">
        <w:t>ARTICLE 2</w:t>
      </w:r>
      <w:bookmarkEnd w:id="4"/>
      <w:bookmarkEnd w:id="5"/>
      <w:bookmarkEnd w:id="6"/>
      <w:bookmarkEnd w:id="7"/>
    </w:p>
    <w:p w:rsidR="00DF0B96" w:rsidRPr="00FB0DA2" w:rsidRDefault="00DF0B96" w:rsidP="00DF0B96">
      <w:pPr>
        <w:pStyle w:val="ParagraphText"/>
      </w:pPr>
      <w:r w:rsidRPr="00FB0DA2">
        <w:t>1. This Protocol shall enter into force on 31 December 2004.</w:t>
      </w:r>
    </w:p>
    <w:p w:rsidR="00A4171E" w:rsidRDefault="00DF0B96" w:rsidP="006459EE">
      <w:pPr>
        <w:pStyle w:val="ParagraphText"/>
      </w:pPr>
      <w:r w:rsidRPr="00FB0DA2">
        <w:t xml:space="preserve">2. This Protocol shall be deposited with the Secretary-General of ASEAN who shall promptly furnish a certified copy thereof to each Member State. </w:t>
      </w:r>
    </w:p>
    <w:p w:rsidR="003270CA" w:rsidRDefault="003270CA" w:rsidP="006459EE">
      <w:pPr>
        <w:pStyle w:val="ParagraphText"/>
      </w:pPr>
    </w:p>
    <w:p w:rsidR="00DF0B96" w:rsidRPr="00FB0DA2" w:rsidRDefault="00DF0B96" w:rsidP="00DF0B96">
      <w:pPr>
        <w:pStyle w:val="ParagraphText"/>
      </w:pPr>
      <w:r w:rsidRPr="00FB0DA2">
        <w:rPr>
          <w:b/>
        </w:rPr>
        <w:t>IN WITNESS WHEREOF</w:t>
      </w:r>
      <w:r w:rsidRPr="00FB0DA2">
        <w:t>, the undersigned, being duly authorised thereto by their respective Governments, have signed the Protocol to Amend the ASEAN Framework Agreement on Services.</w:t>
      </w:r>
    </w:p>
    <w:p w:rsidR="00DF0B96" w:rsidRPr="00FB0DA2" w:rsidRDefault="00DF0B96" w:rsidP="00DF0B96">
      <w:pPr>
        <w:pStyle w:val="ParagraphText"/>
      </w:pPr>
      <w:r w:rsidRPr="00FB0DA2">
        <w:rPr>
          <w:b/>
        </w:rPr>
        <w:t xml:space="preserve">DONE </w:t>
      </w:r>
      <w:r w:rsidRPr="00FB0DA2">
        <w:t>at Phnom Penh, Cambodia, on this 2nd day of September in the Year Two Thousand and Three, in a single copy in the English language.</w:t>
      </w:r>
    </w:p>
    <w:p w:rsidR="00DF0B96" w:rsidRPr="00FB0DA2" w:rsidRDefault="00DF0B96" w:rsidP="00DF0B96">
      <w:pPr>
        <w:pStyle w:val="ParagraphText"/>
      </w:pPr>
      <w:r w:rsidRPr="00FB0DA2">
        <w:t>For the Government of Brunei Darussalam</w:t>
      </w:r>
      <w:r>
        <w:t xml:space="preserve">: </w:t>
      </w:r>
      <w:r w:rsidRPr="00FB0DA2">
        <w:rPr>
          <w:b/>
        </w:rPr>
        <w:t>ABDUL RAHMAN TAIB</w:t>
      </w:r>
      <w:r>
        <w:t xml:space="preserve">, </w:t>
      </w:r>
      <w:r w:rsidRPr="00FB0DA2">
        <w:t>Minister of Industry and Primary Resources</w:t>
      </w:r>
    </w:p>
    <w:p w:rsidR="00DF0B96" w:rsidRDefault="00DF0B96" w:rsidP="00DF0B96">
      <w:pPr>
        <w:pStyle w:val="ParagraphText"/>
      </w:pPr>
      <w:r w:rsidRPr="00FB0DA2">
        <w:t>For the Government of the Kingdom of Cambodia</w:t>
      </w:r>
      <w:r>
        <w:t xml:space="preserve">: </w:t>
      </w:r>
      <w:r w:rsidRPr="00FB0DA2">
        <w:rPr>
          <w:b/>
        </w:rPr>
        <w:t>CHAM PRASIDH</w:t>
      </w:r>
      <w:r>
        <w:t xml:space="preserve">, </w:t>
      </w:r>
      <w:r w:rsidRPr="00FB0DA2">
        <w:t>Minister of Commerce</w:t>
      </w:r>
    </w:p>
    <w:p w:rsidR="00DF0B96" w:rsidRPr="00FB0DA2" w:rsidRDefault="00DF0B96" w:rsidP="00DF0B96">
      <w:pPr>
        <w:pStyle w:val="ParagraphText"/>
      </w:pPr>
      <w:r w:rsidRPr="00FB0DA2">
        <w:t>For the Government of the Republic of Indonesia</w:t>
      </w:r>
      <w:r>
        <w:t xml:space="preserve">: </w:t>
      </w:r>
      <w:r w:rsidRPr="00FB0DA2">
        <w:rPr>
          <w:b/>
        </w:rPr>
        <w:t>RINI M. S. SOEWANDI</w:t>
      </w:r>
      <w:r>
        <w:t xml:space="preserve">, </w:t>
      </w:r>
      <w:r w:rsidRPr="00FB0DA2">
        <w:t xml:space="preserve">Minister of Industry and Trade </w:t>
      </w:r>
    </w:p>
    <w:p w:rsidR="00DF0B96" w:rsidRPr="00FB0DA2" w:rsidRDefault="00DF0B96" w:rsidP="00DF0B96">
      <w:pPr>
        <w:pStyle w:val="ParagraphText"/>
      </w:pPr>
      <w:r w:rsidRPr="00FB0DA2">
        <w:t>For the Government of the Lao People’s Democratic Republic</w:t>
      </w:r>
      <w:r>
        <w:t xml:space="preserve">: </w:t>
      </w:r>
      <w:r w:rsidRPr="00FB0DA2">
        <w:rPr>
          <w:b/>
        </w:rPr>
        <w:t>SOULIVONG DARAVONG</w:t>
      </w:r>
      <w:r>
        <w:t xml:space="preserve">, </w:t>
      </w:r>
      <w:r w:rsidRPr="00FB0DA2">
        <w:t>Minister of Commerce</w:t>
      </w:r>
    </w:p>
    <w:p w:rsidR="00DF0B96" w:rsidRPr="00FB0DA2" w:rsidRDefault="00DF0B96" w:rsidP="00DF0B96">
      <w:pPr>
        <w:pStyle w:val="ParagraphText"/>
      </w:pPr>
      <w:r w:rsidRPr="00FB0DA2">
        <w:t>For the Government of Malaysia</w:t>
      </w:r>
      <w:r>
        <w:t xml:space="preserve">: </w:t>
      </w:r>
      <w:r w:rsidRPr="00FB0DA2">
        <w:rPr>
          <w:b/>
        </w:rPr>
        <w:t>RAFIDAH AZIZ</w:t>
      </w:r>
      <w:r>
        <w:t xml:space="preserve">, </w:t>
      </w:r>
      <w:r w:rsidRPr="00FB0DA2">
        <w:t>Minister of International Trade and Industry</w:t>
      </w:r>
    </w:p>
    <w:p w:rsidR="00DF0B96" w:rsidRPr="00FB0DA2" w:rsidRDefault="00DF0B96" w:rsidP="00DF0B96">
      <w:pPr>
        <w:pStyle w:val="ParagraphText"/>
      </w:pPr>
      <w:r w:rsidRPr="00FB0DA2">
        <w:t>For the Government of the Union of Myanmar</w:t>
      </w:r>
      <w:r>
        <w:t xml:space="preserve">: </w:t>
      </w:r>
      <w:r w:rsidRPr="00FB0DA2">
        <w:rPr>
          <w:b/>
        </w:rPr>
        <w:t>U KHIN MAUNG WIN</w:t>
      </w:r>
      <w:r>
        <w:t xml:space="preserve">, </w:t>
      </w:r>
      <w:r w:rsidRPr="00FB0DA2">
        <w:t>Deputy Minister of Foreign Affairs</w:t>
      </w:r>
    </w:p>
    <w:p w:rsidR="00DF0B96" w:rsidRPr="00FB0DA2" w:rsidRDefault="00DF0B96" w:rsidP="00DF0B96">
      <w:pPr>
        <w:pStyle w:val="ParagraphText"/>
      </w:pPr>
      <w:r w:rsidRPr="00FB0DA2">
        <w:t>For the Government of the Republic of the Philippines</w:t>
      </w:r>
      <w:r>
        <w:t xml:space="preserve">: </w:t>
      </w:r>
      <w:r w:rsidRPr="00FB0DA2">
        <w:rPr>
          <w:b/>
        </w:rPr>
        <w:t>MAR ROXAS</w:t>
      </w:r>
      <w:r>
        <w:t xml:space="preserve">, </w:t>
      </w:r>
      <w:r w:rsidRPr="00FB0DA2">
        <w:t>Secretary of Trade and Industry</w:t>
      </w:r>
    </w:p>
    <w:p w:rsidR="00DF0B96" w:rsidRPr="00FB0DA2" w:rsidRDefault="00DF0B96" w:rsidP="00DF0B96">
      <w:pPr>
        <w:pStyle w:val="ParagraphText"/>
      </w:pPr>
      <w:r w:rsidRPr="00FB0DA2">
        <w:t>For the Government of the Republic of Singapore</w:t>
      </w:r>
      <w:r>
        <w:t xml:space="preserve">: </w:t>
      </w:r>
      <w:r w:rsidRPr="00FB0DA2">
        <w:rPr>
          <w:b/>
        </w:rPr>
        <w:t>B.G. (NS) GEORGE YONG-BOON YEO</w:t>
      </w:r>
      <w:r>
        <w:t xml:space="preserve">, </w:t>
      </w:r>
      <w:r w:rsidRPr="00FB0DA2">
        <w:t>Minister for Trade and Industry</w:t>
      </w:r>
    </w:p>
    <w:p w:rsidR="00DF0B96" w:rsidRDefault="00DF0B96" w:rsidP="00DF0B96">
      <w:pPr>
        <w:pStyle w:val="ParagraphText"/>
      </w:pPr>
      <w:r w:rsidRPr="00FB0DA2">
        <w:lastRenderedPageBreak/>
        <w:t>For the Government of the Kingdom of Thailand</w:t>
      </w:r>
      <w:r>
        <w:t xml:space="preserve">: </w:t>
      </w:r>
      <w:r w:rsidRPr="00FB0DA2">
        <w:rPr>
          <w:b/>
        </w:rPr>
        <w:t>ADISAI BODHARAMIK</w:t>
      </w:r>
      <w:r>
        <w:t xml:space="preserve">, </w:t>
      </w:r>
      <w:r w:rsidRPr="00FB0DA2">
        <w:t>Minister of Commerce</w:t>
      </w:r>
    </w:p>
    <w:p w:rsidR="00DF0B96" w:rsidRDefault="00DF0B96" w:rsidP="00DF0B96">
      <w:pPr>
        <w:pStyle w:val="ParagraphText"/>
      </w:pPr>
      <w:r w:rsidRPr="00FB0DA2">
        <w:t>For the Government of the Socialist Republic of Vietnam</w:t>
      </w:r>
      <w:r>
        <w:t xml:space="preserve">: </w:t>
      </w:r>
      <w:r w:rsidRPr="00FB0DA2">
        <w:rPr>
          <w:b/>
        </w:rPr>
        <w:t>TRUONG DINH TUYEN</w:t>
      </w:r>
      <w:r>
        <w:t xml:space="preserve">, </w:t>
      </w:r>
      <w:r w:rsidRPr="00FB0DA2">
        <w:t>Minister of Trade</w:t>
      </w:r>
    </w:p>
    <w:p w:rsidR="00A4171E" w:rsidRDefault="00A4171E" w:rsidP="00DF0B96">
      <w:pPr>
        <w:pStyle w:val="ParagraphText"/>
      </w:pPr>
      <w:r>
        <w:rPr>
          <w:noProof/>
          <w:lang w:val="en-SG" w:eastAsia="en-SG"/>
        </w:rPr>
        <w:lastRenderedPageBreak/>
        <w:drawing>
          <wp:inline distT="0" distB="0" distL="0" distR="0" wp14:anchorId="52C973EB" wp14:editId="1570DA3C">
            <wp:extent cx="5089532" cy="737783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9532" cy="7377830"/>
                    </a:xfrm>
                    <a:prstGeom prst="rect">
                      <a:avLst/>
                    </a:prstGeom>
                    <a:noFill/>
                    <a:ln>
                      <a:noFill/>
                    </a:ln>
                  </pic:spPr>
                </pic:pic>
              </a:graphicData>
            </a:graphic>
          </wp:inline>
        </w:drawing>
      </w:r>
      <w:r>
        <w:rPr>
          <w:noProof/>
          <w:lang w:val="en-SG" w:eastAsia="en-SG"/>
        </w:rPr>
        <w:lastRenderedPageBreak/>
        <w:drawing>
          <wp:inline distT="0" distB="0" distL="0" distR="0">
            <wp:extent cx="4210685" cy="7442835"/>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0685" cy="7442835"/>
                    </a:xfrm>
                    <a:prstGeom prst="rect">
                      <a:avLst/>
                    </a:prstGeom>
                    <a:noFill/>
                    <a:ln>
                      <a:noFill/>
                    </a:ln>
                  </pic:spPr>
                </pic:pic>
              </a:graphicData>
            </a:graphic>
          </wp:inline>
        </w:drawing>
      </w:r>
    </w:p>
    <w:p w:rsidR="00A4171E" w:rsidRPr="00FB0DA2" w:rsidRDefault="00A4171E" w:rsidP="00DF0B96">
      <w:pPr>
        <w:pStyle w:val="ParagraphText"/>
      </w:pPr>
      <w:r>
        <w:rPr>
          <w:noProof/>
          <w:lang w:val="en-SG" w:eastAsia="en-SG"/>
        </w:rPr>
        <w:lastRenderedPageBreak/>
        <w:drawing>
          <wp:inline distT="0" distB="0" distL="0" distR="0">
            <wp:extent cx="5114925" cy="75819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4925" cy="7581900"/>
                    </a:xfrm>
                    <a:prstGeom prst="rect">
                      <a:avLst/>
                    </a:prstGeom>
                    <a:noFill/>
                    <a:ln>
                      <a:noFill/>
                    </a:ln>
                  </pic:spPr>
                </pic:pic>
              </a:graphicData>
            </a:graphic>
          </wp:inline>
        </w:drawing>
      </w:r>
    </w:p>
    <w:p w:rsidR="00DF0B96" w:rsidRPr="00645A0B" w:rsidRDefault="00DF0B96" w:rsidP="00A4171E">
      <w:pPr>
        <w:pStyle w:val="Heading10"/>
      </w:pPr>
      <w:r>
        <w:br w:type="page"/>
      </w:r>
      <w:bookmarkStart w:id="8" w:name="_Toc248027923"/>
      <w:bookmarkStart w:id="9" w:name="_Toc248028057"/>
      <w:bookmarkStart w:id="10" w:name="_Toc248548330"/>
      <w:bookmarkStart w:id="11" w:name="_Toc457571340"/>
      <w:r w:rsidRPr="00645A0B">
        <w:lastRenderedPageBreak/>
        <w:t>INTERPRETATIVE NOTES</w:t>
      </w:r>
      <w:r w:rsidRPr="00645A0B">
        <w:br/>
        <w:t xml:space="preserve">TO THE PROTOCOL TO AMEND </w:t>
      </w:r>
      <w:r w:rsidRPr="00645A0B">
        <w:br/>
        <w:t>THE ASEAN FRAMEWORK AGREEMENT ON SERVICES</w:t>
      </w:r>
      <w:bookmarkEnd w:id="8"/>
      <w:bookmarkEnd w:id="9"/>
      <w:bookmarkEnd w:id="10"/>
      <w:bookmarkEnd w:id="11"/>
    </w:p>
    <w:p w:rsidR="00DF0B96" w:rsidRPr="00645A0B" w:rsidRDefault="00DF0B96" w:rsidP="00A4171E">
      <w:pPr>
        <w:pStyle w:val="Heading10"/>
      </w:pPr>
    </w:p>
    <w:tbl>
      <w:tblPr>
        <w:tblW w:w="6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6"/>
        <w:gridCol w:w="3494"/>
      </w:tblGrid>
      <w:tr w:rsidR="00DF0B96" w:rsidRPr="00FB0DA2" w:rsidTr="00707BC0">
        <w:trPr>
          <w:trHeight w:val="413"/>
          <w:tblHeader/>
          <w:jc w:val="center"/>
        </w:trPr>
        <w:tc>
          <w:tcPr>
            <w:tcW w:w="4528" w:type="dxa"/>
            <w:tcBorders>
              <w:top w:val="single" w:sz="4" w:space="0" w:color="auto"/>
              <w:left w:val="single" w:sz="4" w:space="0" w:color="auto"/>
              <w:bottom w:val="single" w:sz="4" w:space="0" w:color="auto"/>
              <w:right w:val="single" w:sz="4" w:space="0" w:color="auto"/>
            </w:tcBorders>
            <w:shd w:val="pct20" w:color="auto" w:fill="auto"/>
            <w:vAlign w:val="center"/>
          </w:tcPr>
          <w:p w:rsidR="00DF0B96" w:rsidRPr="00645A0B" w:rsidRDefault="00DF0B96" w:rsidP="00707BC0">
            <w:pPr>
              <w:rPr>
                <w:rFonts w:ascii="Arial" w:hAnsi="Arial" w:cs="Arial"/>
                <w:b/>
              </w:rPr>
            </w:pPr>
            <w:bookmarkStart w:id="12" w:name="_Toc248027924"/>
            <w:bookmarkStart w:id="13" w:name="_Toc248028058"/>
            <w:r w:rsidRPr="00645A0B">
              <w:rPr>
                <w:rFonts w:ascii="Arial" w:hAnsi="Arial" w:cs="Arial"/>
                <w:b/>
              </w:rPr>
              <w:t>Protocol</w:t>
            </w:r>
            <w:bookmarkEnd w:id="12"/>
            <w:bookmarkEnd w:id="13"/>
          </w:p>
        </w:tc>
        <w:tc>
          <w:tcPr>
            <w:tcW w:w="4712" w:type="dxa"/>
            <w:tcBorders>
              <w:top w:val="single" w:sz="4" w:space="0" w:color="auto"/>
              <w:left w:val="single" w:sz="4" w:space="0" w:color="auto"/>
              <w:bottom w:val="single" w:sz="4" w:space="0" w:color="auto"/>
              <w:right w:val="single" w:sz="4" w:space="0" w:color="auto"/>
            </w:tcBorders>
            <w:shd w:val="pct20" w:color="auto" w:fill="auto"/>
            <w:vAlign w:val="center"/>
          </w:tcPr>
          <w:p w:rsidR="00DF0B96" w:rsidRPr="00645A0B" w:rsidRDefault="00DF0B96" w:rsidP="00707BC0">
            <w:pPr>
              <w:rPr>
                <w:rFonts w:ascii="Arial" w:hAnsi="Arial" w:cs="Arial"/>
                <w:b/>
              </w:rPr>
            </w:pPr>
            <w:bookmarkStart w:id="14" w:name="_Toc248027925"/>
            <w:bookmarkStart w:id="15" w:name="_Toc248028059"/>
            <w:r w:rsidRPr="00645A0B">
              <w:rPr>
                <w:rFonts w:ascii="Arial" w:hAnsi="Arial" w:cs="Arial"/>
                <w:b/>
              </w:rPr>
              <w:t>Interpretative Notes</w:t>
            </w:r>
            <w:bookmarkEnd w:id="14"/>
            <w:bookmarkEnd w:id="15"/>
          </w:p>
        </w:tc>
      </w:tr>
      <w:tr w:rsidR="00DF0B96" w:rsidRPr="00FB0DA2" w:rsidTr="00707BC0">
        <w:trPr>
          <w:jc w:val="center"/>
        </w:trPr>
        <w:tc>
          <w:tcPr>
            <w:tcW w:w="4528" w:type="dxa"/>
            <w:tcBorders>
              <w:top w:val="single" w:sz="4" w:space="0" w:color="auto"/>
              <w:left w:val="single" w:sz="4" w:space="0" w:color="auto"/>
              <w:bottom w:val="single" w:sz="4" w:space="0" w:color="auto"/>
              <w:right w:val="single" w:sz="4" w:space="0" w:color="auto"/>
            </w:tcBorders>
            <w:shd w:val="clear" w:color="auto" w:fill="auto"/>
          </w:tcPr>
          <w:p w:rsidR="00DF0B96" w:rsidRPr="00FB0DA2" w:rsidRDefault="00DF0B96" w:rsidP="00707BC0">
            <w:pPr>
              <w:jc w:val="both"/>
              <w:rPr>
                <w:rFonts w:ascii="Arial" w:hAnsi="Arial" w:cs="Arial"/>
                <w:color w:val="000000"/>
              </w:rPr>
            </w:pPr>
          </w:p>
          <w:p w:rsidR="00DF0B96" w:rsidRPr="00645A0B" w:rsidRDefault="00DF0B96" w:rsidP="00707BC0">
            <w:pPr>
              <w:rPr>
                <w:rFonts w:ascii="Arial" w:hAnsi="Arial" w:cs="Arial"/>
                <w:b/>
                <w:u w:val="single"/>
              </w:rPr>
            </w:pPr>
            <w:bookmarkStart w:id="16" w:name="_Toc248027926"/>
            <w:r w:rsidRPr="00645A0B">
              <w:rPr>
                <w:rFonts w:ascii="Arial" w:hAnsi="Arial" w:cs="Arial"/>
                <w:b/>
                <w:u w:val="single"/>
              </w:rPr>
              <w:t>Article 1, paragraph 1</w:t>
            </w:r>
            <w:bookmarkEnd w:id="16"/>
          </w:p>
          <w:p w:rsidR="00DF0B96" w:rsidRPr="00FB0DA2" w:rsidRDefault="00DF0B96" w:rsidP="00707BC0">
            <w:pPr>
              <w:jc w:val="both"/>
              <w:rPr>
                <w:rFonts w:ascii="Arial" w:hAnsi="Arial" w:cs="Arial"/>
                <w:color w:val="000000"/>
              </w:rPr>
            </w:pPr>
          </w:p>
          <w:p w:rsidR="00DF0B96" w:rsidRPr="00FB0DA2" w:rsidRDefault="00DF0B96" w:rsidP="00707BC0">
            <w:pPr>
              <w:jc w:val="both"/>
              <w:rPr>
                <w:rFonts w:ascii="Arial" w:hAnsi="Arial" w:cs="Arial"/>
                <w:color w:val="000000"/>
              </w:rPr>
            </w:pPr>
            <w:r w:rsidRPr="00FB0DA2">
              <w:rPr>
                <w:rFonts w:ascii="Arial" w:hAnsi="Arial" w:cs="Arial"/>
                <w:color w:val="000000"/>
              </w:rPr>
              <w:t>Notwithstanding the provisions of Article IV of this Framework Agreement, two or more Member States may conduct negotiations and agree to liberalize trade in services for specific sectors or sub-sectors (hereinafter referred to as “the participating Member States”). Any extension of such preferential treatment to the remaining Member States on an MFN basis shall be voluntary on the part of the participating Member States.</w:t>
            </w:r>
          </w:p>
          <w:p w:rsidR="00DF0B96" w:rsidRPr="00FB0DA2" w:rsidRDefault="00DF0B96" w:rsidP="00707BC0">
            <w:pPr>
              <w:jc w:val="both"/>
              <w:rPr>
                <w:rFonts w:ascii="Arial" w:hAnsi="Arial" w:cs="Arial"/>
                <w:color w:val="000000"/>
              </w:rPr>
            </w:pP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DF0B96" w:rsidRPr="00FB0DA2" w:rsidRDefault="00DF0B96" w:rsidP="00707BC0">
            <w:pPr>
              <w:jc w:val="both"/>
              <w:rPr>
                <w:rFonts w:ascii="Arial" w:hAnsi="Arial" w:cs="Arial"/>
                <w:color w:val="000000"/>
              </w:rPr>
            </w:pPr>
          </w:p>
          <w:p w:rsidR="00DF0B96" w:rsidRPr="00FB0DA2" w:rsidRDefault="00DF0B96" w:rsidP="00707BC0">
            <w:pPr>
              <w:jc w:val="both"/>
              <w:rPr>
                <w:rFonts w:ascii="Arial" w:hAnsi="Arial" w:cs="Arial"/>
                <w:color w:val="000000"/>
              </w:rPr>
            </w:pPr>
          </w:p>
          <w:p w:rsidR="00DF0B96" w:rsidRPr="00FB0DA2" w:rsidRDefault="00DF0B96" w:rsidP="00707BC0">
            <w:pPr>
              <w:jc w:val="both"/>
              <w:rPr>
                <w:rFonts w:ascii="Arial" w:hAnsi="Arial" w:cs="Arial"/>
                <w:color w:val="000000"/>
              </w:rPr>
            </w:pPr>
          </w:p>
          <w:p w:rsidR="00DF0B96" w:rsidRPr="00FB0DA2" w:rsidRDefault="00DF0B96" w:rsidP="00707BC0">
            <w:pPr>
              <w:jc w:val="both"/>
              <w:rPr>
                <w:rFonts w:ascii="Arial" w:hAnsi="Arial" w:cs="Arial"/>
                <w:color w:val="000000"/>
              </w:rPr>
            </w:pPr>
            <w:r w:rsidRPr="00FB0DA2">
              <w:rPr>
                <w:rFonts w:ascii="Arial" w:hAnsi="Arial" w:cs="Arial"/>
                <w:color w:val="000000"/>
              </w:rPr>
              <w:t>This approach shall be used to expand and deepen liberalization of service sectors or sub-sectors, including sectors or sub-sectors agreed under the common sub-sector approach.</w:t>
            </w:r>
          </w:p>
          <w:p w:rsidR="00DF0B96" w:rsidRPr="00FB0DA2" w:rsidRDefault="00DF0B96" w:rsidP="00707BC0">
            <w:pPr>
              <w:jc w:val="both"/>
              <w:rPr>
                <w:rFonts w:ascii="Arial" w:hAnsi="Arial" w:cs="Arial"/>
                <w:color w:val="000000"/>
              </w:rPr>
            </w:pPr>
          </w:p>
          <w:p w:rsidR="00DF0B96" w:rsidRPr="00FB0DA2" w:rsidRDefault="00DF0B96" w:rsidP="00707BC0">
            <w:pPr>
              <w:jc w:val="both"/>
              <w:rPr>
                <w:rFonts w:ascii="Arial" w:hAnsi="Arial" w:cs="Arial"/>
                <w:color w:val="000000"/>
              </w:rPr>
            </w:pPr>
            <w:r w:rsidRPr="00FB0DA2">
              <w:rPr>
                <w:rFonts w:ascii="Arial" w:hAnsi="Arial" w:cs="Arial"/>
                <w:color w:val="000000"/>
              </w:rPr>
              <w:t xml:space="preserve">Any preferential treatment extended to the remaining Member States on a voluntary basis shall be unconditional, non-discriminatory and without the need for reciprocity.  </w:t>
            </w:r>
          </w:p>
          <w:p w:rsidR="00DF0B96" w:rsidRPr="00FB0DA2" w:rsidRDefault="00DF0B96" w:rsidP="00707BC0">
            <w:pPr>
              <w:jc w:val="both"/>
              <w:rPr>
                <w:rFonts w:ascii="Arial" w:hAnsi="Arial" w:cs="Arial"/>
                <w:color w:val="000000"/>
              </w:rPr>
            </w:pPr>
          </w:p>
        </w:tc>
      </w:tr>
      <w:tr w:rsidR="00DF0B96" w:rsidRPr="00FB0DA2" w:rsidTr="00707BC0">
        <w:trPr>
          <w:jc w:val="center"/>
        </w:trPr>
        <w:tc>
          <w:tcPr>
            <w:tcW w:w="4528" w:type="dxa"/>
            <w:tcBorders>
              <w:top w:val="single" w:sz="4" w:space="0" w:color="auto"/>
              <w:left w:val="single" w:sz="4" w:space="0" w:color="auto"/>
              <w:bottom w:val="single" w:sz="4" w:space="0" w:color="auto"/>
              <w:right w:val="single" w:sz="4" w:space="0" w:color="auto"/>
            </w:tcBorders>
            <w:shd w:val="clear" w:color="auto" w:fill="auto"/>
          </w:tcPr>
          <w:p w:rsidR="00DF0B96" w:rsidRPr="00FB0DA2" w:rsidRDefault="00DF0B96" w:rsidP="00707BC0">
            <w:pPr>
              <w:jc w:val="both"/>
              <w:rPr>
                <w:rFonts w:ascii="Arial" w:hAnsi="Arial" w:cs="Arial"/>
                <w:color w:val="000000"/>
              </w:rPr>
            </w:pPr>
          </w:p>
          <w:p w:rsidR="00DF0B96" w:rsidRPr="00645A0B" w:rsidRDefault="00DF0B96" w:rsidP="00707BC0">
            <w:pPr>
              <w:rPr>
                <w:rFonts w:ascii="Arial" w:hAnsi="Arial" w:cs="Arial"/>
                <w:b/>
                <w:u w:val="single"/>
              </w:rPr>
            </w:pPr>
            <w:bookmarkStart w:id="17" w:name="_Toc248027927"/>
            <w:r w:rsidRPr="00645A0B">
              <w:rPr>
                <w:rFonts w:ascii="Arial" w:hAnsi="Arial" w:cs="Arial"/>
                <w:b/>
                <w:u w:val="single"/>
              </w:rPr>
              <w:t>Article 1, paragraph 2</w:t>
            </w:r>
            <w:bookmarkEnd w:id="17"/>
          </w:p>
          <w:p w:rsidR="00DF0B96" w:rsidRPr="00FB0DA2" w:rsidRDefault="00DF0B96" w:rsidP="00707BC0">
            <w:pPr>
              <w:jc w:val="both"/>
              <w:rPr>
                <w:rFonts w:ascii="Arial" w:hAnsi="Arial" w:cs="Arial"/>
                <w:color w:val="000000"/>
              </w:rPr>
            </w:pPr>
          </w:p>
          <w:p w:rsidR="00DF0B96" w:rsidRPr="00FB0DA2" w:rsidRDefault="00DF0B96" w:rsidP="00707BC0">
            <w:pPr>
              <w:jc w:val="both"/>
              <w:rPr>
                <w:rFonts w:ascii="Arial" w:hAnsi="Arial" w:cs="Arial"/>
                <w:color w:val="000000"/>
              </w:rPr>
            </w:pPr>
            <w:r w:rsidRPr="00FB0DA2">
              <w:rPr>
                <w:rFonts w:ascii="Arial" w:hAnsi="Arial" w:cs="Arial"/>
                <w:color w:val="000000"/>
              </w:rPr>
              <w:t xml:space="preserve">The participating Member States shall keep the remaining Member States informed through the ASEAN Secretariat of the progress or result of the negotiations, including the scheduling of commitments for the specific sectors or sub-sectors concerned. Member States wishing to join any on-going negotiations among the </w:t>
            </w:r>
            <w:r w:rsidRPr="00FB0DA2">
              <w:rPr>
                <w:rFonts w:ascii="Arial" w:hAnsi="Arial" w:cs="Arial"/>
                <w:color w:val="000000"/>
              </w:rPr>
              <w:lastRenderedPageBreak/>
              <w:t>participating Member States may do so in consultation with the participating Member States.</w:t>
            </w:r>
          </w:p>
          <w:p w:rsidR="00DF0B96" w:rsidRPr="00FB0DA2" w:rsidRDefault="00DF0B96" w:rsidP="00707BC0">
            <w:pPr>
              <w:jc w:val="both"/>
              <w:rPr>
                <w:rFonts w:ascii="Arial" w:hAnsi="Arial" w:cs="Arial"/>
                <w:color w:val="000000"/>
              </w:rPr>
            </w:pP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DF0B96" w:rsidRPr="00FB0DA2" w:rsidRDefault="00DF0B96" w:rsidP="00707BC0">
            <w:pPr>
              <w:jc w:val="both"/>
              <w:rPr>
                <w:rFonts w:ascii="Arial" w:hAnsi="Arial" w:cs="Arial"/>
                <w:color w:val="000000"/>
              </w:rPr>
            </w:pPr>
          </w:p>
          <w:p w:rsidR="00DF0B96" w:rsidRPr="00FB0DA2" w:rsidRDefault="00DF0B96" w:rsidP="00707BC0">
            <w:pPr>
              <w:jc w:val="both"/>
              <w:rPr>
                <w:rFonts w:ascii="Arial" w:hAnsi="Arial" w:cs="Arial"/>
                <w:color w:val="000000"/>
              </w:rPr>
            </w:pPr>
          </w:p>
          <w:p w:rsidR="00DF0B96" w:rsidRPr="00FB0DA2" w:rsidRDefault="00DF0B96" w:rsidP="00707BC0">
            <w:pPr>
              <w:jc w:val="both"/>
              <w:rPr>
                <w:rFonts w:ascii="Arial" w:hAnsi="Arial" w:cs="Arial"/>
                <w:color w:val="000000"/>
              </w:rPr>
            </w:pPr>
          </w:p>
          <w:p w:rsidR="00DF0B96" w:rsidRPr="00FB0DA2" w:rsidRDefault="00DF0B96" w:rsidP="00707BC0">
            <w:pPr>
              <w:jc w:val="both"/>
              <w:rPr>
                <w:rFonts w:ascii="Arial" w:hAnsi="Arial" w:cs="Arial"/>
                <w:color w:val="000000"/>
              </w:rPr>
            </w:pPr>
            <w:r w:rsidRPr="00FB0DA2">
              <w:rPr>
                <w:rFonts w:ascii="Arial" w:hAnsi="Arial" w:cs="Arial"/>
                <w:color w:val="000000"/>
              </w:rPr>
              <w:t>Consultation with the participating Member States shall be undertaken with a view to facilitate and encourage the participation of the remaining Member States.</w:t>
            </w:r>
          </w:p>
          <w:p w:rsidR="00DF0B96" w:rsidRPr="00FB0DA2" w:rsidRDefault="00DF0B96" w:rsidP="00707BC0">
            <w:pPr>
              <w:jc w:val="both"/>
              <w:rPr>
                <w:rFonts w:ascii="Arial" w:hAnsi="Arial" w:cs="Arial"/>
                <w:color w:val="000000"/>
              </w:rPr>
            </w:pPr>
          </w:p>
        </w:tc>
      </w:tr>
      <w:tr w:rsidR="00DF0B96" w:rsidRPr="00FB0DA2" w:rsidTr="00707BC0">
        <w:trPr>
          <w:cantSplit/>
          <w:jc w:val="center"/>
        </w:trPr>
        <w:tc>
          <w:tcPr>
            <w:tcW w:w="4528" w:type="dxa"/>
            <w:tcBorders>
              <w:top w:val="single" w:sz="4" w:space="0" w:color="auto"/>
              <w:left w:val="single" w:sz="4" w:space="0" w:color="auto"/>
              <w:bottom w:val="single" w:sz="4" w:space="0" w:color="auto"/>
              <w:right w:val="single" w:sz="4" w:space="0" w:color="auto"/>
            </w:tcBorders>
            <w:shd w:val="clear" w:color="auto" w:fill="auto"/>
          </w:tcPr>
          <w:p w:rsidR="00DF0B96" w:rsidRPr="00FB0DA2" w:rsidRDefault="00DF0B96" w:rsidP="00707BC0">
            <w:pPr>
              <w:jc w:val="both"/>
              <w:rPr>
                <w:rFonts w:ascii="Arial" w:hAnsi="Arial" w:cs="Arial"/>
                <w:color w:val="000000"/>
              </w:rPr>
            </w:pPr>
          </w:p>
          <w:p w:rsidR="00DF0B96" w:rsidRPr="00645A0B" w:rsidRDefault="00DF0B96" w:rsidP="00707BC0">
            <w:pPr>
              <w:rPr>
                <w:rFonts w:ascii="Arial" w:hAnsi="Arial" w:cs="Arial"/>
                <w:b/>
                <w:u w:val="single"/>
              </w:rPr>
            </w:pPr>
            <w:bookmarkStart w:id="18" w:name="_Toc248027928"/>
            <w:r w:rsidRPr="00645A0B">
              <w:rPr>
                <w:rFonts w:ascii="Arial" w:hAnsi="Arial" w:cs="Arial"/>
                <w:b/>
                <w:u w:val="single"/>
              </w:rPr>
              <w:t>Article 1, paragraph 3:</w:t>
            </w:r>
            <w:bookmarkEnd w:id="18"/>
          </w:p>
          <w:p w:rsidR="00DF0B96" w:rsidRPr="00FB0DA2" w:rsidRDefault="00DF0B96" w:rsidP="00707BC0">
            <w:pPr>
              <w:jc w:val="both"/>
              <w:rPr>
                <w:rFonts w:ascii="Arial" w:hAnsi="Arial" w:cs="Arial"/>
                <w:color w:val="000000"/>
              </w:rPr>
            </w:pPr>
          </w:p>
          <w:p w:rsidR="00DF0B96" w:rsidRPr="00FB0DA2" w:rsidRDefault="00DF0B96" w:rsidP="00707BC0">
            <w:pPr>
              <w:jc w:val="both"/>
              <w:rPr>
                <w:rFonts w:ascii="Arial" w:hAnsi="Arial" w:cs="Arial"/>
                <w:color w:val="000000"/>
              </w:rPr>
            </w:pPr>
            <w:r w:rsidRPr="00FB0DA2">
              <w:rPr>
                <w:rFonts w:ascii="Arial" w:hAnsi="Arial" w:cs="Arial"/>
                <w:color w:val="000000"/>
              </w:rPr>
              <w:t>Any Member State which is not a party to any agreement reached pursuant to paragraph 1 may in due course become a party to such an agreement upon making offers at similar or acceptable levels to the participating Member States.</w:t>
            </w:r>
          </w:p>
          <w:p w:rsidR="00DF0B96" w:rsidRPr="00FB0DA2" w:rsidRDefault="00DF0B96" w:rsidP="00707BC0">
            <w:pPr>
              <w:ind w:left="72"/>
              <w:jc w:val="both"/>
              <w:rPr>
                <w:rFonts w:ascii="Arial" w:hAnsi="Arial" w:cs="Arial"/>
                <w:color w:val="000000"/>
              </w:rPr>
            </w:pP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DF0B96" w:rsidRPr="00FB0DA2" w:rsidRDefault="00DF0B96" w:rsidP="00707BC0">
            <w:pPr>
              <w:jc w:val="both"/>
              <w:rPr>
                <w:rFonts w:ascii="Arial" w:hAnsi="Arial" w:cs="Arial"/>
                <w:color w:val="000000"/>
              </w:rPr>
            </w:pPr>
          </w:p>
          <w:p w:rsidR="00DF0B96" w:rsidRPr="00FB0DA2" w:rsidRDefault="00DF0B96" w:rsidP="00707BC0">
            <w:pPr>
              <w:jc w:val="both"/>
              <w:rPr>
                <w:rFonts w:ascii="Arial" w:hAnsi="Arial" w:cs="Arial"/>
                <w:color w:val="000000"/>
              </w:rPr>
            </w:pPr>
          </w:p>
          <w:p w:rsidR="00DF0B96" w:rsidRPr="00FB0DA2" w:rsidRDefault="00DF0B96" w:rsidP="00707BC0">
            <w:pPr>
              <w:jc w:val="both"/>
              <w:rPr>
                <w:rFonts w:ascii="Arial" w:hAnsi="Arial" w:cs="Arial"/>
                <w:color w:val="000000"/>
              </w:rPr>
            </w:pPr>
          </w:p>
          <w:p w:rsidR="00DF0B96" w:rsidRPr="00FB0DA2" w:rsidRDefault="00DF0B96" w:rsidP="00707BC0">
            <w:pPr>
              <w:jc w:val="both"/>
              <w:rPr>
                <w:rFonts w:ascii="Arial" w:hAnsi="Arial" w:cs="Arial"/>
                <w:color w:val="000000"/>
              </w:rPr>
            </w:pPr>
            <w:r w:rsidRPr="00FB0DA2">
              <w:rPr>
                <w:rFonts w:ascii="Arial" w:hAnsi="Arial" w:cs="Arial"/>
                <w:color w:val="000000"/>
              </w:rPr>
              <w:t xml:space="preserve">The reference to “acceptable level” here applies only to offers made by Member States wishing to join an agreement reached pursuant to paragraph 1 of Article 1 of this protocol and deemed acceptable by all the participating Member States, taking into account developmental differences, both in terms of economic and stage of development of the particular sector. </w:t>
            </w:r>
          </w:p>
          <w:p w:rsidR="00DF0B96" w:rsidRPr="00FB0DA2" w:rsidRDefault="00DF0B96" w:rsidP="00707BC0">
            <w:pPr>
              <w:jc w:val="both"/>
              <w:rPr>
                <w:rFonts w:ascii="Arial" w:hAnsi="Arial" w:cs="Arial"/>
                <w:color w:val="000000"/>
              </w:rPr>
            </w:pPr>
          </w:p>
          <w:p w:rsidR="00DF0B96" w:rsidRPr="00FB0DA2" w:rsidRDefault="00DF0B96" w:rsidP="00707BC0">
            <w:pPr>
              <w:jc w:val="both"/>
              <w:rPr>
                <w:rFonts w:ascii="Arial" w:hAnsi="Arial" w:cs="Arial"/>
                <w:color w:val="000000"/>
              </w:rPr>
            </w:pPr>
            <w:r w:rsidRPr="00FB0DA2">
              <w:rPr>
                <w:rFonts w:ascii="Arial" w:hAnsi="Arial" w:cs="Arial"/>
                <w:color w:val="000000"/>
              </w:rPr>
              <w:t>The participating Member States shall not require a higher level of commitments from the remaining Member States than their respective commitments under the agreement.</w:t>
            </w:r>
          </w:p>
          <w:p w:rsidR="00DF0B96" w:rsidRPr="00FB0DA2" w:rsidRDefault="00DF0B96" w:rsidP="00707BC0">
            <w:pPr>
              <w:jc w:val="both"/>
              <w:rPr>
                <w:rFonts w:ascii="Arial" w:hAnsi="Arial" w:cs="Arial"/>
                <w:color w:val="000000"/>
              </w:rPr>
            </w:pPr>
          </w:p>
        </w:tc>
      </w:tr>
      <w:tr w:rsidR="00DF0B96" w:rsidRPr="00FB0DA2" w:rsidTr="00707BC0">
        <w:trPr>
          <w:cantSplit/>
          <w:jc w:val="center"/>
        </w:trPr>
        <w:tc>
          <w:tcPr>
            <w:tcW w:w="4528" w:type="dxa"/>
            <w:tcBorders>
              <w:top w:val="single" w:sz="4" w:space="0" w:color="auto"/>
              <w:left w:val="single" w:sz="4" w:space="0" w:color="auto"/>
              <w:bottom w:val="single" w:sz="4" w:space="0" w:color="auto"/>
              <w:right w:val="single" w:sz="4" w:space="0" w:color="auto"/>
            </w:tcBorders>
            <w:shd w:val="clear" w:color="auto" w:fill="auto"/>
          </w:tcPr>
          <w:p w:rsidR="00DF0B96" w:rsidRPr="00FB0DA2" w:rsidRDefault="00DF0B96" w:rsidP="00707BC0">
            <w:pPr>
              <w:jc w:val="both"/>
              <w:rPr>
                <w:rFonts w:ascii="Arial" w:hAnsi="Arial" w:cs="Arial"/>
                <w:color w:val="000000"/>
              </w:rPr>
            </w:pPr>
          </w:p>
          <w:p w:rsidR="00DF0B96" w:rsidRPr="00645A0B" w:rsidRDefault="00DF0B96" w:rsidP="00707BC0">
            <w:pPr>
              <w:rPr>
                <w:rFonts w:ascii="Arial" w:hAnsi="Arial" w:cs="Arial"/>
                <w:b/>
                <w:u w:val="single"/>
              </w:rPr>
            </w:pPr>
            <w:bookmarkStart w:id="19" w:name="_Toc248027929"/>
            <w:r w:rsidRPr="00645A0B">
              <w:rPr>
                <w:rFonts w:ascii="Arial" w:hAnsi="Arial" w:cs="Arial"/>
                <w:b/>
                <w:u w:val="single"/>
              </w:rPr>
              <w:t>Article 2, paragraph 1:</w:t>
            </w:r>
            <w:bookmarkEnd w:id="19"/>
          </w:p>
          <w:p w:rsidR="00DF0B96" w:rsidRPr="00FB0DA2" w:rsidRDefault="00DF0B96" w:rsidP="00707BC0">
            <w:pPr>
              <w:jc w:val="both"/>
              <w:rPr>
                <w:rFonts w:ascii="Arial" w:hAnsi="Arial" w:cs="Arial"/>
                <w:color w:val="000000"/>
              </w:rPr>
            </w:pPr>
          </w:p>
          <w:p w:rsidR="00DF0B96" w:rsidRPr="00FB0DA2" w:rsidRDefault="00DF0B96" w:rsidP="00707BC0">
            <w:pPr>
              <w:jc w:val="both"/>
              <w:rPr>
                <w:rFonts w:ascii="Arial" w:hAnsi="Arial" w:cs="Arial"/>
                <w:color w:val="000000"/>
              </w:rPr>
            </w:pPr>
            <w:r w:rsidRPr="00FB0DA2">
              <w:rPr>
                <w:rFonts w:ascii="Arial" w:hAnsi="Arial" w:cs="Arial"/>
                <w:color w:val="000000"/>
              </w:rPr>
              <w:t>This Protocol shall enter into force on 31 December 2004.</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DF0B96" w:rsidRPr="00FB0DA2" w:rsidRDefault="00DF0B96" w:rsidP="00707BC0">
            <w:pPr>
              <w:jc w:val="both"/>
              <w:rPr>
                <w:rFonts w:ascii="Arial" w:hAnsi="Arial" w:cs="Arial"/>
                <w:color w:val="000000"/>
              </w:rPr>
            </w:pPr>
          </w:p>
          <w:p w:rsidR="00DF0B96" w:rsidRPr="00FB0DA2" w:rsidRDefault="00DF0B96" w:rsidP="00707BC0">
            <w:pPr>
              <w:jc w:val="both"/>
              <w:rPr>
                <w:rFonts w:ascii="Arial" w:hAnsi="Arial" w:cs="Arial"/>
                <w:color w:val="000000"/>
              </w:rPr>
            </w:pPr>
          </w:p>
          <w:p w:rsidR="00DF0B96" w:rsidRPr="00FB0DA2" w:rsidRDefault="00DF0B96" w:rsidP="00707BC0">
            <w:pPr>
              <w:jc w:val="both"/>
              <w:rPr>
                <w:rFonts w:ascii="Arial" w:hAnsi="Arial" w:cs="Arial"/>
                <w:color w:val="000000"/>
              </w:rPr>
            </w:pPr>
          </w:p>
          <w:p w:rsidR="00DF0B96" w:rsidRPr="00FB0DA2" w:rsidRDefault="00DF0B96" w:rsidP="00707BC0">
            <w:pPr>
              <w:jc w:val="both"/>
              <w:rPr>
                <w:rFonts w:ascii="Arial" w:hAnsi="Arial" w:cs="Arial"/>
                <w:color w:val="000000"/>
              </w:rPr>
            </w:pPr>
            <w:r w:rsidRPr="00FB0DA2">
              <w:rPr>
                <w:rFonts w:ascii="Arial" w:hAnsi="Arial" w:cs="Arial"/>
                <w:color w:val="000000"/>
              </w:rPr>
              <w:t xml:space="preserve">All Member States undertake to complete their internal procedures for the entry into force of this protocol on or before 31 December 2004 and to inform the ASEAN Secretariat of the date of completion. </w:t>
            </w:r>
          </w:p>
          <w:p w:rsidR="00DF0B96" w:rsidRPr="00FB0DA2" w:rsidRDefault="00DF0B96" w:rsidP="00707BC0">
            <w:pPr>
              <w:jc w:val="both"/>
              <w:rPr>
                <w:rFonts w:ascii="Arial" w:hAnsi="Arial" w:cs="Arial"/>
                <w:color w:val="000000"/>
              </w:rPr>
            </w:pPr>
          </w:p>
        </w:tc>
      </w:tr>
    </w:tbl>
    <w:p w:rsidR="00DF0B96" w:rsidRPr="00FB0DA2" w:rsidRDefault="00DF0B96" w:rsidP="00DF0B96">
      <w:pPr>
        <w:rPr>
          <w:color w:val="000000"/>
        </w:rPr>
      </w:pPr>
    </w:p>
    <w:p w:rsidR="00DF0B96" w:rsidRDefault="00DF0B96" w:rsidP="00DF0B96"/>
    <w:p w:rsidR="00E37739" w:rsidRDefault="00E37739" w:rsidP="00B307A2">
      <w:pPr>
        <w:pStyle w:val="ParagraphText"/>
      </w:pPr>
      <w:bookmarkStart w:id="20" w:name="_GoBack"/>
      <w:bookmarkEnd w:id="20"/>
    </w:p>
    <w:sectPr w:rsidR="00E37739" w:rsidSect="003270CA">
      <w:headerReference w:type="default" r:id="rId11"/>
      <w:footerReference w:type="default" r:id="rId12"/>
      <w:footerReference w:type="first" r:id="rId13"/>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B52" w:rsidRDefault="00621B52" w:rsidP="00FC31EC">
      <w:pPr>
        <w:spacing w:after="0" w:line="240" w:lineRule="auto"/>
      </w:pPr>
      <w:r>
        <w:separator/>
      </w:r>
    </w:p>
  </w:endnote>
  <w:endnote w:type="continuationSeparator" w:id="0">
    <w:p w:rsidR="00621B52" w:rsidRDefault="00621B52" w:rsidP="00FC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056259"/>
      <w:docPartObj>
        <w:docPartGallery w:val="Page Numbers (Bottom of Page)"/>
        <w:docPartUnique/>
      </w:docPartObj>
    </w:sdtPr>
    <w:sdtContent>
      <w:p w:rsidR="00B12F2C" w:rsidRDefault="00B12F2C" w:rsidP="00B12F2C">
        <w:pPr>
          <w:pStyle w:val="Footer"/>
          <w:pBdr>
            <w:top w:val="single" w:sz="4" w:space="8" w:color="auto"/>
          </w:pBdr>
          <w:tabs>
            <w:tab w:val="left" w:pos="7938"/>
          </w:tabs>
          <w:ind w:right="91"/>
          <w:rPr>
            <w:rFonts w:ascii="Lucida Sans" w:eastAsia="Batang" w:hAnsi="Lucida Sans"/>
            <w:lang w:val="en-GB"/>
          </w:rPr>
        </w:pPr>
        <w:r>
          <w:rPr>
            <w:rFonts w:ascii="Arial" w:hAnsi="Arial" w:cs="Arial"/>
            <w:color w:val="808080"/>
            <w:sz w:val="16"/>
            <w:szCs w:val="16"/>
          </w:rPr>
          <w:t xml:space="preserve">UNOFFICIAL TEXT · CENTRE FOR INTERNATIONAL LAW · </w:t>
        </w:r>
        <w:hyperlink r:id="rId1" w:history="1">
          <w:r>
            <w:rPr>
              <w:rStyle w:val="Hyperlink"/>
              <w:rFonts w:ascii="Arial" w:hAnsi="Arial" w:cs="Arial"/>
              <w:sz w:val="16"/>
              <w:szCs w:val="16"/>
            </w:rPr>
            <w:t>www.cil.nus.edu</w:t>
          </w:r>
        </w:hyperlink>
        <w:r>
          <w:rPr>
            <w:rFonts w:ascii="Arial" w:hAnsi="Arial" w:cs="Arial"/>
            <w:sz w:val="16"/>
            <w:szCs w:val="16"/>
          </w:rPr>
          <w:t>.</w:t>
        </w:r>
        <w:r>
          <w:rPr>
            <w:rFonts w:ascii="Arial" w:hAnsi="Arial" w:cs="Arial"/>
            <w:sz w:val="16"/>
            <w:szCs w:val="16"/>
          </w:rPr>
          <w:tab/>
        </w:r>
        <w:r>
          <w:rPr>
            <w:rFonts w:cs="Arial"/>
            <w:color w:val="7F7F7F"/>
            <w:sz w:val="16"/>
            <w:szCs w:val="16"/>
          </w:rPr>
          <w:t xml:space="preserve">Page </w:t>
        </w:r>
        <w:r>
          <w:rPr>
            <w:rFonts w:cs="Arial"/>
            <w:color w:val="7F7F7F"/>
            <w:sz w:val="16"/>
            <w:szCs w:val="16"/>
          </w:rPr>
          <w:fldChar w:fldCharType="begin"/>
        </w:r>
        <w:r>
          <w:rPr>
            <w:rFonts w:cs="Arial"/>
            <w:color w:val="7F7F7F"/>
            <w:sz w:val="16"/>
            <w:szCs w:val="16"/>
          </w:rPr>
          <w:instrText xml:space="preserve"> PAGE </w:instrText>
        </w:r>
        <w:r>
          <w:rPr>
            <w:rFonts w:cs="Arial"/>
            <w:color w:val="7F7F7F"/>
            <w:sz w:val="16"/>
            <w:szCs w:val="16"/>
          </w:rPr>
          <w:fldChar w:fldCharType="separate"/>
        </w:r>
        <w:r w:rsidR="003B116F">
          <w:rPr>
            <w:rFonts w:cs="Arial"/>
            <w:noProof/>
            <w:color w:val="7F7F7F"/>
            <w:sz w:val="16"/>
            <w:szCs w:val="16"/>
          </w:rPr>
          <w:t>7</w:t>
        </w:r>
        <w:r>
          <w:rPr>
            <w:rFonts w:cs="Arial"/>
            <w:color w:val="7F7F7F"/>
            <w:sz w:val="16"/>
            <w:szCs w:val="16"/>
          </w:rPr>
          <w:fldChar w:fldCharType="end"/>
        </w:r>
        <w:r>
          <w:rPr>
            <w:rFonts w:cs="Arial"/>
            <w:color w:val="7F7F7F"/>
            <w:sz w:val="16"/>
            <w:szCs w:val="16"/>
          </w:rPr>
          <w:t xml:space="preserve"> of </w:t>
        </w:r>
        <w:r>
          <w:rPr>
            <w:rFonts w:cs="Arial"/>
            <w:color w:val="7F7F7F"/>
            <w:sz w:val="16"/>
            <w:szCs w:val="16"/>
          </w:rPr>
          <w:fldChar w:fldCharType="begin"/>
        </w:r>
        <w:r>
          <w:rPr>
            <w:rFonts w:cs="Arial"/>
            <w:color w:val="7F7F7F"/>
            <w:sz w:val="16"/>
            <w:szCs w:val="16"/>
          </w:rPr>
          <w:instrText xml:space="preserve"> NUMPAGES  </w:instrText>
        </w:r>
        <w:r>
          <w:rPr>
            <w:rFonts w:cs="Arial"/>
            <w:color w:val="7F7F7F"/>
            <w:sz w:val="16"/>
            <w:szCs w:val="16"/>
          </w:rPr>
          <w:fldChar w:fldCharType="separate"/>
        </w:r>
        <w:r w:rsidR="003B116F">
          <w:rPr>
            <w:rFonts w:cs="Arial"/>
            <w:noProof/>
            <w:color w:val="7F7F7F"/>
            <w:sz w:val="16"/>
            <w:szCs w:val="16"/>
          </w:rPr>
          <w:t>9</w:t>
        </w:r>
        <w:r>
          <w:rPr>
            <w:rFonts w:cs="Arial"/>
            <w:color w:val="7F7F7F"/>
            <w:sz w:val="16"/>
            <w:szCs w:val="16"/>
          </w:rPr>
          <w:fldChar w:fldCharType="end"/>
        </w:r>
      </w:p>
    </w:sdtContent>
  </w:sdt>
  <w:p w:rsidR="00393662" w:rsidRDefault="0039366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662" w:rsidRDefault="00393662" w:rsidP="00BE214B">
    <w:pPr>
      <w:pStyle w:val="Footer"/>
      <w:framePr w:wrap="around" w:vAnchor="text" w:hAnchor="margin" w:xAlign="right" w:y="1"/>
      <w:rPr>
        <w:rStyle w:val="PageNumber"/>
      </w:rPr>
    </w:pPr>
  </w:p>
  <w:sdt>
    <w:sdtPr>
      <w:id w:val="-1993248767"/>
      <w:docPartObj>
        <w:docPartGallery w:val="Page Numbers (Bottom of Page)"/>
        <w:docPartUnique/>
      </w:docPartObj>
    </w:sdtPr>
    <w:sdtContent>
      <w:p w:rsidR="00B12F2C" w:rsidRDefault="00B12F2C" w:rsidP="00B12F2C">
        <w:pPr>
          <w:pStyle w:val="Footer"/>
          <w:pBdr>
            <w:top w:val="single" w:sz="4" w:space="8" w:color="auto"/>
          </w:pBdr>
          <w:tabs>
            <w:tab w:val="left" w:pos="7938"/>
          </w:tabs>
          <w:ind w:right="91"/>
          <w:rPr>
            <w:rFonts w:ascii="Lucida Sans" w:eastAsia="Batang" w:hAnsi="Lucida Sans"/>
            <w:lang w:val="en-GB"/>
          </w:rPr>
        </w:pPr>
        <w:r>
          <w:rPr>
            <w:rFonts w:ascii="Arial" w:hAnsi="Arial" w:cs="Arial"/>
            <w:color w:val="808080"/>
            <w:sz w:val="16"/>
            <w:szCs w:val="16"/>
          </w:rPr>
          <w:t xml:space="preserve">UNOFFICIAL TEXT · CENTRE FOR INTERNATIONAL LAW · </w:t>
        </w:r>
        <w:hyperlink r:id="rId1" w:history="1">
          <w:r>
            <w:rPr>
              <w:rStyle w:val="Hyperlink"/>
              <w:rFonts w:ascii="Arial" w:hAnsi="Arial" w:cs="Arial"/>
              <w:sz w:val="16"/>
              <w:szCs w:val="16"/>
            </w:rPr>
            <w:t>www.cil.nus.edu</w:t>
          </w:r>
        </w:hyperlink>
        <w:r>
          <w:rPr>
            <w:rFonts w:ascii="Arial" w:hAnsi="Arial" w:cs="Arial"/>
            <w:sz w:val="16"/>
            <w:szCs w:val="16"/>
          </w:rPr>
          <w:t>.</w:t>
        </w:r>
        <w:r>
          <w:rPr>
            <w:rFonts w:ascii="Arial" w:hAnsi="Arial" w:cs="Arial"/>
            <w:sz w:val="16"/>
            <w:szCs w:val="16"/>
          </w:rPr>
          <w:tab/>
        </w:r>
        <w:r>
          <w:rPr>
            <w:rFonts w:cs="Arial"/>
            <w:color w:val="7F7F7F"/>
            <w:sz w:val="16"/>
            <w:szCs w:val="16"/>
          </w:rPr>
          <w:t xml:space="preserve">Page </w:t>
        </w:r>
        <w:r>
          <w:rPr>
            <w:rFonts w:cs="Arial"/>
            <w:color w:val="7F7F7F"/>
            <w:sz w:val="16"/>
            <w:szCs w:val="16"/>
          </w:rPr>
          <w:fldChar w:fldCharType="begin"/>
        </w:r>
        <w:r>
          <w:rPr>
            <w:rFonts w:cs="Arial"/>
            <w:color w:val="7F7F7F"/>
            <w:sz w:val="16"/>
            <w:szCs w:val="16"/>
          </w:rPr>
          <w:instrText xml:space="preserve"> PAGE </w:instrText>
        </w:r>
        <w:r>
          <w:rPr>
            <w:rFonts w:cs="Arial"/>
            <w:color w:val="7F7F7F"/>
            <w:sz w:val="16"/>
            <w:szCs w:val="16"/>
          </w:rPr>
          <w:fldChar w:fldCharType="separate"/>
        </w:r>
        <w:r w:rsidR="003B116F">
          <w:rPr>
            <w:rFonts w:cs="Arial"/>
            <w:noProof/>
            <w:color w:val="7F7F7F"/>
            <w:sz w:val="16"/>
            <w:szCs w:val="16"/>
          </w:rPr>
          <w:t>1</w:t>
        </w:r>
        <w:r>
          <w:rPr>
            <w:rFonts w:cs="Arial"/>
            <w:color w:val="7F7F7F"/>
            <w:sz w:val="16"/>
            <w:szCs w:val="16"/>
          </w:rPr>
          <w:fldChar w:fldCharType="end"/>
        </w:r>
        <w:r>
          <w:rPr>
            <w:rFonts w:cs="Arial"/>
            <w:color w:val="7F7F7F"/>
            <w:sz w:val="16"/>
            <w:szCs w:val="16"/>
          </w:rPr>
          <w:t xml:space="preserve"> of </w:t>
        </w:r>
        <w:r>
          <w:rPr>
            <w:rFonts w:cs="Arial"/>
            <w:color w:val="7F7F7F"/>
            <w:sz w:val="16"/>
            <w:szCs w:val="16"/>
          </w:rPr>
          <w:fldChar w:fldCharType="begin"/>
        </w:r>
        <w:r>
          <w:rPr>
            <w:rFonts w:cs="Arial"/>
            <w:color w:val="7F7F7F"/>
            <w:sz w:val="16"/>
            <w:szCs w:val="16"/>
          </w:rPr>
          <w:instrText xml:space="preserve"> NUMPAGES  </w:instrText>
        </w:r>
        <w:r>
          <w:rPr>
            <w:rFonts w:cs="Arial"/>
            <w:color w:val="7F7F7F"/>
            <w:sz w:val="16"/>
            <w:szCs w:val="16"/>
          </w:rPr>
          <w:fldChar w:fldCharType="separate"/>
        </w:r>
        <w:r w:rsidR="003B116F">
          <w:rPr>
            <w:rFonts w:cs="Arial"/>
            <w:noProof/>
            <w:color w:val="7F7F7F"/>
            <w:sz w:val="16"/>
            <w:szCs w:val="16"/>
          </w:rPr>
          <w:t>9</w:t>
        </w:r>
        <w:r>
          <w:rPr>
            <w:rFonts w:cs="Arial"/>
            <w:color w:val="7F7F7F"/>
            <w:sz w:val="16"/>
            <w:szCs w:val="16"/>
          </w:rPr>
          <w:fldChar w:fldCharType="end"/>
        </w:r>
      </w:p>
    </w:sdtContent>
  </w:sdt>
  <w:p w:rsidR="00393662" w:rsidRPr="006D038E" w:rsidRDefault="00393662" w:rsidP="00B12F2C">
    <w:pPr>
      <w:pStyle w:val="Footer"/>
      <w:rPr>
        <w:rFonts w:ascii="Arial" w:hAnsi="Arial" w:cs="Arial"/>
        <w:color w:val="808080"/>
        <w:sz w:val="16"/>
        <w:szCs w:val="16"/>
      </w:rPr>
    </w:pPr>
    <w:r>
      <w:rPr>
        <w:rFonts w:ascii="Arial" w:hAnsi="Arial" w:cs="Arial"/>
        <w:color w:val="808080"/>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B52" w:rsidRDefault="00621B52" w:rsidP="00FC31EC">
      <w:pPr>
        <w:spacing w:after="0" w:line="240" w:lineRule="auto"/>
      </w:pPr>
      <w:r>
        <w:separator/>
      </w:r>
    </w:p>
  </w:footnote>
  <w:footnote w:type="continuationSeparator" w:id="0">
    <w:p w:rsidR="00621B52" w:rsidRDefault="00621B52" w:rsidP="00FC3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662" w:rsidRPr="001F1C27" w:rsidRDefault="00DF0B96" w:rsidP="00BE214B">
    <w:pPr>
      <w:pBdr>
        <w:bottom w:val="single" w:sz="4" w:space="1" w:color="auto"/>
      </w:pBdr>
      <w:spacing w:after="120"/>
      <w:rPr>
        <w:b/>
        <w:color w:val="808080"/>
        <w:sz w:val="16"/>
        <w:szCs w:val="16"/>
      </w:rPr>
    </w:pPr>
    <w:r>
      <w:rPr>
        <w:rStyle w:val="BookTitle"/>
        <w:rFonts w:ascii="Arial" w:hAnsi="Arial" w:cs="Arial"/>
        <w:b w:val="0"/>
        <w:i w:val="0"/>
        <w:caps/>
        <w:color w:val="808080"/>
        <w:sz w:val="16"/>
        <w:szCs w:val="16"/>
        <w:lang w:val="en-GB"/>
      </w:rPr>
      <w:t>2003 Protocol To Amend the ASEAN Framework Agreement on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7B49"/>
    <w:multiLevelType w:val="multilevel"/>
    <w:tmpl w:val="F34C5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9D5134"/>
    <w:multiLevelType w:val="multilevel"/>
    <w:tmpl w:val="F9003F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36B226F"/>
    <w:multiLevelType w:val="multilevel"/>
    <w:tmpl w:val="9C222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0F3634"/>
    <w:multiLevelType w:val="multilevel"/>
    <w:tmpl w:val="475CE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AB1FEC"/>
    <w:multiLevelType w:val="multilevel"/>
    <w:tmpl w:val="9A786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6F2AEC"/>
    <w:multiLevelType w:val="multilevel"/>
    <w:tmpl w:val="B74C73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770487"/>
    <w:multiLevelType w:val="multilevel"/>
    <w:tmpl w:val="CF0A70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3C4CE3"/>
    <w:multiLevelType w:val="multilevel"/>
    <w:tmpl w:val="C956A6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440D08"/>
    <w:multiLevelType w:val="multilevel"/>
    <w:tmpl w:val="23501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9C2E10"/>
    <w:multiLevelType w:val="hybridMultilevel"/>
    <w:tmpl w:val="386620A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BD977F4"/>
    <w:multiLevelType w:val="hybridMultilevel"/>
    <w:tmpl w:val="BC7A3AFC"/>
    <w:lvl w:ilvl="0" w:tplc="F23CA7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8268A6"/>
    <w:multiLevelType w:val="multilevel"/>
    <w:tmpl w:val="EA6855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7D712FC"/>
    <w:multiLevelType w:val="multilevel"/>
    <w:tmpl w:val="F4E218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3C0B43"/>
    <w:multiLevelType w:val="hybridMultilevel"/>
    <w:tmpl w:val="AE8E2190"/>
    <w:lvl w:ilvl="0" w:tplc="1B8042CE">
      <w:start w:val="1"/>
      <w:numFmt w:val="lowerLetter"/>
      <w:lvlText w:val="%1)"/>
      <w:lvlJc w:val="left"/>
      <w:pPr>
        <w:ind w:left="720" w:hanging="360"/>
      </w:pPr>
      <w:rPr>
        <w:rFonts w:ascii="Arial" w:eastAsia="Calibri" w:hAnsi="Arial" w:cs="Arial"/>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F1A2F1D"/>
    <w:multiLevelType w:val="hybridMultilevel"/>
    <w:tmpl w:val="B1E2C1A2"/>
    <w:lvl w:ilvl="0" w:tplc="F23CA7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684BFF"/>
    <w:multiLevelType w:val="multilevel"/>
    <w:tmpl w:val="511AE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2307B9C"/>
    <w:multiLevelType w:val="multilevel"/>
    <w:tmpl w:val="D50014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729A4E30"/>
    <w:multiLevelType w:val="multilevel"/>
    <w:tmpl w:val="78527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9F06A3"/>
    <w:multiLevelType w:val="hybridMultilevel"/>
    <w:tmpl w:val="B1E2C1A2"/>
    <w:lvl w:ilvl="0" w:tplc="F23CA7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48180A"/>
    <w:multiLevelType w:val="multilevel"/>
    <w:tmpl w:val="E124A4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F04236"/>
    <w:multiLevelType w:val="multilevel"/>
    <w:tmpl w:val="B06A62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8"/>
  </w:num>
  <w:num w:numId="3">
    <w:abstractNumId w:val="10"/>
  </w:num>
  <w:num w:numId="4">
    <w:abstractNumId w:val="2"/>
  </w:num>
  <w:num w:numId="5">
    <w:abstractNumId w:val="11"/>
  </w:num>
  <w:num w:numId="6">
    <w:abstractNumId w:val="7"/>
  </w:num>
  <w:num w:numId="7">
    <w:abstractNumId w:val="12"/>
  </w:num>
  <w:num w:numId="8">
    <w:abstractNumId w:val="6"/>
  </w:num>
  <w:num w:numId="9">
    <w:abstractNumId w:val="20"/>
  </w:num>
  <w:num w:numId="10">
    <w:abstractNumId w:val="16"/>
  </w:num>
  <w:num w:numId="11">
    <w:abstractNumId w:val="1"/>
  </w:num>
  <w:num w:numId="12">
    <w:abstractNumId w:val="17"/>
  </w:num>
  <w:num w:numId="13">
    <w:abstractNumId w:val="15"/>
  </w:num>
  <w:num w:numId="14">
    <w:abstractNumId w:val="19"/>
  </w:num>
  <w:num w:numId="15">
    <w:abstractNumId w:val="5"/>
  </w:num>
  <w:num w:numId="16">
    <w:abstractNumId w:val="3"/>
  </w:num>
  <w:num w:numId="17">
    <w:abstractNumId w:val="0"/>
  </w:num>
  <w:num w:numId="18">
    <w:abstractNumId w:val="4"/>
  </w:num>
  <w:num w:numId="19">
    <w:abstractNumId w:val="8"/>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63"/>
    <w:rsid w:val="000053E5"/>
    <w:rsid w:val="00005566"/>
    <w:rsid w:val="00020FCE"/>
    <w:rsid w:val="00022662"/>
    <w:rsid w:val="00025279"/>
    <w:rsid w:val="00031E3A"/>
    <w:rsid w:val="00032179"/>
    <w:rsid w:val="000517B2"/>
    <w:rsid w:val="00056002"/>
    <w:rsid w:val="00071DEB"/>
    <w:rsid w:val="00075358"/>
    <w:rsid w:val="00091CB6"/>
    <w:rsid w:val="000927BC"/>
    <w:rsid w:val="0009322B"/>
    <w:rsid w:val="000A0777"/>
    <w:rsid w:val="000A20B4"/>
    <w:rsid w:val="000A2A83"/>
    <w:rsid w:val="000B2F33"/>
    <w:rsid w:val="000B38F8"/>
    <w:rsid w:val="000C0938"/>
    <w:rsid w:val="000D639B"/>
    <w:rsid w:val="000E032D"/>
    <w:rsid w:val="00133A56"/>
    <w:rsid w:val="00153158"/>
    <w:rsid w:val="00160819"/>
    <w:rsid w:val="00176930"/>
    <w:rsid w:val="001901B5"/>
    <w:rsid w:val="00195774"/>
    <w:rsid w:val="001C5255"/>
    <w:rsid w:val="001D23E1"/>
    <w:rsid w:val="001D6B82"/>
    <w:rsid w:val="001D7363"/>
    <w:rsid w:val="001E338F"/>
    <w:rsid w:val="00226EE3"/>
    <w:rsid w:val="00235EE9"/>
    <w:rsid w:val="002540CF"/>
    <w:rsid w:val="00270F22"/>
    <w:rsid w:val="002732BD"/>
    <w:rsid w:val="002801A3"/>
    <w:rsid w:val="00291438"/>
    <w:rsid w:val="00294AA0"/>
    <w:rsid w:val="002C612F"/>
    <w:rsid w:val="002E5AF1"/>
    <w:rsid w:val="00313DD3"/>
    <w:rsid w:val="00325B75"/>
    <w:rsid w:val="003270CA"/>
    <w:rsid w:val="00332826"/>
    <w:rsid w:val="003331BE"/>
    <w:rsid w:val="00334154"/>
    <w:rsid w:val="00343A4A"/>
    <w:rsid w:val="00344987"/>
    <w:rsid w:val="00357A47"/>
    <w:rsid w:val="003623A2"/>
    <w:rsid w:val="00365F19"/>
    <w:rsid w:val="00366B7D"/>
    <w:rsid w:val="00393662"/>
    <w:rsid w:val="003A1855"/>
    <w:rsid w:val="003A23C3"/>
    <w:rsid w:val="003A29DC"/>
    <w:rsid w:val="003A33AA"/>
    <w:rsid w:val="003B116F"/>
    <w:rsid w:val="003C0653"/>
    <w:rsid w:val="003C5F1A"/>
    <w:rsid w:val="003D3DF9"/>
    <w:rsid w:val="003E4E8C"/>
    <w:rsid w:val="003F4524"/>
    <w:rsid w:val="003F45F2"/>
    <w:rsid w:val="003F50A9"/>
    <w:rsid w:val="004077FA"/>
    <w:rsid w:val="0041101D"/>
    <w:rsid w:val="00431978"/>
    <w:rsid w:val="00455E9F"/>
    <w:rsid w:val="00466AE6"/>
    <w:rsid w:val="004944B6"/>
    <w:rsid w:val="00494E10"/>
    <w:rsid w:val="004B0982"/>
    <w:rsid w:val="004B5D4B"/>
    <w:rsid w:val="004E5AF1"/>
    <w:rsid w:val="004F0275"/>
    <w:rsid w:val="00502D51"/>
    <w:rsid w:val="00516F22"/>
    <w:rsid w:val="005178DC"/>
    <w:rsid w:val="005277F2"/>
    <w:rsid w:val="00527886"/>
    <w:rsid w:val="00527C44"/>
    <w:rsid w:val="00556CA4"/>
    <w:rsid w:val="005A3EA3"/>
    <w:rsid w:val="005B7063"/>
    <w:rsid w:val="005C174D"/>
    <w:rsid w:val="005C34D6"/>
    <w:rsid w:val="005C387E"/>
    <w:rsid w:val="005C6A7A"/>
    <w:rsid w:val="005E2C91"/>
    <w:rsid w:val="005E4755"/>
    <w:rsid w:val="005E6C74"/>
    <w:rsid w:val="005F0CDC"/>
    <w:rsid w:val="005F2049"/>
    <w:rsid w:val="00620805"/>
    <w:rsid w:val="00621B52"/>
    <w:rsid w:val="00636489"/>
    <w:rsid w:val="006442A4"/>
    <w:rsid w:val="006459EE"/>
    <w:rsid w:val="00646A8E"/>
    <w:rsid w:val="00646B8B"/>
    <w:rsid w:val="00657627"/>
    <w:rsid w:val="006757A7"/>
    <w:rsid w:val="006930D2"/>
    <w:rsid w:val="00705195"/>
    <w:rsid w:val="0072590A"/>
    <w:rsid w:val="0074341F"/>
    <w:rsid w:val="007476D1"/>
    <w:rsid w:val="00780B19"/>
    <w:rsid w:val="007A0CE1"/>
    <w:rsid w:val="007A2C7A"/>
    <w:rsid w:val="007D5461"/>
    <w:rsid w:val="007F6ECE"/>
    <w:rsid w:val="00807C56"/>
    <w:rsid w:val="00820548"/>
    <w:rsid w:val="00822313"/>
    <w:rsid w:val="00822B9F"/>
    <w:rsid w:val="00867C5F"/>
    <w:rsid w:val="00870650"/>
    <w:rsid w:val="008D5CC1"/>
    <w:rsid w:val="008E3018"/>
    <w:rsid w:val="00926A9A"/>
    <w:rsid w:val="009453BE"/>
    <w:rsid w:val="009610D1"/>
    <w:rsid w:val="00983050"/>
    <w:rsid w:val="0098625E"/>
    <w:rsid w:val="00992FE8"/>
    <w:rsid w:val="0099651E"/>
    <w:rsid w:val="009973C2"/>
    <w:rsid w:val="009A07DC"/>
    <w:rsid w:val="009B104E"/>
    <w:rsid w:val="009B6600"/>
    <w:rsid w:val="009C410C"/>
    <w:rsid w:val="009D4184"/>
    <w:rsid w:val="009E0DD3"/>
    <w:rsid w:val="00A10E6B"/>
    <w:rsid w:val="00A2282A"/>
    <w:rsid w:val="00A4171E"/>
    <w:rsid w:val="00A50BEA"/>
    <w:rsid w:val="00A57D06"/>
    <w:rsid w:val="00A7204F"/>
    <w:rsid w:val="00AA15D0"/>
    <w:rsid w:val="00AB5DBE"/>
    <w:rsid w:val="00AB6617"/>
    <w:rsid w:val="00AC53D5"/>
    <w:rsid w:val="00AD71CE"/>
    <w:rsid w:val="00AF4264"/>
    <w:rsid w:val="00AF698A"/>
    <w:rsid w:val="00AF70E2"/>
    <w:rsid w:val="00AF7998"/>
    <w:rsid w:val="00B0438D"/>
    <w:rsid w:val="00B05094"/>
    <w:rsid w:val="00B06866"/>
    <w:rsid w:val="00B12F2C"/>
    <w:rsid w:val="00B153BE"/>
    <w:rsid w:val="00B27DE0"/>
    <w:rsid w:val="00B307A2"/>
    <w:rsid w:val="00B30BE2"/>
    <w:rsid w:val="00B329F5"/>
    <w:rsid w:val="00B51A1C"/>
    <w:rsid w:val="00B51CE7"/>
    <w:rsid w:val="00B558C5"/>
    <w:rsid w:val="00B619F8"/>
    <w:rsid w:val="00B94BD6"/>
    <w:rsid w:val="00BB44A9"/>
    <w:rsid w:val="00BB5EEE"/>
    <w:rsid w:val="00BB5FD5"/>
    <w:rsid w:val="00BC6379"/>
    <w:rsid w:val="00BC77B9"/>
    <w:rsid w:val="00BD225D"/>
    <w:rsid w:val="00BD4E85"/>
    <w:rsid w:val="00BE214B"/>
    <w:rsid w:val="00C12204"/>
    <w:rsid w:val="00C1510D"/>
    <w:rsid w:val="00C37EB2"/>
    <w:rsid w:val="00C53B71"/>
    <w:rsid w:val="00C611A9"/>
    <w:rsid w:val="00C61B33"/>
    <w:rsid w:val="00C803D2"/>
    <w:rsid w:val="00C9260F"/>
    <w:rsid w:val="00C943F0"/>
    <w:rsid w:val="00CA0CDC"/>
    <w:rsid w:val="00CA1660"/>
    <w:rsid w:val="00CA3915"/>
    <w:rsid w:val="00CA3BB2"/>
    <w:rsid w:val="00CD28DB"/>
    <w:rsid w:val="00CE2624"/>
    <w:rsid w:val="00CF7F8B"/>
    <w:rsid w:val="00D22588"/>
    <w:rsid w:val="00D25360"/>
    <w:rsid w:val="00D4588E"/>
    <w:rsid w:val="00D554B3"/>
    <w:rsid w:val="00D66F29"/>
    <w:rsid w:val="00D85FD1"/>
    <w:rsid w:val="00D87FE0"/>
    <w:rsid w:val="00D909F9"/>
    <w:rsid w:val="00D97DED"/>
    <w:rsid w:val="00DA2ED6"/>
    <w:rsid w:val="00DA320C"/>
    <w:rsid w:val="00DB23ED"/>
    <w:rsid w:val="00DC5E58"/>
    <w:rsid w:val="00DC66F3"/>
    <w:rsid w:val="00DE488C"/>
    <w:rsid w:val="00DF0B96"/>
    <w:rsid w:val="00DF35C9"/>
    <w:rsid w:val="00E032AB"/>
    <w:rsid w:val="00E11892"/>
    <w:rsid w:val="00E302EE"/>
    <w:rsid w:val="00E37739"/>
    <w:rsid w:val="00E453EE"/>
    <w:rsid w:val="00E50D99"/>
    <w:rsid w:val="00E51321"/>
    <w:rsid w:val="00E52981"/>
    <w:rsid w:val="00E6226E"/>
    <w:rsid w:val="00E649CE"/>
    <w:rsid w:val="00E71A2A"/>
    <w:rsid w:val="00E76781"/>
    <w:rsid w:val="00E770DD"/>
    <w:rsid w:val="00E847B9"/>
    <w:rsid w:val="00E8595B"/>
    <w:rsid w:val="00E93E46"/>
    <w:rsid w:val="00EA18DF"/>
    <w:rsid w:val="00EB2D85"/>
    <w:rsid w:val="00EC3293"/>
    <w:rsid w:val="00EC518B"/>
    <w:rsid w:val="00EE03EE"/>
    <w:rsid w:val="00EE3888"/>
    <w:rsid w:val="00F25BD9"/>
    <w:rsid w:val="00F2628F"/>
    <w:rsid w:val="00F275A5"/>
    <w:rsid w:val="00F32199"/>
    <w:rsid w:val="00F41FC4"/>
    <w:rsid w:val="00F51DB2"/>
    <w:rsid w:val="00F541E7"/>
    <w:rsid w:val="00F64047"/>
    <w:rsid w:val="00F85F82"/>
    <w:rsid w:val="00F870B8"/>
    <w:rsid w:val="00F87B2C"/>
    <w:rsid w:val="00FA7FC6"/>
    <w:rsid w:val="00FC31EC"/>
    <w:rsid w:val="00FC7E4E"/>
    <w:rsid w:val="00FD119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6814C-215F-4B7C-8E2C-DBF055B1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363"/>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9"/>
    <w:qFormat/>
    <w:rsid w:val="00556C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EC32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EC3293"/>
    <w:pPr>
      <w:keepNext/>
      <w:spacing w:before="240" w:after="60" w:line="240" w:lineRule="auto"/>
      <w:jc w:val="both"/>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EC3293"/>
    <w:pPr>
      <w:keepNext/>
      <w:spacing w:before="240" w:after="60" w:line="240" w:lineRule="auto"/>
      <w:jc w:val="both"/>
      <w:outlineLvl w:val="3"/>
    </w:pPr>
    <w:rPr>
      <w:rFonts w:eastAsia="Times New Roman"/>
      <w:b/>
      <w:bCs/>
      <w:sz w:val="28"/>
      <w:szCs w:val="28"/>
    </w:rPr>
  </w:style>
  <w:style w:type="paragraph" w:styleId="Heading5">
    <w:name w:val="heading 5"/>
    <w:basedOn w:val="Normal"/>
    <w:next w:val="Normal"/>
    <w:link w:val="Heading5Char"/>
    <w:uiPriority w:val="99"/>
    <w:qFormat/>
    <w:rsid w:val="00EC3293"/>
    <w:pPr>
      <w:spacing w:before="240" w:after="60" w:line="240" w:lineRule="auto"/>
      <w:jc w:val="both"/>
      <w:outlineLvl w:val="4"/>
    </w:pPr>
    <w:rPr>
      <w:rFonts w:eastAsia="Times New Roman"/>
      <w:b/>
      <w:bCs/>
      <w:i/>
      <w:iCs/>
      <w:sz w:val="26"/>
      <w:szCs w:val="26"/>
    </w:rPr>
  </w:style>
  <w:style w:type="paragraph" w:styleId="Heading6">
    <w:name w:val="heading 6"/>
    <w:basedOn w:val="Normal"/>
    <w:next w:val="Normal"/>
    <w:link w:val="Heading6Char"/>
    <w:uiPriority w:val="99"/>
    <w:qFormat/>
    <w:rsid w:val="00EC3293"/>
    <w:pPr>
      <w:spacing w:before="240" w:after="60" w:line="240" w:lineRule="auto"/>
      <w:jc w:val="both"/>
      <w:outlineLvl w:val="5"/>
    </w:pPr>
    <w:rPr>
      <w:rFonts w:eastAsia="Times New Roman"/>
      <w:b/>
      <w:bCs/>
    </w:rPr>
  </w:style>
  <w:style w:type="paragraph" w:styleId="Heading7">
    <w:name w:val="heading 7"/>
    <w:basedOn w:val="Normal"/>
    <w:next w:val="Normal"/>
    <w:link w:val="Heading7Char"/>
    <w:uiPriority w:val="99"/>
    <w:qFormat/>
    <w:rsid w:val="00EC3293"/>
    <w:pPr>
      <w:spacing w:before="240" w:after="60" w:line="240" w:lineRule="auto"/>
      <w:jc w:val="both"/>
      <w:outlineLvl w:val="6"/>
    </w:pPr>
    <w:rPr>
      <w:rFonts w:eastAsia="Times New Roman"/>
      <w:szCs w:val="24"/>
    </w:rPr>
  </w:style>
  <w:style w:type="paragraph" w:styleId="Heading8">
    <w:name w:val="heading 8"/>
    <w:basedOn w:val="Normal"/>
    <w:next w:val="Normal"/>
    <w:link w:val="Heading8Char"/>
    <w:uiPriority w:val="99"/>
    <w:qFormat/>
    <w:rsid w:val="00EC3293"/>
    <w:pPr>
      <w:spacing w:before="240" w:after="60" w:line="240" w:lineRule="auto"/>
      <w:jc w:val="both"/>
      <w:outlineLvl w:val="7"/>
    </w:pPr>
    <w:rPr>
      <w:rFonts w:eastAsia="Times New Roman"/>
      <w:i/>
      <w:iCs/>
      <w:szCs w:val="24"/>
    </w:rPr>
  </w:style>
  <w:style w:type="paragraph" w:styleId="Heading9">
    <w:name w:val="heading 9"/>
    <w:basedOn w:val="Normal"/>
    <w:next w:val="Normal"/>
    <w:link w:val="Heading9Char"/>
    <w:uiPriority w:val="99"/>
    <w:qFormat/>
    <w:rsid w:val="00EC3293"/>
    <w:pPr>
      <w:spacing w:before="240" w:after="60" w:line="240" w:lineRule="auto"/>
      <w:jc w:val="both"/>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CA4"/>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EC3293"/>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9"/>
    <w:rsid w:val="00EC3293"/>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9"/>
    <w:rsid w:val="00EC3293"/>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9"/>
    <w:rsid w:val="00EC3293"/>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9"/>
    <w:rsid w:val="00EC3293"/>
    <w:rPr>
      <w:rFonts w:ascii="Calibri" w:eastAsia="Times New Roman" w:hAnsi="Calibri" w:cs="Times New Roman"/>
      <w:b/>
      <w:bCs/>
      <w:lang w:val="en-US"/>
    </w:rPr>
  </w:style>
  <w:style w:type="character" w:customStyle="1" w:styleId="Heading7Char">
    <w:name w:val="Heading 7 Char"/>
    <w:basedOn w:val="DefaultParagraphFont"/>
    <w:link w:val="Heading7"/>
    <w:uiPriority w:val="99"/>
    <w:rsid w:val="00EC3293"/>
    <w:rPr>
      <w:rFonts w:ascii="Calibri" w:eastAsia="Times New Roman" w:hAnsi="Calibri" w:cs="Times New Roman"/>
      <w:szCs w:val="24"/>
      <w:lang w:val="en-US"/>
    </w:rPr>
  </w:style>
  <w:style w:type="character" w:customStyle="1" w:styleId="Heading8Char">
    <w:name w:val="Heading 8 Char"/>
    <w:basedOn w:val="DefaultParagraphFont"/>
    <w:link w:val="Heading8"/>
    <w:uiPriority w:val="99"/>
    <w:rsid w:val="00EC3293"/>
    <w:rPr>
      <w:rFonts w:ascii="Calibri" w:eastAsia="Times New Roman" w:hAnsi="Calibri" w:cs="Times New Roman"/>
      <w:i/>
      <w:iCs/>
      <w:szCs w:val="24"/>
      <w:lang w:val="en-US"/>
    </w:rPr>
  </w:style>
  <w:style w:type="character" w:customStyle="1" w:styleId="Heading9Char">
    <w:name w:val="Heading 9 Char"/>
    <w:basedOn w:val="DefaultParagraphFont"/>
    <w:link w:val="Heading9"/>
    <w:uiPriority w:val="99"/>
    <w:rsid w:val="00EC3293"/>
    <w:rPr>
      <w:rFonts w:ascii="Cambria" w:eastAsia="Times New Roman" w:hAnsi="Cambria" w:cs="Times New Roman"/>
      <w:lang w:val="en-US"/>
    </w:rPr>
  </w:style>
  <w:style w:type="paragraph" w:styleId="Footer">
    <w:name w:val="footer"/>
    <w:basedOn w:val="Normal"/>
    <w:link w:val="FooterChar"/>
    <w:uiPriority w:val="99"/>
    <w:rsid w:val="001D7363"/>
    <w:pPr>
      <w:tabs>
        <w:tab w:val="center" w:pos="4320"/>
        <w:tab w:val="right" w:pos="8640"/>
      </w:tabs>
    </w:pPr>
  </w:style>
  <w:style w:type="character" w:customStyle="1" w:styleId="FooterChar">
    <w:name w:val="Footer Char"/>
    <w:basedOn w:val="DefaultParagraphFont"/>
    <w:link w:val="Footer"/>
    <w:uiPriority w:val="99"/>
    <w:rsid w:val="001D7363"/>
    <w:rPr>
      <w:rFonts w:ascii="Calibri" w:eastAsia="Calibri" w:hAnsi="Calibri" w:cs="Times New Roman"/>
      <w:lang w:val="en-US"/>
    </w:rPr>
  </w:style>
  <w:style w:type="character" w:styleId="PageNumber">
    <w:name w:val="page number"/>
    <w:basedOn w:val="DefaultParagraphFont"/>
    <w:rsid w:val="001D7363"/>
  </w:style>
  <w:style w:type="paragraph" w:styleId="Header">
    <w:name w:val="header"/>
    <w:basedOn w:val="Normal"/>
    <w:link w:val="HeaderChar"/>
    <w:uiPriority w:val="99"/>
    <w:rsid w:val="001D7363"/>
    <w:pPr>
      <w:tabs>
        <w:tab w:val="center" w:pos="4320"/>
        <w:tab w:val="right" w:pos="8640"/>
      </w:tabs>
    </w:pPr>
  </w:style>
  <w:style w:type="character" w:customStyle="1" w:styleId="HeaderChar">
    <w:name w:val="Header Char"/>
    <w:basedOn w:val="DefaultParagraphFont"/>
    <w:link w:val="Header"/>
    <w:uiPriority w:val="99"/>
    <w:rsid w:val="001D7363"/>
    <w:rPr>
      <w:rFonts w:ascii="Calibri" w:eastAsia="Calibri" w:hAnsi="Calibri" w:cs="Times New Roman"/>
      <w:lang w:val="en-US"/>
    </w:rPr>
  </w:style>
  <w:style w:type="character" w:styleId="Hyperlink">
    <w:name w:val="Hyperlink"/>
    <w:basedOn w:val="DefaultParagraphFont"/>
    <w:uiPriority w:val="99"/>
    <w:rsid w:val="001D7363"/>
    <w:rPr>
      <w:color w:val="0000FF"/>
      <w:u w:val="single"/>
    </w:rPr>
  </w:style>
  <w:style w:type="paragraph" w:customStyle="1" w:styleId="FullTitle">
    <w:name w:val="Full Title"/>
    <w:basedOn w:val="Normal"/>
    <w:link w:val="FullTitleChar"/>
    <w:qFormat/>
    <w:rsid w:val="005F2049"/>
    <w:pPr>
      <w:spacing w:before="240" w:after="120"/>
      <w:jc w:val="center"/>
    </w:pPr>
    <w:rPr>
      <w:rFonts w:ascii="Arial" w:hAnsi="Arial" w:cs="Arial"/>
      <w:b/>
      <w:caps/>
      <w:sz w:val="28"/>
    </w:rPr>
  </w:style>
  <w:style w:type="character" w:customStyle="1" w:styleId="FullTitleChar">
    <w:name w:val="Full Title Char"/>
    <w:basedOn w:val="DefaultParagraphFont"/>
    <w:link w:val="FullTitle"/>
    <w:rsid w:val="005F2049"/>
    <w:rPr>
      <w:rFonts w:ascii="Arial" w:eastAsia="Calibri" w:hAnsi="Arial" w:cs="Arial"/>
      <w:b/>
      <w:caps/>
      <w:sz w:val="28"/>
      <w:lang w:val="en-US"/>
    </w:rPr>
  </w:style>
  <w:style w:type="paragraph" w:customStyle="1" w:styleId="Subtitle1">
    <w:name w:val="Subtitle1"/>
    <w:basedOn w:val="Normal"/>
    <w:link w:val="Subtitle1Char"/>
    <w:qFormat/>
    <w:rsid w:val="005F2049"/>
    <w:pPr>
      <w:spacing w:before="240" w:after="120"/>
      <w:jc w:val="center"/>
    </w:pPr>
    <w:rPr>
      <w:rFonts w:ascii="Arial" w:hAnsi="Arial" w:cs="Arial"/>
      <w:i/>
      <w:sz w:val="20"/>
      <w:szCs w:val="20"/>
    </w:rPr>
  </w:style>
  <w:style w:type="character" w:customStyle="1" w:styleId="Subtitle1Char">
    <w:name w:val="Subtitle1 Char"/>
    <w:basedOn w:val="DefaultParagraphFont"/>
    <w:link w:val="Subtitle1"/>
    <w:rsid w:val="005F2049"/>
    <w:rPr>
      <w:rFonts w:ascii="Arial" w:eastAsia="Calibri" w:hAnsi="Arial" w:cs="Arial"/>
      <w:i/>
      <w:sz w:val="20"/>
      <w:szCs w:val="20"/>
      <w:lang w:val="en-US"/>
    </w:rPr>
  </w:style>
  <w:style w:type="paragraph" w:customStyle="1" w:styleId="ParagraphText">
    <w:name w:val="Paragraph Text"/>
    <w:basedOn w:val="Normal"/>
    <w:link w:val="ParagraphTextChar"/>
    <w:qFormat/>
    <w:rsid w:val="00BB5FD5"/>
    <w:pPr>
      <w:spacing w:before="240" w:after="120"/>
      <w:jc w:val="both"/>
    </w:pPr>
    <w:rPr>
      <w:rFonts w:ascii="Arial" w:hAnsi="Arial" w:cs="Arial"/>
      <w:sz w:val="20"/>
      <w:szCs w:val="20"/>
    </w:rPr>
  </w:style>
  <w:style w:type="character" w:customStyle="1" w:styleId="ParagraphTextChar">
    <w:name w:val="Paragraph Text Char"/>
    <w:basedOn w:val="DefaultParagraphFont"/>
    <w:link w:val="ParagraphText"/>
    <w:rsid w:val="00BB5FD5"/>
    <w:rPr>
      <w:rFonts w:ascii="Arial" w:eastAsia="Calibri" w:hAnsi="Arial" w:cs="Arial"/>
      <w:sz w:val="20"/>
      <w:szCs w:val="20"/>
      <w:lang w:val="en-US"/>
    </w:rPr>
  </w:style>
  <w:style w:type="paragraph" w:customStyle="1" w:styleId="Heading10">
    <w:name w:val="Heading_1"/>
    <w:basedOn w:val="ParagraphText"/>
    <w:link w:val="Heading1Char0"/>
    <w:qFormat/>
    <w:rsid w:val="00357A47"/>
    <w:pPr>
      <w:spacing w:after="60"/>
      <w:jc w:val="center"/>
    </w:pPr>
    <w:rPr>
      <w:b/>
      <w:caps/>
      <w:sz w:val="28"/>
      <w:szCs w:val="28"/>
    </w:rPr>
  </w:style>
  <w:style w:type="character" w:customStyle="1" w:styleId="Heading1Char0">
    <w:name w:val="Heading_1 Char"/>
    <w:basedOn w:val="ParagraphTextChar"/>
    <w:link w:val="Heading10"/>
    <w:rsid w:val="00357A47"/>
    <w:rPr>
      <w:rFonts w:ascii="Arial" w:eastAsia="Calibri" w:hAnsi="Arial" w:cs="Arial"/>
      <w:b/>
      <w:caps/>
      <w:sz w:val="28"/>
      <w:szCs w:val="28"/>
      <w:lang w:val="en-US"/>
    </w:rPr>
  </w:style>
  <w:style w:type="paragraph" w:customStyle="1" w:styleId="Default">
    <w:name w:val="Default"/>
    <w:rsid w:val="00EC3293"/>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1">
    <w:name w:val="CM1"/>
    <w:basedOn w:val="Default"/>
    <w:next w:val="Default"/>
    <w:uiPriority w:val="99"/>
    <w:rsid w:val="00EC3293"/>
    <w:pPr>
      <w:spacing w:line="320" w:lineRule="atLeast"/>
    </w:pPr>
    <w:rPr>
      <w:color w:val="auto"/>
    </w:rPr>
  </w:style>
  <w:style w:type="paragraph" w:customStyle="1" w:styleId="CM8">
    <w:name w:val="CM8"/>
    <w:basedOn w:val="Default"/>
    <w:next w:val="Default"/>
    <w:uiPriority w:val="99"/>
    <w:rsid w:val="00EC3293"/>
    <w:rPr>
      <w:color w:val="auto"/>
    </w:rPr>
  </w:style>
  <w:style w:type="paragraph" w:customStyle="1" w:styleId="CM2">
    <w:name w:val="CM2"/>
    <w:basedOn w:val="Default"/>
    <w:next w:val="Default"/>
    <w:uiPriority w:val="99"/>
    <w:rsid w:val="00EC3293"/>
    <w:pPr>
      <w:spacing w:line="316" w:lineRule="atLeast"/>
    </w:pPr>
    <w:rPr>
      <w:color w:val="auto"/>
    </w:rPr>
  </w:style>
  <w:style w:type="paragraph" w:customStyle="1" w:styleId="CM9">
    <w:name w:val="CM9"/>
    <w:basedOn w:val="Default"/>
    <w:next w:val="Default"/>
    <w:uiPriority w:val="99"/>
    <w:rsid w:val="00EC3293"/>
    <w:rPr>
      <w:color w:val="auto"/>
    </w:rPr>
  </w:style>
  <w:style w:type="paragraph" w:customStyle="1" w:styleId="CM3">
    <w:name w:val="CM3"/>
    <w:basedOn w:val="Default"/>
    <w:next w:val="Default"/>
    <w:uiPriority w:val="99"/>
    <w:rsid w:val="00EC3293"/>
    <w:rPr>
      <w:color w:val="auto"/>
    </w:rPr>
  </w:style>
  <w:style w:type="paragraph" w:customStyle="1" w:styleId="CM4">
    <w:name w:val="CM4"/>
    <w:basedOn w:val="Default"/>
    <w:next w:val="Default"/>
    <w:uiPriority w:val="99"/>
    <w:rsid w:val="00EC3293"/>
    <w:pPr>
      <w:spacing w:line="323" w:lineRule="atLeast"/>
    </w:pPr>
    <w:rPr>
      <w:color w:val="auto"/>
    </w:rPr>
  </w:style>
  <w:style w:type="paragraph" w:customStyle="1" w:styleId="CM5">
    <w:name w:val="CM5"/>
    <w:basedOn w:val="Default"/>
    <w:next w:val="Default"/>
    <w:uiPriority w:val="99"/>
    <w:rsid w:val="00EC3293"/>
    <w:pPr>
      <w:spacing w:line="323" w:lineRule="atLeast"/>
    </w:pPr>
    <w:rPr>
      <w:color w:val="auto"/>
    </w:rPr>
  </w:style>
  <w:style w:type="paragraph" w:customStyle="1" w:styleId="CM6">
    <w:name w:val="CM6"/>
    <w:basedOn w:val="Default"/>
    <w:next w:val="Default"/>
    <w:uiPriority w:val="99"/>
    <w:rsid w:val="00EC3293"/>
    <w:pPr>
      <w:spacing w:line="323" w:lineRule="atLeast"/>
    </w:pPr>
    <w:rPr>
      <w:color w:val="auto"/>
    </w:rPr>
  </w:style>
  <w:style w:type="paragraph" w:customStyle="1" w:styleId="CM7">
    <w:name w:val="CM7"/>
    <w:basedOn w:val="Default"/>
    <w:next w:val="Default"/>
    <w:uiPriority w:val="99"/>
    <w:rsid w:val="00EC3293"/>
    <w:pPr>
      <w:spacing w:line="323" w:lineRule="atLeast"/>
    </w:pPr>
    <w:rPr>
      <w:color w:val="auto"/>
    </w:rPr>
  </w:style>
  <w:style w:type="paragraph" w:customStyle="1" w:styleId="CM13">
    <w:name w:val="CM13"/>
    <w:basedOn w:val="Default"/>
    <w:next w:val="Default"/>
    <w:uiPriority w:val="99"/>
    <w:rsid w:val="00EC3293"/>
    <w:rPr>
      <w:color w:val="auto"/>
    </w:rPr>
  </w:style>
  <w:style w:type="paragraph" w:customStyle="1" w:styleId="CM16">
    <w:name w:val="CM16"/>
    <w:basedOn w:val="Default"/>
    <w:next w:val="Default"/>
    <w:uiPriority w:val="99"/>
    <w:rsid w:val="00EC3293"/>
    <w:rPr>
      <w:color w:val="auto"/>
    </w:rPr>
  </w:style>
  <w:style w:type="paragraph" w:styleId="Title">
    <w:name w:val="Title"/>
    <w:basedOn w:val="Normal"/>
    <w:next w:val="Normal"/>
    <w:link w:val="TitleChar"/>
    <w:uiPriority w:val="10"/>
    <w:qFormat/>
    <w:rsid w:val="00EC3293"/>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EC3293"/>
    <w:rPr>
      <w:rFonts w:ascii="Cambria" w:eastAsia="Times New Roman" w:hAnsi="Cambria" w:cs="Times New Roman"/>
      <w:b/>
      <w:bCs/>
      <w:kern w:val="28"/>
      <w:sz w:val="32"/>
      <w:szCs w:val="32"/>
      <w:lang w:val="en-US"/>
    </w:rPr>
  </w:style>
  <w:style w:type="paragraph" w:styleId="Subtitle">
    <w:name w:val="Subtitle"/>
    <w:basedOn w:val="Normal"/>
    <w:next w:val="Normal"/>
    <w:link w:val="SubtitleChar"/>
    <w:uiPriority w:val="99"/>
    <w:qFormat/>
    <w:rsid w:val="00EC3293"/>
    <w:pPr>
      <w:spacing w:after="60" w:line="240" w:lineRule="auto"/>
      <w:jc w:val="center"/>
      <w:outlineLvl w:val="1"/>
    </w:pPr>
    <w:rPr>
      <w:rFonts w:ascii="Cambria" w:eastAsia="Times New Roman" w:hAnsi="Cambria"/>
      <w:szCs w:val="24"/>
    </w:rPr>
  </w:style>
  <w:style w:type="character" w:customStyle="1" w:styleId="SubtitleChar">
    <w:name w:val="Subtitle Char"/>
    <w:basedOn w:val="DefaultParagraphFont"/>
    <w:link w:val="Subtitle"/>
    <w:uiPriority w:val="99"/>
    <w:rsid w:val="00EC3293"/>
    <w:rPr>
      <w:rFonts w:ascii="Cambria" w:eastAsia="Times New Roman" w:hAnsi="Cambria" w:cs="Times New Roman"/>
      <w:szCs w:val="24"/>
      <w:lang w:val="en-US"/>
    </w:rPr>
  </w:style>
  <w:style w:type="character" w:styleId="Strong">
    <w:name w:val="Strong"/>
    <w:basedOn w:val="DefaultParagraphFont"/>
    <w:uiPriority w:val="22"/>
    <w:qFormat/>
    <w:rsid w:val="00EC3293"/>
    <w:rPr>
      <w:rFonts w:cs="Times New Roman"/>
      <w:b/>
      <w:bCs/>
    </w:rPr>
  </w:style>
  <w:style w:type="character" w:styleId="Emphasis">
    <w:name w:val="Emphasis"/>
    <w:basedOn w:val="DefaultParagraphFont"/>
    <w:uiPriority w:val="20"/>
    <w:qFormat/>
    <w:rsid w:val="00EC3293"/>
    <w:rPr>
      <w:rFonts w:ascii="Calibri" w:hAnsi="Calibri" w:cs="Times New Roman"/>
      <w:b/>
      <w:i/>
      <w:iCs/>
    </w:rPr>
  </w:style>
  <w:style w:type="paragraph" w:styleId="NoSpacing">
    <w:name w:val="No Spacing"/>
    <w:basedOn w:val="Normal"/>
    <w:uiPriority w:val="99"/>
    <w:qFormat/>
    <w:rsid w:val="00EC3293"/>
    <w:pPr>
      <w:spacing w:after="0" w:line="240" w:lineRule="auto"/>
      <w:jc w:val="both"/>
    </w:pPr>
    <w:rPr>
      <w:rFonts w:eastAsia="Times New Roman"/>
      <w:szCs w:val="32"/>
    </w:rPr>
  </w:style>
  <w:style w:type="paragraph" w:styleId="ListParagraph">
    <w:name w:val="List Paragraph"/>
    <w:basedOn w:val="Normal"/>
    <w:link w:val="ListParagraphChar"/>
    <w:uiPriority w:val="34"/>
    <w:qFormat/>
    <w:rsid w:val="00EC3293"/>
    <w:pPr>
      <w:spacing w:after="0" w:line="240" w:lineRule="auto"/>
      <w:ind w:left="720"/>
      <w:contextualSpacing/>
      <w:jc w:val="both"/>
    </w:pPr>
    <w:rPr>
      <w:rFonts w:eastAsia="Times New Roman"/>
      <w:szCs w:val="24"/>
    </w:rPr>
  </w:style>
  <w:style w:type="character" w:customStyle="1" w:styleId="ListParagraphChar">
    <w:name w:val="List Paragraph Char"/>
    <w:basedOn w:val="DefaultParagraphFont"/>
    <w:link w:val="ListParagraph"/>
    <w:uiPriority w:val="99"/>
    <w:locked/>
    <w:rsid w:val="00EC3293"/>
    <w:rPr>
      <w:rFonts w:ascii="Calibri" w:eastAsia="Times New Roman" w:hAnsi="Calibri" w:cs="Times New Roman"/>
      <w:szCs w:val="24"/>
      <w:lang w:val="en-US"/>
    </w:rPr>
  </w:style>
  <w:style w:type="paragraph" w:styleId="Quote">
    <w:name w:val="Quote"/>
    <w:basedOn w:val="Normal"/>
    <w:next w:val="Normal"/>
    <w:link w:val="QuoteChar"/>
    <w:uiPriority w:val="99"/>
    <w:qFormat/>
    <w:rsid w:val="00EC3293"/>
    <w:pPr>
      <w:spacing w:after="0" w:line="240" w:lineRule="auto"/>
      <w:jc w:val="both"/>
    </w:pPr>
    <w:rPr>
      <w:rFonts w:eastAsia="Times New Roman"/>
      <w:i/>
      <w:szCs w:val="24"/>
    </w:rPr>
  </w:style>
  <w:style w:type="character" w:customStyle="1" w:styleId="QuoteChar">
    <w:name w:val="Quote Char"/>
    <w:basedOn w:val="DefaultParagraphFont"/>
    <w:link w:val="Quote"/>
    <w:uiPriority w:val="99"/>
    <w:rsid w:val="00EC3293"/>
    <w:rPr>
      <w:rFonts w:ascii="Calibri" w:eastAsia="Times New Roman" w:hAnsi="Calibri" w:cs="Times New Roman"/>
      <w:i/>
      <w:szCs w:val="24"/>
      <w:lang w:val="en-US"/>
    </w:rPr>
  </w:style>
  <w:style w:type="paragraph" w:styleId="IntenseQuote">
    <w:name w:val="Intense Quote"/>
    <w:basedOn w:val="Normal"/>
    <w:next w:val="Normal"/>
    <w:link w:val="IntenseQuoteChar"/>
    <w:uiPriority w:val="99"/>
    <w:qFormat/>
    <w:rsid w:val="00EC3293"/>
    <w:pPr>
      <w:spacing w:after="0" w:line="240" w:lineRule="auto"/>
      <w:ind w:left="720" w:right="720"/>
      <w:jc w:val="both"/>
    </w:pPr>
    <w:rPr>
      <w:rFonts w:eastAsia="Times New Roman"/>
      <w:b/>
      <w:i/>
    </w:rPr>
  </w:style>
  <w:style w:type="character" w:customStyle="1" w:styleId="IntenseQuoteChar">
    <w:name w:val="Intense Quote Char"/>
    <w:basedOn w:val="DefaultParagraphFont"/>
    <w:link w:val="IntenseQuote"/>
    <w:uiPriority w:val="99"/>
    <w:rsid w:val="00EC3293"/>
    <w:rPr>
      <w:rFonts w:ascii="Calibri" w:eastAsia="Times New Roman" w:hAnsi="Calibri" w:cs="Times New Roman"/>
      <w:b/>
      <w:i/>
      <w:lang w:val="en-US"/>
    </w:rPr>
  </w:style>
  <w:style w:type="character" w:styleId="SubtleEmphasis">
    <w:name w:val="Subtle Emphasis"/>
    <w:basedOn w:val="DefaultParagraphFont"/>
    <w:uiPriority w:val="99"/>
    <w:qFormat/>
    <w:rsid w:val="00EC3293"/>
    <w:rPr>
      <w:rFonts w:cs="Times New Roman"/>
      <w:i/>
      <w:color w:val="5A5A5A"/>
    </w:rPr>
  </w:style>
  <w:style w:type="character" w:styleId="IntenseEmphasis">
    <w:name w:val="Intense Emphasis"/>
    <w:basedOn w:val="DefaultParagraphFont"/>
    <w:uiPriority w:val="99"/>
    <w:qFormat/>
    <w:rsid w:val="00EC3293"/>
    <w:rPr>
      <w:rFonts w:cs="Times New Roman"/>
      <w:b/>
      <w:i/>
      <w:sz w:val="24"/>
      <w:szCs w:val="24"/>
      <w:u w:val="single"/>
    </w:rPr>
  </w:style>
  <w:style w:type="character" w:styleId="SubtleReference">
    <w:name w:val="Subtle Reference"/>
    <w:basedOn w:val="DefaultParagraphFont"/>
    <w:uiPriority w:val="99"/>
    <w:qFormat/>
    <w:rsid w:val="00EC3293"/>
    <w:rPr>
      <w:rFonts w:cs="Times New Roman"/>
      <w:sz w:val="24"/>
      <w:szCs w:val="24"/>
      <w:u w:val="single"/>
    </w:rPr>
  </w:style>
  <w:style w:type="character" w:styleId="IntenseReference">
    <w:name w:val="Intense Reference"/>
    <w:basedOn w:val="DefaultParagraphFont"/>
    <w:uiPriority w:val="99"/>
    <w:qFormat/>
    <w:rsid w:val="00EC3293"/>
    <w:rPr>
      <w:rFonts w:cs="Times New Roman"/>
      <w:b/>
      <w:sz w:val="24"/>
      <w:u w:val="single"/>
    </w:rPr>
  </w:style>
  <w:style w:type="character" w:styleId="BookTitle">
    <w:name w:val="Book Title"/>
    <w:basedOn w:val="DefaultParagraphFont"/>
    <w:uiPriority w:val="99"/>
    <w:qFormat/>
    <w:rsid w:val="00EC3293"/>
    <w:rPr>
      <w:rFonts w:ascii="Cambria" w:hAnsi="Cambria" w:cs="Times New Roman"/>
      <w:b/>
      <w:i/>
      <w:sz w:val="24"/>
      <w:szCs w:val="24"/>
    </w:rPr>
  </w:style>
  <w:style w:type="paragraph" w:styleId="TOCHeading">
    <w:name w:val="TOC Heading"/>
    <w:basedOn w:val="Heading1"/>
    <w:next w:val="Normal"/>
    <w:uiPriority w:val="39"/>
    <w:qFormat/>
    <w:rsid w:val="00EC3293"/>
    <w:pPr>
      <w:keepLines w:val="0"/>
      <w:spacing w:before="360" w:after="240"/>
      <w:jc w:val="center"/>
      <w:outlineLvl w:val="9"/>
    </w:pPr>
    <w:rPr>
      <w:rFonts w:ascii="Arial" w:eastAsia="Times New Roman" w:hAnsi="Arial" w:cs="Times New Roman"/>
      <w:b/>
      <w:bCs/>
      <w:caps/>
      <w:color w:val="auto"/>
      <w:kern w:val="32"/>
      <w:sz w:val="28"/>
    </w:rPr>
  </w:style>
  <w:style w:type="paragraph" w:customStyle="1" w:styleId="Style1">
    <w:name w:val="Style1"/>
    <w:basedOn w:val="ListParagraph"/>
    <w:link w:val="Style1Char"/>
    <w:uiPriority w:val="99"/>
    <w:rsid w:val="00EC3293"/>
    <w:pPr>
      <w:spacing w:before="120" w:after="120"/>
      <w:ind w:left="432"/>
      <w:contextualSpacing w:val="0"/>
    </w:pPr>
  </w:style>
  <w:style w:type="character" w:customStyle="1" w:styleId="Style1Char">
    <w:name w:val="Style1 Char"/>
    <w:basedOn w:val="ListParagraphChar"/>
    <w:link w:val="Style1"/>
    <w:uiPriority w:val="99"/>
    <w:locked/>
    <w:rsid w:val="00EC3293"/>
    <w:rPr>
      <w:rFonts w:ascii="Calibri" w:eastAsia="Times New Roman" w:hAnsi="Calibri" w:cs="Times New Roman"/>
      <w:szCs w:val="24"/>
      <w:lang w:val="en-US"/>
    </w:rPr>
  </w:style>
  <w:style w:type="paragraph" w:styleId="TOC1">
    <w:name w:val="toc 1"/>
    <w:basedOn w:val="Normal"/>
    <w:next w:val="Normal"/>
    <w:autoRedefine/>
    <w:uiPriority w:val="39"/>
    <w:rsid w:val="00E302EE"/>
    <w:pPr>
      <w:tabs>
        <w:tab w:val="right" w:leader="dot" w:pos="8626"/>
      </w:tabs>
      <w:spacing w:before="120" w:after="120"/>
    </w:pPr>
    <w:rPr>
      <w:rFonts w:ascii="Arial" w:eastAsia="Times New Roman" w:hAnsi="Arial"/>
      <w:caps/>
      <w:sz w:val="20"/>
      <w:szCs w:val="24"/>
    </w:rPr>
  </w:style>
  <w:style w:type="paragraph" w:styleId="TOC2">
    <w:name w:val="toc 2"/>
    <w:basedOn w:val="Normal"/>
    <w:next w:val="Normal"/>
    <w:autoRedefine/>
    <w:uiPriority w:val="39"/>
    <w:rsid w:val="00BC77B9"/>
    <w:pPr>
      <w:tabs>
        <w:tab w:val="right" w:leader="dot" w:pos="8640"/>
      </w:tabs>
      <w:spacing w:before="240" w:after="100"/>
      <w:ind w:left="215"/>
    </w:pPr>
    <w:rPr>
      <w:rFonts w:ascii="Arial" w:eastAsia="Times New Roman" w:hAnsi="Arial" w:cs="Arial"/>
      <w:noProof/>
      <w:sz w:val="20"/>
      <w:szCs w:val="24"/>
      <w:lang w:val="en-GB"/>
    </w:rPr>
  </w:style>
  <w:style w:type="paragraph" w:customStyle="1" w:styleId="Heading20">
    <w:name w:val="Heading_2"/>
    <w:basedOn w:val="Heading2"/>
    <w:link w:val="Heading2Char0"/>
    <w:qFormat/>
    <w:rsid w:val="00BD225D"/>
    <w:pPr>
      <w:spacing w:before="240" w:after="120"/>
      <w:jc w:val="center"/>
    </w:pPr>
    <w:rPr>
      <w:rFonts w:ascii="Arial" w:hAnsi="Arial" w:cs="Arial"/>
      <w:b/>
      <w:caps/>
      <w:color w:val="auto"/>
      <w:sz w:val="20"/>
      <w:szCs w:val="20"/>
    </w:rPr>
  </w:style>
  <w:style w:type="character" w:customStyle="1" w:styleId="Heading2Char0">
    <w:name w:val="Heading_2 Char"/>
    <w:basedOn w:val="Heading2Char"/>
    <w:link w:val="Heading20"/>
    <w:rsid w:val="00BD225D"/>
    <w:rPr>
      <w:rFonts w:ascii="Arial" w:eastAsiaTheme="majorEastAsia" w:hAnsi="Arial" w:cs="Arial"/>
      <w:b/>
      <w:caps/>
      <w:color w:val="2E74B5" w:themeColor="accent1" w:themeShade="BF"/>
      <w:sz w:val="20"/>
      <w:szCs w:val="20"/>
      <w:lang w:val="en-US"/>
    </w:rPr>
  </w:style>
  <w:style w:type="paragraph" w:styleId="BodyText">
    <w:name w:val="Body Text"/>
    <w:basedOn w:val="Normal"/>
    <w:link w:val="BodyTextChar"/>
    <w:rsid w:val="00AA15D0"/>
    <w:pPr>
      <w:spacing w:after="120"/>
      <w:jc w:val="both"/>
    </w:pPr>
  </w:style>
  <w:style w:type="character" w:customStyle="1" w:styleId="BodyTextChar">
    <w:name w:val="Body Text Char"/>
    <w:basedOn w:val="DefaultParagraphFont"/>
    <w:link w:val="BodyText"/>
    <w:rsid w:val="00AA15D0"/>
    <w:rPr>
      <w:rFonts w:ascii="Calibri" w:eastAsia="Calibri" w:hAnsi="Calibri" w:cs="Times New Roman"/>
      <w:lang w:val="en-US"/>
    </w:rPr>
  </w:style>
  <w:style w:type="paragraph" w:styleId="TOC3">
    <w:name w:val="toc 3"/>
    <w:basedOn w:val="Normal"/>
    <w:next w:val="Normal"/>
    <w:autoRedefine/>
    <w:uiPriority w:val="39"/>
    <w:unhideWhenUsed/>
    <w:rsid w:val="00BC77B9"/>
    <w:pPr>
      <w:spacing w:after="0"/>
      <w:ind w:left="442"/>
    </w:pPr>
    <w:rPr>
      <w:rFonts w:ascii="Arial" w:hAnsi="Arial"/>
      <w:sz w:val="20"/>
    </w:rPr>
  </w:style>
  <w:style w:type="paragraph" w:styleId="NormalWeb">
    <w:name w:val="Normal (Web)"/>
    <w:basedOn w:val="Normal"/>
    <w:uiPriority w:val="99"/>
    <w:unhideWhenUsed/>
    <w:rsid w:val="00636489"/>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basedOn w:val="DefaultParagraphFont"/>
    <w:semiHidden/>
    <w:rsid w:val="0009322B"/>
    <w:rPr>
      <w:rFonts w:cs="Times New Roman"/>
      <w:vertAlign w:val="superscript"/>
    </w:rPr>
  </w:style>
  <w:style w:type="paragraph" w:styleId="TOC4">
    <w:name w:val="toc 4"/>
    <w:basedOn w:val="Normal"/>
    <w:next w:val="Normal"/>
    <w:autoRedefine/>
    <w:uiPriority w:val="39"/>
    <w:unhideWhenUsed/>
    <w:rsid w:val="000D639B"/>
    <w:pPr>
      <w:spacing w:after="100" w:line="259" w:lineRule="auto"/>
      <w:ind w:left="660"/>
    </w:pPr>
    <w:rPr>
      <w:rFonts w:asciiTheme="minorHAnsi" w:eastAsiaTheme="minorEastAsia" w:hAnsiTheme="minorHAnsi" w:cstheme="minorBidi"/>
      <w:lang w:val="en-SG" w:eastAsia="en-SG"/>
    </w:rPr>
  </w:style>
  <w:style w:type="paragraph" w:styleId="TOC5">
    <w:name w:val="toc 5"/>
    <w:basedOn w:val="Normal"/>
    <w:next w:val="Normal"/>
    <w:autoRedefine/>
    <w:uiPriority w:val="39"/>
    <w:unhideWhenUsed/>
    <w:rsid w:val="000D639B"/>
    <w:pPr>
      <w:spacing w:after="100" w:line="259" w:lineRule="auto"/>
      <w:ind w:left="880"/>
    </w:pPr>
    <w:rPr>
      <w:rFonts w:asciiTheme="minorHAnsi" w:eastAsiaTheme="minorEastAsia" w:hAnsiTheme="minorHAnsi" w:cstheme="minorBidi"/>
      <w:lang w:val="en-SG" w:eastAsia="en-SG"/>
    </w:rPr>
  </w:style>
  <w:style w:type="paragraph" w:styleId="TOC6">
    <w:name w:val="toc 6"/>
    <w:basedOn w:val="Normal"/>
    <w:next w:val="Normal"/>
    <w:autoRedefine/>
    <w:uiPriority w:val="39"/>
    <w:unhideWhenUsed/>
    <w:rsid w:val="000D639B"/>
    <w:pPr>
      <w:spacing w:after="100" w:line="259" w:lineRule="auto"/>
      <w:ind w:left="1100"/>
    </w:pPr>
    <w:rPr>
      <w:rFonts w:asciiTheme="minorHAnsi" w:eastAsiaTheme="minorEastAsia" w:hAnsiTheme="minorHAnsi" w:cstheme="minorBidi"/>
      <w:lang w:val="en-SG" w:eastAsia="en-SG"/>
    </w:rPr>
  </w:style>
  <w:style w:type="paragraph" w:styleId="TOC7">
    <w:name w:val="toc 7"/>
    <w:basedOn w:val="Normal"/>
    <w:next w:val="Normal"/>
    <w:autoRedefine/>
    <w:uiPriority w:val="39"/>
    <w:unhideWhenUsed/>
    <w:rsid w:val="000D639B"/>
    <w:pPr>
      <w:spacing w:after="100" w:line="259" w:lineRule="auto"/>
      <w:ind w:left="1320"/>
    </w:pPr>
    <w:rPr>
      <w:rFonts w:asciiTheme="minorHAnsi" w:eastAsiaTheme="minorEastAsia" w:hAnsiTheme="minorHAnsi" w:cstheme="minorBidi"/>
      <w:lang w:val="en-SG" w:eastAsia="en-SG"/>
    </w:rPr>
  </w:style>
  <w:style w:type="paragraph" w:styleId="TOC8">
    <w:name w:val="toc 8"/>
    <w:basedOn w:val="Normal"/>
    <w:next w:val="Normal"/>
    <w:autoRedefine/>
    <w:uiPriority w:val="39"/>
    <w:unhideWhenUsed/>
    <w:rsid w:val="000D639B"/>
    <w:pPr>
      <w:spacing w:after="100" w:line="259" w:lineRule="auto"/>
      <w:ind w:left="1540"/>
    </w:pPr>
    <w:rPr>
      <w:rFonts w:asciiTheme="minorHAnsi" w:eastAsiaTheme="minorEastAsia" w:hAnsiTheme="minorHAnsi" w:cstheme="minorBidi"/>
      <w:lang w:val="en-SG" w:eastAsia="en-SG"/>
    </w:rPr>
  </w:style>
  <w:style w:type="paragraph" w:styleId="TOC9">
    <w:name w:val="toc 9"/>
    <w:basedOn w:val="Normal"/>
    <w:next w:val="Normal"/>
    <w:autoRedefine/>
    <w:uiPriority w:val="39"/>
    <w:unhideWhenUsed/>
    <w:rsid w:val="000D639B"/>
    <w:pPr>
      <w:spacing w:after="100" w:line="259" w:lineRule="auto"/>
      <w:ind w:left="1760"/>
    </w:pPr>
    <w:rPr>
      <w:rFonts w:asciiTheme="minorHAnsi" w:eastAsiaTheme="minorEastAsia" w:hAnsiTheme="minorHAnsi" w:cstheme="minorBidi"/>
      <w:lang w:val="en-SG" w:eastAsia="en-SG"/>
    </w:rPr>
  </w:style>
  <w:style w:type="paragraph" w:styleId="FootnoteText">
    <w:name w:val="footnote text"/>
    <w:basedOn w:val="Normal"/>
    <w:link w:val="FootnoteTextChar"/>
    <w:semiHidden/>
    <w:unhideWhenUsed/>
    <w:rsid w:val="00C61B33"/>
    <w:pPr>
      <w:spacing w:after="120"/>
      <w:jc w:val="both"/>
    </w:pPr>
    <w:rPr>
      <w:rFonts w:ascii="Arial" w:eastAsia="Times New Roman" w:hAnsi="Arial"/>
      <w:sz w:val="20"/>
      <w:szCs w:val="20"/>
      <w:lang w:val="x-none"/>
    </w:rPr>
  </w:style>
  <w:style w:type="character" w:customStyle="1" w:styleId="FootnoteTextChar">
    <w:name w:val="Footnote Text Char"/>
    <w:basedOn w:val="DefaultParagraphFont"/>
    <w:link w:val="FootnoteText"/>
    <w:semiHidden/>
    <w:rsid w:val="00C61B33"/>
    <w:rPr>
      <w:rFonts w:ascii="Arial" w:eastAsia="Times New Roman" w:hAnsi="Arial"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88473">
      <w:bodyDiv w:val="1"/>
      <w:marLeft w:val="0"/>
      <w:marRight w:val="0"/>
      <w:marTop w:val="0"/>
      <w:marBottom w:val="0"/>
      <w:divBdr>
        <w:top w:val="none" w:sz="0" w:space="0" w:color="auto"/>
        <w:left w:val="none" w:sz="0" w:space="0" w:color="auto"/>
        <w:bottom w:val="none" w:sz="0" w:space="0" w:color="auto"/>
        <w:right w:val="none" w:sz="0" w:space="0" w:color="auto"/>
      </w:divBdr>
    </w:div>
    <w:div w:id="157936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90A01-E33B-42F4-903C-23857D02C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Priya Somasundram</dc:creator>
  <cp:keywords/>
  <dc:description/>
  <cp:lastModifiedBy>Chan Sze Wei</cp:lastModifiedBy>
  <cp:revision>5</cp:revision>
  <cp:lastPrinted>2016-08-26T04:55:00Z</cp:lastPrinted>
  <dcterms:created xsi:type="dcterms:W3CDTF">2016-08-25T05:47:00Z</dcterms:created>
  <dcterms:modified xsi:type="dcterms:W3CDTF">2016-08-26T04:56:00Z</dcterms:modified>
</cp:coreProperties>
</file>