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B4F" w:rsidRDefault="00C7695E" w:rsidP="00E817B9">
      <w:pPr>
        <w:pStyle w:val="CILTitle"/>
      </w:pPr>
      <w:r>
        <w:t xml:space="preserve">2004 </w:t>
      </w:r>
      <w:r w:rsidRPr="00C7695E">
        <w:t>First Protocol to Amend the Protocol on Special Arrangements on Sensitive and Highly Sensitive Products</w:t>
      </w:r>
    </w:p>
    <w:p w:rsidR="00C7695E" w:rsidRDefault="00C7695E" w:rsidP="00E817B9">
      <w:pPr>
        <w:pStyle w:val="CILSubtitle"/>
      </w:pPr>
      <w:r>
        <w:t>Signed in Jakarta, Indonesia on 3</w:t>
      </w:r>
      <w:r w:rsidR="00453B98" w:rsidRPr="00453B98">
        <w:rPr>
          <w:vertAlign w:val="superscript"/>
        </w:rPr>
        <w:t>rd</w:t>
      </w:r>
      <w:r>
        <w:t xml:space="preserve"> September 2004</w:t>
      </w:r>
    </w:p>
    <w:p w:rsidR="00C7695E" w:rsidRDefault="00C7695E" w:rsidP="00E817B9"/>
    <w:p w:rsidR="00C7695E" w:rsidRDefault="00C7695E" w:rsidP="00E817B9">
      <w:r>
        <w:t>The Governments of Brunei Darussalam, the Kingdom of Cambodia, the Republic of Indonesia, the Lao People's Democratic Republic, Malaysia, the Union of Myanmar, the Republic of the Philippines, the Republic of Singapore, the Kingdom of Thailand and the Socialist Republic of Viet Nam, Member States of the Association of Southeast Asian Nations (hereinafter referred to as "ASEAN");</w:t>
      </w:r>
    </w:p>
    <w:p w:rsidR="00C7695E" w:rsidRDefault="00C7695E" w:rsidP="00E817B9">
      <w:r w:rsidRPr="00453B98">
        <w:rPr>
          <w:b/>
        </w:rPr>
        <w:t>NOTING</w:t>
      </w:r>
      <w:r>
        <w:t xml:space="preserve"> the Protocol on the Special Arrangement for Sensitive and Highly Sensitive Products (hereinafter referred to as "the Protocol") signed in Singapore on 30 September 1999;</w:t>
      </w:r>
    </w:p>
    <w:p w:rsidR="00C7695E" w:rsidRDefault="00C7695E" w:rsidP="00E817B9">
      <w:r w:rsidRPr="00453B98">
        <w:rPr>
          <w:b/>
        </w:rPr>
        <w:t>RECALLING</w:t>
      </w:r>
      <w:r>
        <w:t xml:space="preserve"> the decision of the ASEAN Economic Ministers in Ha </w:t>
      </w:r>
      <w:proofErr w:type="spellStart"/>
      <w:r>
        <w:t>Noi</w:t>
      </w:r>
      <w:proofErr w:type="spellEnd"/>
      <w:r>
        <w:t>, Viet Nam on 15 September 2001 to allow Indonesia and the Philippines to transfer sugar from the Temporary Exclusion List to the Highly Sensitive and Sensitive Lists, respectively, while taking into account the interest of Thailand as the largest supplier of sugar in ASEAN;</w:t>
      </w:r>
    </w:p>
    <w:p w:rsidR="00C7695E" w:rsidRDefault="00C7695E" w:rsidP="00E817B9">
      <w:r w:rsidRPr="00453B98">
        <w:rPr>
          <w:b/>
        </w:rPr>
        <w:t>RECOGNISING</w:t>
      </w:r>
      <w:r>
        <w:t xml:space="preserve"> the need to amend the Protocol to reflect the decision of the Ministers;</w:t>
      </w:r>
    </w:p>
    <w:p w:rsidR="00C7695E" w:rsidRPr="00453B98" w:rsidRDefault="00C7695E" w:rsidP="00E817B9">
      <w:pPr>
        <w:rPr>
          <w:b/>
        </w:rPr>
      </w:pPr>
      <w:r w:rsidRPr="00453B98">
        <w:rPr>
          <w:b/>
        </w:rPr>
        <w:t>HAVE AGREED AS FOLLOWS:</w:t>
      </w:r>
    </w:p>
    <w:p w:rsidR="00C7695E" w:rsidRDefault="00C7695E" w:rsidP="00E817B9">
      <w:pPr>
        <w:pStyle w:val="Heading1"/>
      </w:pPr>
      <w:r>
        <w:t>ARTICLE I</w:t>
      </w:r>
    </w:p>
    <w:p w:rsidR="00C7695E" w:rsidRDefault="00C7695E" w:rsidP="00E817B9">
      <w:pPr>
        <w:pStyle w:val="ListParagraph"/>
        <w:numPr>
          <w:ilvl w:val="0"/>
          <w:numId w:val="2"/>
        </w:numPr>
        <w:ind w:left="714" w:hanging="357"/>
        <w:contextualSpacing w:val="0"/>
      </w:pPr>
      <w:r>
        <w:t>The following products shall be inserted in the Sensitive List of the Philippines in Annex 2 of the Protocol:</w:t>
      </w: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2287"/>
        <w:gridCol w:w="6208"/>
      </w:tblGrid>
      <w:tr w:rsidR="00C7695E" w:rsidTr="008418B9">
        <w:trPr>
          <w:trHeight w:val="559"/>
        </w:trPr>
        <w:tc>
          <w:tcPr>
            <w:tcW w:w="9318" w:type="dxa"/>
            <w:gridSpan w:val="3"/>
            <w:shd w:val="clear" w:color="auto" w:fill="auto"/>
          </w:tcPr>
          <w:p w:rsidR="00C7695E" w:rsidRPr="00E817B9" w:rsidRDefault="00C7695E" w:rsidP="00453B98">
            <w:pPr>
              <w:spacing w:line="240" w:lineRule="auto"/>
              <w:jc w:val="center"/>
              <w:rPr>
                <w:b/>
              </w:rPr>
            </w:pPr>
            <w:r w:rsidRPr="00E817B9">
              <w:rPr>
                <w:b/>
              </w:rPr>
              <w:t>Philippines</w:t>
            </w:r>
          </w:p>
        </w:tc>
      </w:tr>
      <w:tr w:rsidR="00C7695E" w:rsidTr="008418B9">
        <w:trPr>
          <w:trHeight w:val="347"/>
        </w:trPr>
        <w:tc>
          <w:tcPr>
            <w:tcW w:w="823" w:type="dxa"/>
            <w:shd w:val="clear" w:color="auto" w:fill="auto"/>
          </w:tcPr>
          <w:p w:rsidR="00C7695E" w:rsidRPr="00E817B9" w:rsidRDefault="00C7695E" w:rsidP="00453B98">
            <w:pPr>
              <w:spacing w:line="240" w:lineRule="auto"/>
              <w:jc w:val="center"/>
              <w:rPr>
                <w:b/>
              </w:rPr>
            </w:pPr>
            <w:r w:rsidRPr="00E817B9">
              <w:rPr>
                <w:b/>
              </w:rPr>
              <w:t>No.</w:t>
            </w:r>
          </w:p>
        </w:tc>
        <w:tc>
          <w:tcPr>
            <w:tcW w:w="2287" w:type="dxa"/>
            <w:shd w:val="clear" w:color="auto" w:fill="auto"/>
          </w:tcPr>
          <w:p w:rsidR="00C7695E" w:rsidRPr="00E817B9" w:rsidRDefault="00C7695E" w:rsidP="00453B98">
            <w:pPr>
              <w:spacing w:line="240" w:lineRule="auto"/>
              <w:jc w:val="center"/>
              <w:rPr>
                <w:b/>
              </w:rPr>
            </w:pPr>
            <w:r w:rsidRPr="00E817B9">
              <w:rPr>
                <w:b/>
              </w:rPr>
              <w:t>HS Code</w:t>
            </w:r>
          </w:p>
        </w:tc>
        <w:tc>
          <w:tcPr>
            <w:tcW w:w="6208" w:type="dxa"/>
            <w:shd w:val="clear" w:color="auto" w:fill="auto"/>
          </w:tcPr>
          <w:p w:rsidR="00C7695E" w:rsidRPr="00E817B9" w:rsidRDefault="00C7695E" w:rsidP="00453B98">
            <w:pPr>
              <w:spacing w:line="240" w:lineRule="auto"/>
              <w:jc w:val="center"/>
              <w:rPr>
                <w:b/>
              </w:rPr>
            </w:pPr>
            <w:r w:rsidRPr="00E817B9">
              <w:rPr>
                <w:b/>
              </w:rPr>
              <w:t>Description</w:t>
            </w:r>
          </w:p>
        </w:tc>
      </w:tr>
      <w:tr w:rsidR="00C7695E" w:rsidTr="008418B9">
        <w:trPr>
          <w:trHeight w:val="546"/>
        </w:trPr>
        <w:tc>
          <w:tcPr>
            <w:tcW w:w="823" w:type="dxa"/>
            <w:shd w:val="clear" w:color="auto" w:fill="auto"/>
          </w:tcPr>
          <w:p w:rsidR="00C7695E" w:rsidRDefault="00C7695E" w:rsidP="00453B98">
            <w:pPr>
              <w:spacing w:line="240" w:lineRule="auto"/>
            </w:pPr>
          </w:p>
        </w:tc>
        <w:tc>
          <w:tcPr>
            <w:tcW w:w="2287" w:type="dxa"/>
            <w:shd w:val="clear" w:color="auto" w:fill="auto"/>
          </w:tcPr>
          <w:p w:rsidR="00C7695E" w:rsidRDefault="00C7695E" w:rsidP="00453B98">
            <w:pPr>
              <w:spacing w:line="240" w:lineRule="auto"/>
            </w:pPr>
          </w:p>
        </w:tc>
        <w:tc>
          <w:tcPr>
            <w:tcW w:w="6208" w:type="dxa"/>
            <w:shd w:val="clear" w:color="auto" w:fill="auto"/>
          </w:tcPr>
          <w:p w:rsidR="00C7695E" w:rsidRDefault="00C7695E" w:rsidP="00453B98">
            <w:pPr>
              <w:pStyle w:val="ListParagraph"/>
              <w:numPr>
                <w:ilvl w:val="0"/>
                <w:numId w:val="3"/>
              </w:numPr>
              <w:spacing w:line="240" w:lineRule="auto"/>
              <w:contextualSpacing w:val="0"/>
            </w:pPr>
            <w:r>
              <w:t xml:space="preserve">Raw sugar, not containing added </w:t>
            </w:r>
            <w:proofErr w:type="spellStart"/>
            <w:r>
              <w:t>flavouring</w:t>
            </w:r>
            <w:proofErr w:type="spellEnd"/>
            <w:r>
              <w:t xml:space="preserve"> or coloring matter</w:t>
            </w:r>
          </w:p>
        </w:tc>
      </w:tr>
      <w:tr w:rsidR="00C7695E" w:rsidTr="008418B9">
        <w:trPr>
          <w:trHeight w:val="254"/>
        </w:trPr>
        <w:tc>
          <w:tcPr>
            <w:tcW w:w="823" w:type="dxa"/>
            <w:shd w:val="clear" w:color="auto" w:fill="auto"/>
          </w:tcPr>
          <w:p w:rsidR="00C7695E" w:rsidRDefault="00C7695E" w:rsidP="00453B98">
            <w:pPr>
              <w:spacing w:line="240" w:lineRule="auto"/>
            </w:pPr>
          </w:p>
        </w:tc>
        <w:tc>
          <w:tcPr>
            <w:tcW w:w="2287" w:type="dxa"/>
            <w:shd w:val="clear" w:color="auto" w:fill="auto"/>
          </w:tcPr>
          <w:p w:rsidR="00C7695E" w:rsidRDefault="00C7695E" w:rsidP="00453B98">
            <w:pPr>
              <w:spacing w:line="240" w:lineRule="auto"/>
            </w:pPr>
            <w:r>
              <w:t>1701.11</w:t>
            </w:r>
          </w:p>
        </w:tc>
        <w:tc>
          <w:tcPr>
            <w:tcW w:w="6208" w:type="dxa"/>
            <w:shd w:val="clear" w:color="auto" w:fill="auto"/>
          </w:tcPr>
          <w:p w:rsidR="00C7695E" w:rsidRDefault="00C7695E" w:rsidP="00453B98">
            <w:pPr>
              <w:pStyle w:val="ListParagraph"/>
              <w:numPr>
                <w:ilvl w:val="0"/>
                <w:numId w:val="3"/>
              </w:numPr>
              <w:spacing w:line="240" w:lineRule="auto"/>
              <w:contextualSpacing w:val="0"/>
            </w:pPr>
            <w:r>
              <w:t>Cane sugar</w:t>
            </w:r>
          </w:p>
        </w:tc>
      </w:tr>
      <w:tr w:rsidR="00C7695E" w:rsidTr="008418B9">
        <w:trPr>
          <w:trHeight w:val="559"/>
        </w:trPr>
        <w:tc>
          <w:tcPr>
            <w:tcW w:w="823" w:type="dxa"/>
            <w:shd w:val="clear" w:color="auto" w:fill="auto"/>
          </w:tcPr>
          <w:p w:rsidR="00C7695E" w:rsidRDefault="00C7695E" w:rsidP="00453B98">
            <w:pPr>
              <w:spacing w:line="240" w:lineRule="auto"/>
            </w:pPr>
            <w:r>
              <w:t>59</w:t>
            </w:r>
          </w:p>
        </w:tc>
        <w:tc>
          <w:tcPr>
            <w:tcW w:w="2287" w:type="dxa"/>
            <w:shd w:val="clear" w:color="auto" w:fill="auto"/>
          </w:tcPr>
          <w:p w:rsidR="00C7695E" w:rsidRDefault="00C7695E" w:rsidP="00453B98">
            <w:pPr>
              <w:spacing w:line="240" w:lineRule="auto"/>
            </w:pPr>
            <w:r>
              <w:t>1701.11.100</w:t>
            </w:r>
          </w:p>
        </w:tc>
        <w:tc>
          <w:tcPr>
            <w:tcW w:w="6208" w:type="dxa"/>
            <w:shd w:val="clear" w:color="auto" w:fill="auto"/>
          </w:tcPr>
          <w:p w:rsidR="00C7695E" w:rsidRDefault="00453B98" w:rsidP="00453B98">
            <w:pPr>
              <w:pStyle w:val="ListParagraph"/>
              <w:numPr>
                <w:ilvl w:val="0"/>
                <w:numId w:val="3"/>
              </w:numPr>
              <w:spacing w:line="240" w:lineRule="auto"/>
              <w:contextualSpacing w:val="0"/>
            </w:pPr>
            <w:r>
              <w:t>In-</w:t>
            </w:r>
            <w:r w:rsidR="00C7695E">
              <w:t>Quota</w:t>
            </w:r>
          </w:p>
        </w:tc>
      </w:tr>
      <w:tr w:rsidR="00C7695E" w:rsidTr="008418B9">
        <w:trPr>
          <w:trHeight w:val="546"/>
        </w:trPr>
        <w:tc>
          <w:tcPr>
            <w:tcW w:w="823" w:type="dxa"/>
            <w:shd w:val="clear" w:color="auto" w:fill="auto"/>
          </w:tcPr>
          <w:p w:rsidR="00C7695E" w:rsidRDefault="00C7695E" w:rsidP="00453B98">
            <w:pPr>
              <w:spacing w:line="240" w:lineRule="auto"/>
            </w:pPr>
            <w:r>
              <w:t>60</w:t>
            </w:r>
          </w:p>
        </w:tc>
        <w:tc>
          <w:tcPr>
            <w:tcW w:w="2287" w:type="dxa"/>
            <w:shd w:val="clear" w:color="auto" w:fill="auto"/>
          </w:tcPr>
          <w:p w:rsidR="00C7695E" w:rsidRDefault="00C7695E" w:rsidP="00453B98">
            <w:pPr>
              <w:spacing w:line="240" w:lineRule="auto"/>
            </w:pPr>
            <w:r>
              <w:t>1701.11.200</w:t>
            </w:r>
          </w:p>
        </w:tc>
        <w:tc>
          <w:tcPr>
            <w:tcW w:w="6208" w:type="dxa"/>
            <w:shd w:val="clear" w:color="auto" w:fill="auto"/>
          </w:tcPr>
          <w:p w:rsidR="00C7695E" w:rsidRDefault="00453B98" w:rsidP="00453B98">
            <w:pPr>
              <w:pStyle w:val="ListParagraph"/>
              <w:numPr>
                <w:ilvl w:val="0"/>
                <w:numId w:val="3"/>
              </w:numPr>
              <w:spacing w:line="240" w:lineRule="auto"/>
              <w:contextualSpacing w:val="0"/>
            </w:pPr>
            <w:r>
              <w:t>Out-</w:t>
            </w:r>
            <w:r w:rsidR="00C7695E">
              <w:t>Quota</w:t>
            </w:r>
          </w:p>
        </w:tc>
      </w:tr>
      <w:tr w:rsidR="00C7695E" w:rsidTr="008418B9">
        <w:trPr>
          <w:trHeight w:val="559"/>
        </w:trPr>
        <w:tc>
          <w:tcPr>
            <w:tcW w:w="823" w:type="dxa"/>
            <w:shd w:val="clear" w:color="auto" w:fill="auto"/>
          </w:tcPr>
          <w:p w:rsidR="00C7695E" w:rsidRDefault="00C7695E" w:rsidP="00453B98">
            <w:pPr>
              <w:spacing w:line="240" w:lineRule="auto"/>
            </w:pPr>
          </w:p>
        </w:tc>
        <w:tc>
          <w:tcPr>
            <w:tcW w:w="2287" w:type="dxa"/>
            <w:shd w:val="clear" w:color="auto" w:fill="auto"/>
          </w:tcPr>
          <w:p w:rsidR="00C7695E" w:rsidRDefault="00C7695E" w:rsidP="00453B98">
            <w:pPr>
              <w:spacing w:line="240" w:lineRule="auto"/>
            </w:pPr>
            <w:r>
              <w:t>1701.12</w:t>
            </w:r>
          </w:p>
        </w:tc>
        <w:tc>
          <w:tcPr>
            <w:tcW w:w="6208" w:type="dxa"/>
            <w:shd w:val="clear" w:color="auto" w:fill="auto"/>
          </w:tcPr>
          <w:p w:rsidR="00C7695E" w:rsidRDefault="00C7695E" w:rsidP="00453B98">
            <w:pPr>
              <w:pStyle w:val="ListParagraph"/>
              <w:numPr>
                <w:ilvl w:val="0"/>
                <w:numId w:val="3"/>
              </w:numPr>
              <w:spacing w:line="240" w:lineRule="auto"/>
              <w:contextualSpacing w:val="0"/>
            </w:pPr>
            <w:r>
              <w:t>Beet sugar</w:t>
            </w:r>
          </w:p>
        </w:tc>
      </w:tr>
      <w:tr w:rsidR="00C7695E" w:rsidTr="008418B9">
        <w:trPr>
          <w:trHeight w:val="546"/>
        </w:trPr>
        <w:tc>
          <w:tcPr>
            <w:tcW w:w="823" w:type="dxa"/>
            <w:shd w:val="clear" w:color="auto" w:fill="auto"/>
          </w:tcPr>
          <w:p w:rsidR="00C7695E" w:rsidRDefault="00C7695E" w:rsidP="00453B98">
            <w:pPr>
              <w:spacing w:line="240" w:lineRule="auto"/>
            </w:pPr>
            <w:r>
              <w:t>61</w:t>
            </w:r>
          </w:p>
        </w:tc>
        <w:tc>
          <w:tcPr>
            <w:tcW w:w="2287" w:type="dxa"/>
            <w:shd w:val="clear" w:color="auto" w:fill="auto"/>
          </w:tcPr>
          <w:p w:rsidR="00C7695E" w:rsidRDefault="00C7695E" w:rsidP="00453B98">
            <w:pPr>
              <w:spacing w:line="240" w:lineRule="auto"/>
            </w:pPr>
            <w:r>
              <w:t>1701.12.100</w:t>
            </w:r>
          </w:p>
        </w:tc>
        <w:tc>
          <w:tcPr>
            <w:tcW w:w="6208" w:type="dxa"/>
            <w:shd w:val="clear" w:color="auto" w:fill="auto"/>
          </w:tcPr>
          <w:p w:rsidR="00C7695E" w:rsidRDefault="00453B98" w:rsidP="00453B98">
            <w:pPr>
              <w:pStyle w:val="ListParagraph"/>
              <w:numPr>
                <w:ilvl w:val="0"/>
                <w:numId w:val="3"/>
              </w:numPr>
              <w:spacing w:line="240" w:lineRule="auto"/>
              <w:contextualSpacing w:val="0"/>
            </w:pPr>
            <w:r>
              <w:t>In-</w:t>
            </w:r>
            <w:r w:rsidR="00C7695E">
              <w:t>Quota</w:t>
            </w:r>
          </w:p>
        </w:tc>
      </w:tr>
      <w:tr w:rsidR="00C7695E" w:rsidTr="008418B9">
        <w:trPr>
          <w:trHeight w:val="559"/>
        </w:trPr>
        <w:tc>
          <w:tcPr>
            <w:tcW w:w="823" w:type="dxa"/>
            <w:shd w:val="clear" w:color="auto" w:fill="auto"/>
          </w:tcPr>
          <w:p w:rsidR="00C7695E" w:rsidRDefault="00C7695E" w:rsidP="00453B98">
            <w:pPr>
              <w:spacing w:line="240" w:lineRule="auto"/>
            </w:pPr>
            <w:r>
              <w:t>62</w:t>
            </w:r>
          </w:p>
        </w:tc>
        <w:tc>
          <w:tcPr>
            <w:tcW w:w="2287" w:type="dxa"/>
            <w:shd w:val="clear" w:color="auto" w:fill="auto"/>
          </w:tcPr>
          <w:p w:rsidR="00C7695E" w:rsidRDefault="00C7695E" w:rsidP="00453B98">
            <w:pPr>
              <w:spacing w:line="240" w:lineRule="auto"/>
            </w:pPr>
            <w:r>
              <w:t>1701.12.200</w:t>
            </w:r>
          </w:p>
        </w:tc>
        <w:tc>
          <w:tcPr>
            <w:tcW w:w="6208" w:type="dxa"/>
            <w:shd w:val="clear" w:color="auto" w:fill="auto"/>
          </w:tcPr>
          <w:p w:rsidR="00C7695E" w:rsidRDefault="00453B98" w:rsidP="00453B98">
            <w:pPr>
              <w:pStyle w:val="ListParagraph"/>
              <w:numPr>
                <w:ilvl w:val="0"/>
                <w:numId w:val="3"/>
              </w:numPr>
              <w:spacing w:line="240" w:lineRule="auto"/>
              <w:contextualSpacing w:val="0"/>
            </w:pPr>
            <w:r>
              <w:t>Out-</w:t>
            </w:r>
            <w:r w:rsidR="00C7695E">
              <w:t>Quota</w:t>
            </w:r>
          </w:p>
        </w:tc>
      </w:tr>
      <w:tr w:rsidR="00C7695E" w:rsidTr="008418B9">
        <w:trPr>
          <w:trHeight w:val="546"/>
        </w:trPr>
        <w:tc>
          <w:tcPr>
            <w:tcW w:w="823" w:type="dxa"/>
            <w:shd w:val="clear" w:color="auto" w:fill="auto"/>
          </w:tcPr>
          <w:p w:rsidR="00C7695E" w:rsidRDefault="00C7695E" w:rsidP="00453B98">
            <w:pPr>
              <w:spacing w:line="240" w:lineRule="auto"/>
            </w:pPr>
          </w:p>
        </w:tc>
        <w:tc>
          <w:tcPr>
            <w:tcW w:w="2287" w:type="dxa"/>
            <w:shd w:val="clear" w:color="auto" w:fill="auto"/>
          </w:tcPr>
          <w:p w:rsidR="00C7695E" w:rsidRDefault="00C7695E" w:rsidP="00453B98">
            <w:pPr>
              <w:spacing w:line="240" w:lineRule="auto"/>
            </w:pPr>
          </w:p>
        </w:tc>
        <w:tc>
          <w:tcPr>
            <w:tcW w:w="6208" w:type="dxa"/>
            <w:shd w:val="clear" w:color="auto" w:fill="auto"/>
          </w:tcPr>
          <w:p w:rsidR="00C7695E" w:rsidRDefault="00C7695E" w:rsidP="00453B98">
            <w:pPr>
              <w:pStyle w:val="ListParagraph"/>
              <w:numPr>
                <w:ilvl w:val="0"/>
                <w:numId w:val="3"/>
              </w:numPr>
              <w:spacing w:line="240" w:lineRule="auto"/>
              <w:contextualSpacing w:val="0"/>
            </w:pPr>
            <w:r>
              <w:t>Other</w:t>
            </w:r>
          </w:p>
        </w:tc>
      </w:tr>
      <w:tr w:rsidR="00C7695E" w:rsidTr="008418B9">
        <w:trPr>
          <w:trHeight w:val="546"/>
        </w:trPr>
        <w:tc>
          <w:tcPr>
            <w:tcW w:w="823" w:type="dxa"/>
            <w:shd w:val="clear" w:color="auto" w:fill="auto"/>
          </w:tcPr>
          <w:p w:rsidR="00C7695E" w:rsidRDefault="00C7695E" w:rsidP="00453B98">
            <w:pPr>
              <w:spacing w:line="240" w:lineRule="auto"/>
            </w:pPr>
          </w:p>
        </w:tc>
        <w:tc>
          <w:tcPr>
            <w:tcW w:w="2287" w:type="dxa"/>
            <w:shd w:val="clear" w:color="auto" w:fill="auto"/>
          </w:tcPr>
          <w:p w:rsidR="00C7695E" w:rsidRDefault="00C7695E" w:rsidP="00453B98">
            <w:pPr>
              <w:spacing w:line="240" w:lineRule="auto"/>
            </w:pPr>
            <w:r>
              <w:t>1701.99</w:t>
            </w:r>
          </w:p>
        </w:tc>
        <w:tc>
          <w:tcPr>
            <w:tcW w:w="6208" w:type="dxa"/>
            <w:shd w:val="clear" w:color="auto" w:fill="auto"/>
          </w:tcPr>
          <w:p w:rsidR="00C7695E" w:rsidRDefault="00C7695E" w:rsidP="00453B98">
            <w:pPr>
              <w:pStyle w:val="ListParagraph"/>
              <w:numPr>
                <w:ilvl w:val="0"/>
                <w:numId w:val="3"/>
              </w:numPr>
              <w:spacing w:line="240" w:lineRule="auto"/>
              <w:contextualSpacing w:val="0"/>
            </w:pPr>
            <w:r>
              <w:t>Other</w:t>
            </w:r>
          </w:p>
        </w:tc>
      </w:tr>
      <w:tr w:rsidR="00C7695E" w:rsidTr="008418B9">
        <w:trPr>
          <w:trHeight w:val="546"/>
        </w:trPr>
        <w:tc>
          <w:tcPr>
            <w:tcW w:w="823" w:type="dxa"/>
            <w:shd w:val="clear" w:color="auto" w:fill="auto"/>
          </w:tcPr>
          <w:p w:rsidR="00C7695E" w:rsidRDefault="00C7695E" w:rsidP="00453B98">
            <w:pPr>
              <w:spacing w:line="240" w:lineRule="auto"/>
            </w:pPr>
            <w:r>
              <w:t>63</w:t>
            </w:r>
          </w:p>
        </w:tc>
        <w:tc>
          <w:tcPr>
            <w:tcW w:w="2287" w:type="dxa"/>
            <w:shd w:val="clear" w:color="auto" w:fill="auto"/>
          </w:tcPr>
          <w:p w:rsidR="00C7695E" w:rsidRDefault="00C7695E" w:rsidP="00453B98">
            <w:pPr>
              <w:spacing w:line="240" w:lineRule="auto"/>
            </w:pPr>
            <w:r>
              <w:t>1701.99.100</w:t>
            </w:r>
          </w:p>
        </w:tc>
        <w:tc>
          <w:tcPr>
            <w:tcW w:w="6208" w:type="dxa"/>
            <w:shd w:val="clear" w:color="auto" w:fill="auto"/>
          </w:tcPr>
          <w:p w:rsidR="00C7695E" w:rsidRDefault="00453B98" w:rsidP="00453B98">
            <w:pPr>
              <w:pStyle w:val="ListParagraph"/>
              <w:numPr>
                <w:ilvl w:val="0"/>
                <w:numId w:val="3"/>
              </w:numPr>
              <w:spacing w:line="240" w:lineRule="auto"/>
              <w:contextualSpacing w:val="0"/>
            </w:pPr>
            <w:r>
              <w:t>In-</w:t>
            </w:r>
            <w:r w:rsidR="00C7695E">
              <w:t>Quota</w:t>
            </w:r>
          </w:p>
        </w:tc>
      </w:tr>
      <w:tr w:rsidR="00C7695E" w:rsidTr="008418B9">
        <w:trPr>
          <w:trHeight w:val="559"/>
        </w:trPr>
        <w:tc>
          <w:tcPr>
            <w:tcW w:w="823" w:type="dxa"/>
            <w:shd w:val="clear" w:color="auto" w:fill="auto"/>
          </w:tcPr>
          <w:p w:rsidR="00C7695E" w:rsidRDefault="00C7695E" w:rsidP="00453B98">
            <w:pPr>
              <w:spacing w:line="240" w:lineRule="auto"/>
            </w:pPr>
            <w:r>
              <w:t>64</w:t>
            </w:r>
          </w:p>
        </w:tc>
        <w:tc>
          <w:tcPr>
            <w:tcW w:w="2287" w:type="dxa"/>
            <w:shd w:val="clear" w:color="auto" w:fill="auto"/>
          </w:tcPr>
          <w:p w:rsidR="00C7695E" w:rsidRDefault="00C7695E" w:rsidP="00453B98">
            <w:pPr>
              <w:spacing w:line="240" w:lineRule="auto"/>
            </w:pPr>
            <w:r>
              <w:t>1701.99.200</w:t>
            </w:r>
          </w:p>
        </w:tc>
        <w:tc>
          <w:tcPr>
            <w:tcW w:w="6208" w:type="dxa"/>
            <w:shd w:val="clear" w:color="auto" w:fill="auto"/>
          </w:tcPr>
          <w:p w:rsidR="00C7695E" w:rsidRDefault="00453B98" w:rsidP="00453B98">
            <w:pPr>
              <w:pStyle w:val="ListParagraph"/>
              <w:numPr>
                <w:ilvl w:val="0"/>
                <w:numId w:val="3"/>
              </w:numPr>
              <w:spacing w:line="240" w:lineRule="auto"/>
              <w:contextualSpacing w:val="0"/>
            </w:pPr>
            <w:r>
              <w:t>Out-</w:t>
            </w:r>
            <w:r w:rsidR="00C7695E">
              <w:t>Quota</w:t>
            </w:r>
          </w:p>
        </w:tc>
      </w:tr>
    </w:tbl>
    <w:p w:rsidR="00C7695E" w:rsidRDefault="00C7695E" w:rsidP="00E817B9">
      <w:pPr>
        <w:pStyle w:val="Heading1"/>
      </w:pPr>
      <w:r>
        <w:t>ARTICLE 2</w:t>
      </w:r>
    </w:p>
    <w:p w:rsidR="00C7695E" w:rsidRDefault="00C7695E" w:rsidP="00E817B9">
      <w:pPr>
        <w:pStyle w:val="ListParagraph"/>
        <w:numPr>
          <w:ilvl w:val="0"/>
          <w:numId w:val="4"/>
        </w:numPr>
        <w:ind w:left="714" w:hanging="357"/>
        <w:contextualSpacing w:val="0"/>
      </w:pPr>
      <w:r>
        <w:t>This Protocol shall enter into force upon signature.</w:t>
      </w:r>
    </w:p>
    <w:p w:rsidR="00C7695E" w:rsidRDefault="00C7695E" w:rsidP="00E817B9">
      <w:pPr>
        <w:pStyle w:val="ListParagraph"/>
        <w:numPr>
          <w:ilvl w:val="0"/>
          <w:numId w:val="4"/>
        </w:numPr>
        <w:ind w:left="714" w:hanging="357"/>
        <w:contextualSpacing w:val="0"/>
      </w:pPr>
      <w:r>
        <w:t>This Protocol shall be deposited with the Secretary-General of ASEAN, who shall promptly furnish a certified copy thereof to each Member State.</w:t>
      </w:r>
    </w:p>
    <w:p w:rsidR="00453B98" w:rsidRDefault="00453B98" w:rsidP="00453B98">
      <w:pPr>
        <w:pStyle w:val="ListParagraph"/>
        <w:ind w:left="714"/>
        <w:contextualSpacing w:val="0"/>
      </w:pPr>
    </w:p>
    <w:p w:rsidR="00C7695E" w:rsidRDefault="00C7695E" w:rsidP="00E817B9">
      <w:r w:rsidRPr="00453B98">
        <w:rPr>
          <w:b/>
        </w:rPr>
        <w:t>IN WITNESS WHEREOF</w:t>
      </w:r>
      <w:r>
        <w:t xml:space="preserve">, the undersigned, being duly </w:t>
      </w:r>
      <w:proofErr w:type="spellStart"/>
      <w:r>
        <w:t>authorised</w:t>
      </w:r>
      <w:proofErr w:type="spellEnd"/>
      <w:r>
        <w:t xml:space="preserve"> thereto by their respective Governments, have signed the Protocol to Amend the Protocol on Special Arrangement for Sensitive and Highly Sensitive Products.</w:t>
      </w:r>
    </w:p>
    <w:p w:rsidR="00C7695E" w:rsidRDefault="00C7695E" w:rsidP="00E817B9">
      <w:r w:rsidRPr="00453B98">
        <w:rPr>
          <w:b/>
        </w:rPr>
        <w:t>DONE</w:t>
      </w:r>
      <w:r>
        <w:t xml:space="preserve"> at Jakarta on the 3rd day of September in the year Two Thousand and Four, in a single copy in the English Language.</w:t>
      </w:r>
    </w:p>
    <w:p w:rsidR="00C7695E" w:rsidRDefault="00C7695E" w:rsidP="00E817B9"/>
    <w:p w:rsidR="00C7695E" w:rsidRDefault="00C7695E" w:rsidP="00E817B9">
      <w:r>
        <w:t xml:space="preserve">For the Government of Brunei Darussalam: </w:t>
      </w:r>
      <w:r w:rsidRPr="00E817B9">
        <w:rPr>
          <w:b/>
        </w:rPr>
        <w:t>ABDUL RAHMAN TAIB</w:t>
      </w:r>
      <w:r>
        <w:t>, Minister of</w:t>
      </w:r>
      <w:r w:rsidR="008418B9">
        <w:t xml:space="preserve"> Industry and Primary Resources</w:t>
      </w:r>
    </w:p>
    <w:p w:rsidR="00436AC1" w:rsidRDefault="00436AC1" w:rsidP="00E817B9">
      <w:r>
        <w:t xml:space="preserve">For the Government of the Republic of Indonesia: </w:t>
      </w:r>
      <w:r w:rsidRPr="00E817B9">
        <w:rPr>
          <w:b/>
        </w:rPr>
        <w:t>RINI M.SUMARNO SOEWANDI</w:t>
      </w:r>
      <w:r>
        <w:t>,</w:t>
      </w:r>
      <w:r w:rsidR="008418B9">
        <w:t xml:space="preserve"> Minister of Industry and Trade</w:t>
      </w:r>
    </w:p>
    <w:p w:rsidR="00436AC1" w:rsidRDefault="00436AC1" w:rsidP="00E817B9">
      <w:r>
        <w:t xml:space="preserve">For the Government of Malaysia: </w:t>
      </w:r>
      <w:r w:rsidRPr="00E817B9">
        <w:rPr>
          <w:b/>
        </w:rPr>
        <w:t>RAFIDAH AZIZ</w:t>
      </w:r>
      <w:r w:rsidR="00453B98">
        <w:t xml:space="preserve">, </w:t>
      </w:r>
      <w:r w:rsidR="008418B9">
        <w:t>Minister of International Trade</w:t>
      </w:r>
      <w:r w:rsidR="00453B98">
        <w:t xml:space="preserve"> and Industry</w:t>
      </w:r>
    </w:p>
    <w:p w:rsidR="00436AC1" w:rsidRDefault="00436AC1" w:rsidP="00E817B9">
      <w:r>
        <w:t xml:space="preserve">For the Government of the Republic of the Philippines: </w:t>
      </w:r>
      <w:r w:rsidRPr="00E817B9">
        <w:rPr>
          <w:b/>
        </w:rPr>
        <w:t>CESAR V.</w:t>
      </w:r>
      <w:r w:rsidR="00453B98">
        <w:rPr>
          <w:b/>
        </w:rPr>
        <w:t xml:space="preserve"> </w:t>
      </w:r>
      <w:bookmarkStart w:id="0" w:name="_GoBack"/>
      <w:bookmarkEnd w:id="0"/>
      <w:r w:rsidRPr="00E817B9">
        <w:rPr>
          <w:b/>
        </w:rPr>
        <w:t>PURISIMA</w:t>
      </w:r>
      <w:r>
        <w:t>, Secretary of Trade and Industry</w:t>
      </w:r>
    </w:p>
    <w:p w:rsidR="00436AC1" w:rsidRDefault="00436AC1" w:rsidP="00E817B9">
      <w:r>
        <w:t xml:space="preserve">For the Government of the Kingdom of Thailand: </w:t>
      </w:r>
      <w:r w:rsidRPr="00E817B9">
        <w:rPr>
          <w:b/>
        </w:rPr>
        <w:t>WATANA MUANGSOOK</w:t>
      </w:r>
      <w:r w:rsidR="008418B9">
        <w:t>, Minister of Commerce</w:t>
      </w:r>
    </w:p>
    <w:p w:rsidR="00E817B9" w:rsidRDefault="00E817B9" w:rsidP="00E817B9">
      <w:r>
        <w:t xml:space="preserve">For the Government of the Kingdom of Cambodia: </w:t>
      </w:r>
      <w:r w:rsidRPr="00E817B9">
        <w:rPr>
          <w:b/>
        </w:rPr>
        <w:t>CHAM PRASIDH</w:t>
      </w:r>
      <w:r>
        <w:t>, Senior Minister, Minister of Commerce</w:t>
      </w:r>
    </w:p>
    <w:p w:rsidR="00E817B9" w:rsidRDefault="00E817B9" w:rsidP="00E817B9">
      <w:r>
        <w:t xml:space="preserve">For the Government of the Lao People’s Democratic Republic: </w:t>
      </w:r>
      <w:r w:rsidRPr="00E817B9">
        <w:rPr>
          <w:b/>
        </w:rPr>
        <w:t>SOULIVONG DARAVONG</w:t>
      </w:r>
      <w:r w:rsidR="008418B9">
        <w:t>, Minister of Commerce</w:t>
      </w:r>
    </w:p>
    <w:p w:rsidR="00E817B9" w:rsidRDefault="00E817B9" w:rsidP="00E817B9">
      <w:r>
        <w:t xml:space="preserve">For the Government of the Union of Myanmar: </w:t>
      </w:r>
      <w:r w:rsidRPr="00E817B9">
        <w:rPr>
          <w:b/>
        </w:rPr>
        <w:t>U TIN WINN</w:t>
      </w:r>
      <w:r>
        <w:t>, Mi</w:t>
      </w:r>
      <w:r w:rsidR="008418B9">
        <w:t>nister for Economic Cooperation</w:t>
      </w:r>
    </w:p>
    <w:p w:rsidR="00E817B9" w:rsidRDefault="00E817B9" w:rsidP="00E817B9">
      <w:r>
        <w:t>For the Government of the Republic of Singapore</w:t>
      </w:r>
      <w:r w:rsidR="00453B98">
        <w:t>:</w:t>
      </w:r>
      <w:r>
        <w:t xml:space="preserve"> </w:t>
      </w:r>
      <w:r w:rsidRPr="00E817B9">
        <w:rPr>
          <w:b/>
        </w:rPr>
        <w:t>LIM HNG KIANG</w:t>
      </w:r>
      <w:r>
        <w:t>, Minister for Trade and Industry</w:t>
      </w:r>
    </w:p>
    <w:p w:rsidR="00E817B9" w:rsidRPr="009C1F90" w:rsidRDefault="00E817B9" w:rsidP="00E817B9">
      <w:r>
        <w:t xml:space="preserve">For the Government of the Socialist Republic of Vietnam: </w:t>
      </w:r>
      <w:r w:rsidRPr="00E817B9">
        <w:rPr>
          <w:b/>
        </w:rPr>
        <w:t>TRUONG DINH TUYEN</w:t>
      </w:r>
      <w:r>
        <w:t>, Minister of Trade</w:t>
      </w:r>
    </w:p>
    <w:sectPr w:rsidR="00E817B9"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860" w:rsidRDefault="00514860" w:rsidP="00F61B4F">
      <w:pPr>
        <w:spacing w:before="0" w:after="0" w:line="240" w:lineRule="auto"/>
      </w:pPr>
      <w:r>
        <w:separator/>
      </w:r>
    </w:p>
  </w:endnote>
  <w:endnote w:type="continuationSeparator" w:id="0">
    <w:p w:rsidR="00514860" w:rsidRDefault="00514860"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200926">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200926">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860" w:rsidRDefault="00514860" w:rsidP="00F61B4F">
      <w:pPr>
        <w:spacing w:before="0" w:after="0" w:line="240" w:lineRule="auto"/>
      </w:pPr>
      <w:r>
        <w:separator/>
      </w:r>
    </w:p>
  </w:footnote>
  <w:footnote w:type="continuationSeparator" w:id="0">
    <w:p w:rsidR="00514860" w:rsidRDefault="00514860"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F61B4F" w:rsidRDefault="00436AC1" w:rsidP="00F61B4F">
    <w:pPr>
      <w:pStyle w:val="Header"/>
      <w:pBdr>
        <w:bottom w:val="single" w:sz="8" w:space="1" w:color="auto"/>
      </w:pBdr>
      <w:rPr>
        <w:rFonts w:cs="Arial"/>
        <w:caps/>
        <w:color w:val="808080"/>
        <w:sz w:val="16"/>
        <w:szCs w:val="16"/>
      </w:rPr>
    </w:pPr>
    <w:r>
      <w:rPr>
        <w:rFonts w:cs="Arial"/>
        <w:caps/>
        <w:color w:val="808080"/>
        <w:sz w:val="16"/>
        <w:szCs w:val="16"/>
      </w:rPr>
      <w:t xml:space="preserve">2004 first protocol to amend the protocol on special arrangements on sensitive and highly sensitive </w:t>
    </w:r>
    <w:r w:rsidR="00E817B9">
      <w:rPr>
        <w:rFonts w:cs="Arial"/>
        <w:caps/>
        <w:color w:val="808080"/>
        <w:sz w:val="16"/>
        <w:szCs w:val="16"/>
      </w:rPr>
      <w:t>products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94616C"/>
    <w:multiLevelType w:val="hybridMultilevel"/>
    <w:tmpl w:val="2E525280"/>
    <w:lvl w:ilvl="0" w:tplc="3F7CD9B2">
      <w:start w:val="1"/>
      <w:numFmt w:val="bullet"/>
      <w:lvlText w:val="-"/>
      <w:lvlJc w:val="left"/>
      <w:pPr>
        <w:ind w:left="720" w:hanging="360"/>
      </w:pPr>
      <w:rPr>
        <w:rFonts w:ascii="Arial" w:eastAsia="Calibr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564E413F"/>
    <w:multiLevelType w:val="hybridMultilevel"/>
    <w:tmpl w:val="4FB0AB7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5CDC4065"/>
    <w:multiLevelType w:val="hybridMultilevel"/>
    <w:tmpl w:val="5C50E93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7C1E5701"/>
    <w:multiLevelType w:val="hybridMultilevel"/>
    <w:tmpl w:val="B70AA5D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95E"/>
    <w:rsid w:val="00000FB0"/>
    <w:rsid w:val="00002446"/>
    <w:rsid w:val="000043E5"/>
    <w:rsid w:val="00010644"/>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926"/>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2AFD"/>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36AC1"/>
    <w:rsid w:val="004410EB"/>
    <w:rsid w:val="00452091"/>
    <w:rsid w:val="0045262E"/>
    <w:rsid w:val="00453B98"/>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860"/>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7F6C0B"/>
    <w:rsid w:val="008016D1"/>
    <w:rsid w:val="00803BE9"/>
    <w:rsid w:val="00812B21"/>
    <w:rsid w:val="00814493"/>
    <w:rsid w:val="008171B7"/>
    <w:rsid w:val="00820B03"/>
    <w:rsid w:val="00821388"/>
    <w:rsid w:val="00822E73"/>
    <w:rsid w:val="00824DAD"/>
    <w:rsid w:val="00824DEF"/>
    <w:rsid w:val="008262AF"/>
    <w:rsid w:val="008418B9"/>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063A"/>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7695E"/>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17B9"/>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9AC61-7E2D-4CF5-8103-D93D55219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E817B9"/>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E817B9"/>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C7695E"/>
    <w:pPr>
      <w:ind w:left="720"/>
      <w:contextualSpacing/>
    </w:pPr>
  </w:style>
  <w:style w:type="table" w:styleId="TableGrid">
    <w:name w:val="Table Grid"/>
    <w:basedOn w:val="TableNormal"/>
    <w:uiPriority w:val="59"/>
    <w:rsid w:val="00C76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13E23-332B-4869-A0F0-58E18F52E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Nurul Asyiqin Bte Shaharudin</cp:lastModifiedBy>
  <cp:revision>2</cp:revision>
  <cp:lastPrinted>2018-07-03T03:22:00Z</cp:lastPrinted>
  <dcterms:created xsi:type="dcterms:W3CDTF">2018-07-03T03:36:00Z</dcterms:created>
  <dcterms:modified xsi:type="dcterms:W3CDTF">2018-07-03T03:36:00Z</dcterms:modified>
</cp:coreProperties>
</file>