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00" w:rsidRDefault="00003F00" w:rsidP="00003F00">
      <w:pPr>
        <w:pStyle w:val="CILTitle"/>
      </w:pPr>
      <w:r>
        <w:t xml:space="preserve">2005 </w:t>
      </w:r>
      <w:r w:rsidR="0048247A">
        <w:t xml:space="preserve">Agreement to Establish and Implement the ASEAN Single Window </w:t>
      </w:r>
    </w:p>
    <w:p w:rsidR="0048247A" w:rsidRDefault="00003F00" w:rsidP="00003F00">
      <w:pPr>
        <w:pStyle w:val="CILSubtitle"/>
      </w:pPr>
      <w:r>
        <w:t xml:space="preserve">Adopted in </w:t>
      </w:r>
      <w:r w:rsidR="0048247A">
        <w:t xml:space="preserve">Kuala Lumpur, </w:t>
      </w:r>
      <w:r>
        <w:t xml:space="preserve">Malaysia on </w:t>
      </w:r>
      <w:r w:rsidR="0048247A">
        <w:t>9 December 2005</w:t>
      </w:r>
    </w:p>
    <w:p w:rsidR="00003F00" w:rsidRDefault="00003F00" w:rsidP="009261E1">
      <w:pPr>
        <w:pStyle w:val="TOCHeading"/>
      </w:pPr>
    </w:p>
    <w:p w:rsidR="00003F00" w:rsidRPr="00003F00" w:rsidRDefault="00003F00">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67443631" w:history="1">
        <w:r w:rsidRPr="00C4626B">
          <w:rPr>
            <w:rStyle w:val="Hyperlink"/>
            <w:noProof/>
          </w:rPr>
          <w:t>PART I GENERAL PROVISIONS</w:t>
        </w:r>
        <w:r>
          <w:rPr>
            <w:noProof/>
            <w:webHidden/>
          </w:rPr>
          <w:tab/>
        </w:r>
        <w:r>
          <w:rPr>
            <w:noProof/>
            <w:webHidden/>
          </w:rPr>
          <w:fldChar w:fldCharType="begin"/>
        </w:r>
        <w:r>
          <w:rPr>
            <w:noProof/>
            <w:webHidden/>
          </w:rPr>
          <w:instrText xml:space="preserve"> PAGEREF _Toc467443631 \h </w:instrText>
        </w:r>
        <w:r>
          <w:rPr>
            <w:noProof/>
            <w:webHidden/>
          </w:rPr>
        </w:r>
        <w:r>
          <w:rPr>
            <w:noProof/>
            <w:webHidden/>
          </w:rPr>
          <w:fldChar w:fldCharType="separate"/>
        </w:r>
        <w:r w:rsidR="000B7A6E">
          <w:rPr>
            <w:noProof/>
            <w:webHidden/>
          </w:rPr>
          <w:t>3</w:t>
        </w:r>
        <w:r>
          <w:rPr>
            <w:noProof/>
            <w:webHidden/>
          </w:rPr>
          <w:fldChar w:fldCharType="end"/>
        </w:r>
      </w:hyperlink>
    </w:p>
    <w:p w:rsidR="00003F00" w:rsidRPr="00003F00" w:rsidRDefault="00003F00">
      <w:pPr>
        <w:pStyle w:val="TOC2"/>
        <w:tabs>
          <w:tab w:val="right" w:leader="dot" w:pos="9017"/>
        </w:tabs>
        <w:rPr>
          <w:rFonts w:ascii="Calibri" w:eastAsia="Times New Roman" w:hAnsi="Calibri"/>
          <w:bCs w:val="0"/>
          <w:caps w:val="0"/>
          <w:noProof/>
          <w:sz w:val="22"/>
          <w:szCs w:val="22"/>
        </w:rPr>
      </w:pPr>
      <w:hyperlink w:anchor="_Toc467443632" w:history="1">
        <w:r w:rsidRPr="00C4626B">
          <w:rPr>
            <w:rStyle w:val="Hyperlink"/>
            <w:noProof/>
          </w:rPr>
          <w:t>Article 1 Definition of the ASEAN Single Window and the National Single Window</w:t>
        </w:r>
        <w:r>
          <w:rPr>
            <w:noProof/>
            <w:webHidden/>
          </w:rPr>
          <w:tab/>
        </w:r>
        <w:r>
          <w:rPr>
            <w:noProof/>
            <w:webHidden/>
          </w:rPr>
          <w:fldChar w:fldCharType="begin"/>
        </w:r>
        <w:r>
          <w:rPr>
            <w:noProof/>
            <w:webHidden/>
          </w:rPr>
          <w:instrText xml:space="preserve"> PAGEREF _Toc467443632 \h </w:instrText>
        </w:r>
        <w:r>
          <w:rPr>
            <w:noProof/>
            <w:webHidden/>
          </w:rPr>
        </w:r>
        <w:r>
          <w:rPr>
            <w:noProof/>
            <w:webHidden/>
          </w:rPr>
          <w:fldChar w:fldCharType="separate"/>
        </w:r>
        <w:r w:rsidR="000B7A6E">
          <w:rPr>
            <w:noProof/>
            <w:webHidden/>
          </w:rPr>
          <w:t>3</w:t>
        </w:r>
        <w:r>
          <w:rPr>
            <w:noProof/>
            <w:webHidden/>
          </w:rPr>
          <w:fldChar w:fldCharType="end"/>
        </w:r>
      </w:hyperlink>
    </w:p>
    <w:p w:rsidR="00003F00" w:rsidRPr="00003F00" w:rsidRDefault="00003F00">
      <w:pPr>
        <w:pStyle w:val="TOC2"/>
        <w:tabs>
          <w:tab w:val="right" w:leader="dot" w:pos="9017"/>
        </w:tabs>
        <w:rPr>
          <w:rFonts w:ascii="Calibri" w:eastAsia="Times New Roman" w:hAnsi="Calibri"/>
          <w:bCs w:val="0"/>
          <w:caps w:val="0"/>
          <w:noProof/>
          <w:sz w:val="22"/>
          <w:szCs w:val="22"/>
        </w:rPr>
      </w:pPr>
      <w:hyperlink w:anchor="_Toc467443633" w:history="1">
        <w:r w:rsidRPr="00C4626B">
          <w:rPr>
            <w:rStyle w:val="Hyperlink"/>
            <w:noProof/>
          </w:rPr>
          <w:t>Article 2 eneral Definitions</w:t>
        </w:r>
        <w:r>
          <w:rPr>
            <w:noProof/>
            <w:webHidden/>
          </w:rPr>
          <w:tab/>
        </w:r>
        <w:r>
          <w:rPr>
            <w:noProof/>
            <w:webHidden/>
          </w:rPr>
          <w:fldChar w:fldCharType="begin"/>
        </w:r>
        <w:r>
          <w:rPr>
            <w:noProof/>
            <w:webHidden/>
          </w:rPr>
          <w:instrText xml:space="preserve"> PAGEREF _Toc467443633 \h </w:instrText>
        </w:r>
        <w:r>
          <w:rPr>
            <w:noProof/>
            <w:webHidden/>
          </w:rPr>
        </w:r>
        <w:r>
          <w:rPr>
            <w:noProof/>
            <w:webHidden/>
          </w:rPr>
          <w:fldChar w:fldCharType="separate"/>
        </w:r>
        <w:r w:rsidR="000B7A6E">
          <w:rPr>
            <w:noProof/>
            <w:webHidden/>
          </w:rPr>
          <w:t>3</w:t>
        </w:r>
        <w:r>
          <w:rPr>
            <w:noProof/>
            <w:webHidden/>
          </w:rPr>
          <w:fldChar w:fldCharType="end"/>
        </w:r>
      </w:hyperlink>
    </w:p>
    <w:p w:rsidR="00003F00" w:rsidRPr="00003F00" w:rsidRDefault="00003F00">
      <w:pPr>
        <w:pStyle w:val="TOC1"/>
        <w:tabs>
          <w:tab w:val="right" w:leader="dot" w:pos="9017"/>
        </w:tabs>
        <w:rPr>
          <w:rFonts w:ascii="Calibri" w:eastAsia="Times New Roman" w:hAnsi="Calibri"/>
          <w:caps w:val="0"/>
          <w:noProof/>
          <w:sz w:val="22"/>
          <w:szCs w:val="22"/>
        </w:rPr>
      </w:pPr>
      <w:hyperlink w:anchor="_Toc467443634" w:history="1">
        <w:r w:rsidRPr="00C4626B">
          <w:rPr>
            <w:rStyle w:val="Hyperlink"/>
            <w:noProof/>
          </w:rPr>
          <w:t>PART II OBJECTIVES AND PRINCIPLES</w:t>
        </w:r>
        <w:r>
          <w:rPr>
            <w:noProof/>
            <w:webHidden/>
          </w:rPr>
          <w:tab/>
        </w:r>
        <w:r>
          <w:rPr>
            <w:noProof/>
            <w:webHidden/>
          </w:rPr>
          <w:fldChar w:fldCharType="begin"/>
        </w:r>
        <w:r>
          <w:rPr>
            <w:noProof/>
            <w:webHidden/>
          </w:rPr>
          <w:instrText xml:space="preserve"> PAGEREF _Toc467443634 \h </w:instrText>
        </w:r>
        <w:r>
          <w:rPr>
            <w:noProof/>
            <w:webHidden/>
          </w:rPr>
        </w:r>
        <w:r>
          <w:rPr>
            <w:noProof/>
            <w:webHidden/>
          </w:rPr>
          <w:fldChar w:fldCharType="separate"/>
        </w:r>
        <w:r w:rsidR="000B7A6E">
          <w:rPr>
            <w:noProof/>
            <w:webHidden/>
          </w:rPr>
          <w:t>3</w:t>
        </w:r>
        <w:r>
          <w:rPr>
            <w:noProof/>
            <w:webHidden/>
          </w:rPr>
          <w:fldChar w:fldCharType="end"/>
        </w:r>
      </w:hyperlink>
    </w:p>
    <w:p w:rsidR="00003F00" w:rsidRPr="00003F00" w:rsidRDefault="00003F00">
      <w:pPr>
        <w:pStyle w:val="TOC2"/>
        <w:tabs>
          <w:tab w:val="right" w:leader="dot" w:pos="9017"/>
        </w:tabs>
        <w:rPr>
          <w:rFonts w:ascii="Calibri" w:eastAsia="Times New Roman" w:hAnsi="Calibri"/>
          <w:bCs w:val="0"/>
          <w:caps w:val="0"/>
          <w:noProof/>
          <w:sz w:val="22"/>
          <w:szCs w:val="22"/>
        </w:rPr>
      </w:pPr>
      <w:hyperlink w:anchor="_Toc467443635" w:history="1">
        <w:r w:rsidRPr="00C4626B">
          <w:rPr>
            <w:rStyle w:val="Hyperlink"/>
            <w:noProof/>
          </w:rPr>
          <w:t>Article 3 Objectives</w:t>
        </w:r>
        <w:r>
          <w:rPr>
            <w:noProof/>
            <w:webHidden/>
          </w:rPr>
          <w:tab/>
        </w:r>
        <w:r>
          <w:rPr>
            <w:noProof/>
            <w:webHidden/>
          </w:rPr>
          <w:fldChar w:fldCharType="begin"/>
        </w:r>
        <w:r>
          <w:rPr>
            <w:noProof/>
            <w:webHidden/>
          </w:rPr>
          <w:instrText xml:space="preserve"> PAGEREF _Toc467443635 \h </w:instrText>
        </w:r>
        <w:r>
          <w:rPr>
            <w:noProof/>
            <w:webHidden/>
          </w:rPr>
        </w:r>
        <w:r>
          <w:rPr>
            <w:noProof/>
            <w:webHidden/>
          </w:rPr>
          <w:fldChar w:fldCharType="separate"/>
        </w:r>
        <w:r w:rsidR="000B7A6E">
          <w:rPr>
            <w:noProof/>
            <w:webHidden/>
          </w:rPr>
          <w:t>3</w:t>
        </w:r>
        <w:r>
          <w:rPr>
            <w:noProof/>
            <w:webHidden/>
          </w:rPr>
          <w:fldChar w:fldCharType="end"/>
        </w:r>
      </w:hyperlink>
    </w:p>
    <w:p w:rsidR="00003F00" w:rsidRPr="00003F00" w:rsidRDefault="00003F00">
      <w:pPr>
        <w:pStyle w:val="TOC2"/>
        <w:tabs>
          <w:tab w:val="right" w:leader="dot" w:pos="9017"/>
        </w:tabs>
        <w:rPr>
          <w:rFonts w:ascii="Calibri" w:eastAsia="Times New Roman" w:hAnsi="Calibri"/>
          <w:bCs w:val="0"/>
          <w:caps w:val="0"/>
          <w:noProof/>
          <w:sz w:val="22"/>
          <w:szCs w:val="22"/>
        </w:rPr>
      </w:pPr>
      <w:hyperlink w:anchor="_Toc467443636" w:history="1">
        <w:r w:rsidRPr="00C4626B">
          <w:rPr>
            <w:rStyle w:val="Hyperlink"/>
            <w:noProof/>
          </w:rPr>
          <w:t>Article 4 Principles of the implementation of the ASEAN Single Window</w:t>
        </w:r>
        <w:r>
          <w:rPr>
            <w:noProof/>
            <w:webHidden/>
          </w:rPr>
          <w:tab/>
        </w:r>
        <w:r>
          <w:rPr>
            <w:noProof/>
            <w:webHidden/>
          </w:rPr>
          <w:fldChar w:fldCharType="begin"/>
        </w:r>
        <w:r>
          <w:rPr>
            <w:noProof/>
            <w:webHidden/>
          </w:rPr>
          <w:instrText xml:space="preserve"> PAGEREF _Toc467443636 \h </w:instrText>
        </w:r>
        <w:r>
          <w:rPr>
            <w:noProof/>
            <w:webHidden/>
          </w:rPr>
        </w:r>
        <w:r>
          <w:rPr>
            <w:noProof/>
            <w:webHidden/>
          </w:rPr>
          <w:fldChar w:fldCharType="separate"/>
        </w:r>
        <w:r w:rsidR="000B7A6E">
          <w:rPr>
            <w:noProof/>
            <w:webHidden/>
          </w:rPr>
          <w:t>4</w:t>
        </w:r>
        <w:r>
          <w:rPr>
            <w:noProof/>
            <w:webHidden/>
          </w:rPr>
          <w:fldChar w:fldCharType="end"/>
        </w:r>
      </w:hyperlink>
    </w:p>
    <w:p w:rsidR="00003F00" w:rsidRPr="00003F00" w:rsidRDefault="00003F00">
      <w:pPr>
        <w:pStyle w:val="TOC1"/>
        <w:tabs>
          <w:tab w:val="right" w:leader="dot" w:pos="9017"/>
        </w:tabs>
        <w:rPr>
          <w:rFonts w:ascii="Calibri" w:eastAsia="Times New Roman" w:hAnsi="Calibri"/>
          <w:caps w:val="0"/>
          <w:noProof/>
          <w:sz w:val="22"/>
          <w:szCs w:val="22"/>
        </w:rPr>
      </w:pPr>
      <w:hyperlink w:anchor="_Toc467443637" w:history="1">
        <w:r w:rsidRPr="00C4626B">
          <w:rPr>
            <w:rStyle w:val="Hyperlink"/>
            <w:noProof/>
          </w:rPr>
          <w:t>PART III DEVELOPMENT OF THE ASEAN SINGLE WINDOW</w:t>
        </w:r>
        <w:r>
          <w:rPr>
            <w:noProof/>
            <w:webHidden/>
          </w:rPr>
          <w:tab/>
        </w:r>
        <w:r>
          <w:rPr>
            <w:noProof/>
            <w:webHidden/>
          </w:rPr>
          <w:fldChar w:fldCharType="begin"/>
        </w:r>
        <w:r>
          <w:rPr>
            <w:noProof/>
            <w:webHidden/>
          </w:rPr>
          <w:instrText xml:space="preserve"> PAGEREF _Toc467443637 \h </w:instrText>
        </w:r>
        <w:r>
          <w:rPr>
            <w:noProof/>
            <w:webHidden/>
          </w:rPr>
        </w:r>
        <w:r>
          <w:rPr>
            <w:noProof/>
            <w:webHidden/>
          </w:rPr>
          <w:fldChar w:fldCharType="separate"/>
        </w:r>
        <w:r w:rsidR="000B7A6E">
          <w:rPr>
            <w:noProof/>
            <w:webHidden/>
          </w:rPr>
          <w:t>4</w:t>
        </w:r>
        <w:r>
          <w:rPr>
            <w:noProof/>
            <w:webHidden/>
          </w:rPr>
          <w:fldChar w:fldCharType="end"/>
        </w:r>
      </w:hyperlink>
    </w:p>
    <w:p w:rsidR="00003F00" w:rsidRPr="00003F00" w:rsidRDefault="00003F00">
      <w:pPr>
        <w:pStyle w:val="TOC2"/>
        <w:tabs>
          <w:tab w:val="right" w:leader="dot" w:pos="9017"/>
        </w:tabs>
        <w:rPr>
          <w:rFonts w:ascii="Calibri" w:eastAsia="Times New Roman" w:hAnsi="Calibri"/>
          <w:bCs w:val="0"/>
          <w:caps w:val="0"/>
          <w:noProof/>
          <w:sz w:val="22"/>
          <w:szCs w:val="22"/>
        </w:rPr>
      </w:pPr>
      <w:hyperlink w:anchor="_Toc467443638" w:history="1">
        <w:r w:rsidRPr="00C4626B">
          <w:rPr>
            <w:rStyle w:val="Hyperlink"/>
            <w:noProof/>
          </w:rPr>
          <w:t>Article 5 Obligations of Member Countries</w:t>
        </w:r>
        <w:r>
          <w:rPr>
            <w:noProof/>
            <w:webHidden/>
          </w:rPr>
          <w:tab/>
        </w:r>
        <w:r>
          <w:rPr>
            <w:noProof/>
            <w:webHidden/>
          </w:rPr>
          <w:fldChar w:fldCharType="begin"/>
        </w:r>
        <w:r>
          <w:rPr>
            <w:noProof/>
            <w:webHidden/>
          </w:rPr>
          <w:instrText xml:space="preserve"> PAGEREF _Toc467443638 \h </w:instrText>
        </w:r>
        <w:r>
          <w:rPr>
            <w:noProof/>
            <w:webHidden/>
          </w:rPr>
        </w:r>
        <w:r>
          <w:rPr>
            <w:noProof/>
            <w:webHidden/>
          </w:rPr>
          <w:fldChar w:fldCharType="separate"/>
        </w:r>
        <w:r w:rsidR="000B7A6E">
          <w:rPr>
            <w:noProof/>
            <w:webHidden/>
          </w:rPr>
          <w:t>4</w:t>
        </w:r>
        <w:r>
          <w:rPr>
            <w:noProof/>
            <w:webHidden/>
          </w:rPr>
          <w:fldChar w:fldCharType="end"/>
        </w:r>
      </w:hyperlink>
    </w:p>
    <w:p w:rsidR="00003F00" w:rsidRPr="00003F00" w:rsidRDefault="00003F00">
      <w:pPr>
        <w:pStyle w:val="TOC2"/>
        <w:tabs>
          <w:tab w:val="right" w:leader="dot" w:pos="9017"/>
        </w:tabs>
        <w:rPr>
          <w:rFonts w:ascii="Calibri" w:eastAsia="Times New Roman" w:hAnsi="Calibri"/>
          <w:bCs w:val="0"/>
          <w:caps w:val="0"/>
          <w:noProof/>
          <w:sz w:val="22"/>
          <w:szCs w:val="22"/>
        </w:rPr>
      </w:pPr>
      <w:hyperlink w:anchor="_Toc467443639" w:history="1">
        <w:r w:rsidRPr="00C4626B">
          <w:rPr>
            <w:rStyle w:val="Hyperlink"/>
            <w:noProof/>
          </w:rPr>
          <w:t>Article 6 Technical Matters of the ASEAN Single Window</w:t>
        </w:r>
        <w:r>
          <w:rPr>
            <w:noProof/>
            <w:webHidden/>
          </w:rPr>
          <w:tab/>
        </w:r>
        <w:r>
          <w:rPr>
            <w:noProof/>
            <w:webHidden/>
          </w:rPr>
          <w:fldChar w:fldCharType="begin"/>
        </w:r>
        <w:r>
          <w:rPr>
            <w:noProof/>
            <w:webHidden/>
          </w:rPr>
          <w:instrText xml:space="preserve"> PAGEREF _Toc467443639 \h </w:instrText>
        </w:r>
        <w:r>
          <w:rPr>
            <w:noProof/>
            <w:webHidden/>
          </w:rPr>
        </w:r>
        <w:r>
          <w:rPr>
            <w:noProof/>
            <w:webHidden/>
          </w:rPr>
          <w:fldChar w:fldCharType="separate"/>
        </w:r>
        <w:r w:rsidR="000B7A6E">
          <w:rPr>
            <w:noProof/>
            <w:webHidden/>
          </w:rPr>
          <w:t>4</w:t>
        </w:r>
        <w:r>
          <w:rPr>
            <w:noProof/>
            <w:webHidden/>
          </w:rPr>
          <w:fldChar w:fldCharType="end"/>
        </w:r>
      </w:hyperlink>
    </w:p>
    <w:p w:rsidR="00003F00" w:rsidRPr="00003F00" w:rsidRDefault="00003F00">
      <w:pPr>
        <w:pStyle w:val="TOC1"/>
        <w:tabs>
          <w:tab w:val="right" w:leader="dot" w:pos="9017"/>
        </w:tabs>
        <w:rPr>
          <w:rFonts w:ascii="Calibri" w:eastAsia="Times New Roman" w:hAnsi="Calibri"/>
          <w:caps w:val="0"/>
          <w:noProof/>
          <w:sz w:val="22"/>
          <w:szCs w:val="22"/>
        </w:rPr>
      </w:pPr>
      <w:hyperlink w:anchor="_Toc467443640" w:history="1">
        <w:r w:rsidRPr="00C4626B">
          <w:rPr>
            <w:rStyle w:val="Hyperlink"/>
            <w:noProof/>
          </w:rPr>
          <w:t>PART IV IMPLEMENTATION</w:t>
        </w:r>
        <w:r>
          <w:rPr>
            <w:noProof/>
            <w:webHidden/>
          </w:rPr>
          <w:tab/>
        </w:r>
        <w:r>
          <w:rPr>
            <w:noProof/>
            <w:webHidden/>
          </w:rPr>
          <w:fldChar w:fldCharType="begin"/>
        </w:r>
        <w:r>
          <w:rPr>
            <w:noProof/>
            <w:webHidden/>
          </w:rPr>
          <w:instrText xml:space="preserve"> PAGEREF _Toc467443640 \h </w:instrText>
        </w:r>
        <w:r>
          <w:rPr>
            <w:noProof/>
            <w:webHidden/>
          </w:rPr>
        </w:r>
        <w:r>
          <w:rPr>
            <w:noProof/>
            <w:webHidden/>
          </w:rPr>
          <w:fldChar w:fldCharType="separate"/>
        </w:r>
        <w:r w:rsidR="000B7A6E">
          <w:rPr>
            <w:noProof/>
            <w:webHidden/>
          </w:rPr>
          <w:t>5</w:t>
        </w:r>
        <w:r>
          <w:rPr>
            <w:noProof/>
            <w:webHidden/>
          </w:rPr>
          <w:fldChar w:fldCharType="end"/>
        </w:r>
      </w:hyperlink>
    </w:p>
    <w:p w:rsidR="00003F00" w:rsidRPr="00003F00" w:rsidRDefault="00003F00">
      <w:pPr>
        <w:pStyle w:val="TOC2"/>
        <w:tabs>
          <w:tab w:val="right" w:leader="dot" w:pos="9017"/>
        </w:tabs>
        <w:rPr>
          <w:rFonts w:ascii="Calibri" w:eastAsia="Times New Roman" w:hAnsi="Calibri"/>
          <w:bCs w:val="0"/>
          <w:caps w:val="0"/>
          <w:noProof/>
          <w:sz w:val="22"/>
          <w:szCs w:val="22"/>
        </w:rPr>
      </w:pPr>
      <w:hyperlink w:anchor="_Toc467443641" w:history="1">
        <w:r w:rsidRPr="00C4626B">
          <w:rPr>
            <w:rStyle w:val="Hyperlink"/>
            <w:noProof/>
          </w:rPr>
          <w:t>Article 7 Monitoring Mechanisms</w:t>
        </w:r>
        <w:r>
          <w:rPr>
            <w:noProof/>
            <w:webHidden/>
          </w:rPr>
          <w:tab/>
        </w:r>
        <w:r>
          <w:rPr>
            <w:noProof/>
            <w:webHidden/>
          </w:rPr>
          <w:fldChar w:fldCharType="begin"/>
        </w:r>
        <w:r>
          <w:rPr>
            <w:noProof/>
            <w:webHidden/>
          </w:rPr>
          <w:instrText xml:space="preserve"> PAGEREF _Toc467443641 \h </w:instrText>
        </w:r>
        <w:r>
          <w:rPr>
            <w:noProof/>
            <w:webHidden/>
          </w:rPr>
        </w:r>
        <w:r>
          <w:rPr>
            <w:noProof/>
            <w:webHidden/>
          </w:rPr>
          <w:fldChar w:fldCharType="separate"/>
        </w:r>
        <w:r w:rsidR="000B7A6E">
          <w:rPr>
            <w:noProof/>
            <w:webHidden/>
          </w:rPr>
          <w:t>5</w:t>
        </w:r>
        <w:r>
          <w:rPr>
            <w:noProof/>
            <w:webHidden/>
          </w:rPr>
          <w:fldChar w:fldCharType="end"/>
        </w:r>
      </w:hyperlink>
    </w:p>
    <w:p w:rsidR="00003F00" w:rsidRPr="00003F00" w:rsidRDefault="00003F00">
      <w:pPr>
        <w:pStyle w:val="TOC1"/>
        <w:tabs>
          <w:tab w:val="right" w:leader="dot" w:pos="9017"/>
        </w:tabs>
        <w:rPr>
          <w:rFonts w:ascii="Calibri" w:eastAsia="Times New Roman" w:hAnsi="Calibri"/>
          <w:caps w:val="0"/>
          <w:noProof/>
          <w:sz w:val="22"/>
          <w:szCs w:val="22"/>
        </w:rPr>
      </w:pPr>
      <w:hyperlink w:anchor="_Toc467443642" w:history="1">
        <w:r w:rsidRPr="00C4626B">
          <w:rPr>
            <w:rStyle w:val="Hyperlink"/>
            <w:noProof/>
          </w:rPr>
          <w:t>PART V OTHER PROVISIONS</w:t>
        </w:r>
        <w:r>
          <w:rPr>
            <w:noProof/>
            <w:webHidden/>
          </w:rPr>
          <w:tab/>
        </w:r>
        <w:r>
          <w:rPr>
            <w:noProof/>
            <w:webHidden/>
          </w:rPr>
          <w:fldChar w:fldCharType="begin"/>
        </w:r>
        <w:r>
          <w:rPr>
            <w:noProof/>
            <w:webHidden/>
          </w:rPr>
          <w:instrText xml:space="preserve"> PAGEREF _Toc467443642 \h </w:instrText>
        </w:r>
        <w:r>
          <w:rPr>
            <w:noProof/>
            <w:webHidden/>
          </w:rPr>
        </w:r>
        <w:r>
          <w:rPr>
            <w:noProof/>
            <w:webHidden/>
          </w:rPr>
          <w:fldChar w:fldCharType="separate"/>
        </w:r>
        <w:r w:rsidR="000B7A6E">
          <w:rPr>
            <w:noProof/>
            <w:webHidden/>
          </w:rPr>
          <w:t>5</w:t>
        </w:r>
        <w:r>
          <w:rPr>
            <w:noProof/>
            <w:webHidden/>
          </w:rPr>
          <w:fldChar w:fldCharType="end"/>
        </w:r>
      </w:hyperlink>
    </w:p>
    <w:p w:rsidR="00003F00" w:rsidRPr="00003F00" w:rsidRDefault="00003F00">
      <w:pPr>
        <w:pStyle w:val="TOC2"/>
        <w:tabs>
          <w:tab w:val="right" w:leader="dot" w:pos="9017"/>
        </w:tabs>
        <w:rPr>
          <w:rFonts w:ascii="Calibri" w:eastAsia="Times New Roman" w:hAnsi="Calibri"/>
          <w:bCs w:val="0"/>
          <w:caps w:val="0"/>
          <w:noProof/>
          <w:sz w:val="22"/>
          <w:szCs w:val="22"/>
        </w:rPr>
      </w:pPr>
      <w:hyperlink w:anchor="_Toc467443643" w:history="1">
        <w:r w:rsidRPr="00C4626B">
          <w:rPr>
            <w:rStyle w:val="Hyperlink"/>
            <w:noProof/>
          </w:rPr>
          <w:t>Article 8 Dispute Settlement</w:t>
        </w:r>
        <w:r>
          <w:rPr>
            <w:noProof/>
            <w:webHidden/>
          </w:rPr>
          <w:tab/>
        </w:r>
        <w:r>
          <w:rPr>
            <w:noProof/>
            <w:webHidden/>
          </w:rPr>
          <w:fldChar w:fldCharType="begin"/>
        </w:r>
        <w:r>
          <w:rPr>
            <w:noProof/>
            <w:webHidden/>
          </w:rPr>
          <w:instrText xml:space="preserve"> PAGEREF _Toc467443643 \h </w:instrText>
        </w:r>
        <w:r>
          <w:rPr>
            <w:noProof/>
            <w:webHidden/>
          </w:rPr>
        </w:r>
        <w:r>
          <w:rPr>
            <w:noProof/>
            <w:webHidden/>
          </w:rPr>
          <w:fldChar w:fldCharType="separate"/>
        </w:r>
        <w:r w:rsidR="000B7A6E">
          <w:rPr>
            <w:noProof/>
            <w:webHidden/>
          </w:rPr>
          <w:t>5</w:t>
        </w:r>
        <w:r>
          <w:rPr>
            <w:noProof/>
            <w:webHidden/>
          </w:rPr>
          <w:fldChar w:fldCharType="end"/>
        </w:r>
      </w:hyperlink>
    </w:p>
    <w:p w:rsidR="00003F00" w:rsidRPr="00003F00" w:rsidRDefault="00003F00">
      <w:pPr>
        <w:pStyle w:val="TOC2"/>
        <w:tabs>
          <w:tab w:val="right" w:leader="dot" w:pos="9017"/>
        </w:tabs>
        <w:rPr>
          <w:rFonts w:ascii="Calibri" w:eastAsia="Times New Roman" w:hAnsi="Calibri"/>
          <w:bCs w:val="0"/>
          <w:caps w:val="0"/>
          <w:noProof/>
          <w:sz w:val="22"/>
          <w:szCs w:val="22"/>
        </w:rPr>
      </w:pPr>
      <w:hyperlink w:anchor="_Toc467443644" w:history="1">
        <w:r w:rsidRPr="00C4626B">
          <w:rPr>
            <w:rStyle w:val="Hyperlink"/>
            <w:noProof/>
          </w:rPr>
          <w:t>Article 9 Further Measures</w:t>
        </w:r>
        <w:r>
          <w:rPr>
            <w:noProof/>
            <w:webHidden/>
          </w:rPr>
          <w:tab/>
        </w:r>
        <w:r>
          <w:rPr>
            <w:noProof/>
            <w:webHidden/>
          </w:rPr>
          <w:fldChar w:fldCharType="begin"/>
        </w:r>
        <w:r>
          <w:rPr>
            <w:noProof/>
            <w:webHidden/>
          </w:rPr>
          <w:instrText xml:space="preserve"> PAGEREF _Toc467443644 \h </w:instrText>
        </w:r>
        <w:r>
          <w:rPr>
            <w:noProof/>
            <w:webHidden/>
          </w:rPr>
        </w:r>
        <w:r>
          <w:rPr>
            <w:noProof/>
            <w:webHidden/>
          </w:rPr>
          <w:fldChar w:fldCharType="separate"/>
        </w:r>
        <w:r w:rsidR="000B7A6E">
          <w:rPr>
            <w:noProof/>
            <w:webHidden/>
          </w:rPr>
          <w:t>5</w:t>
        </w:r>
        <w:r>
          <w:rPr>
            <w:noProof/>
            <w:webHidden/>
          </w:rPr>
          <w:fldChar w:fldCharType="end"/>
        </w:r>
      </w:hyperlink>
    </w:p>
    <w:p w:rsidR="00003F00" w:rsidRPr="00003F00" w:rsidRDefault="00003F00">
      <w:pPr>
        <w:pStyle w:val="TOC2"/>
        <w:tabs>
          <w:tab w:val="right" w:leader="dot" w:pos="9017"/>
        </w:tabs>
        <w:rPr>
          <w:rFonts w:ascii="Calibri" w:eastAsia="Times New Roman" w:hAnsi="Calibri"/>
          <w:bCs w:val="0"/>
          <w:caps w:val="0"/>
          <w:noProof/>
          <w:sz w:val="22"/>
          <w:szCs w:val="22"/>
        </w:rPr>
      </w:pPr>
      <w:hyperlink w:anchor="_Toc467443645" w:history="1">
        <w:r w:rsidRPr="00C4626B">
          <w:rPr>
            <w:rStyle w:val="Hyperlink"/>
            <w:noProof/>
          </w:rPr>
          <w:t>Article 10 Final Provisions</w:t>
        </w:r>
        <w:r>
          <w:rPr>
            <w:noProof/>
            <w:webHidden/>
          </w:rPr>
          <w:tab/>
        </w:r>
        <w:r>
          <w:rPr>
            <w:noProof/>
            <w:webHidden/>
          </w:rPr>
          <w:fldChar w:fldCharType="begin"/>
        </w:r>
        <w:r>
          <w:rPr>
            <w:noProof/>
            <w:webHidden/>
          </w:rPr>
          <w:instrText xml:space="preserve"> PAGEREF _Toc467443645 \h </w:instrText>
        </w:r>
        <w:r>
          <w:rPr>
            <w:noProof/>
            <w:webHidden/>
          </w:rPr>
        </w:r>
        <w:r>
          <w:rPr>
            <w:noProof/>
            <w:webHidden/>
          </w:rPr>
          <w:fldChar w:fldCharType="separate"/>
        </w:r>
        <w:r w:rsidR="000B7A6E">
          <w:rPr>
            <w:noProof/>
            <w:webHidden/>
          </w:rPr>
          <w:t>5</w:t>
        </w:r>
        <w:r>
          <w:rPr>
            <w:noProof/>
            <w:webHidden/>
          </w:rPr>
          <w:fldChar w:fldCharType="end"/>
        </w:r>
      </w:hyperlink>
    </w:p>
    <w:p w:rsidR="00003F00" w:rsidRPr="00003F00" w:rsidRDefault="00003F00">
      <w:pPr>
        <w:pStyle w:val="TOC2"/>
        <w:tabs>
          <w:tab w:val="right" w:leader="dot" w:pos="9017"/>
        </w:tabs>
        <w:rPr>
          <w:rFonts w:ascii="Calibri" w:eastAsia="Times New Roman" w:hAnsi="Calibri"/>
          <w:bCs w:val="0"/>
          <w:caps w:val="0"/>
          <w:noProof/>
          <w:sz w:val="22"/>
          <w:szCs w:val="22"/>
        </w:rPr>
      </w:pPr>
      <w:hyperlink w:anchor="_Toc467443646" w:history="1">
        <w:r w:rsidRPr="00C4626B">
          <w:rPr>
            <w:rStyle w:val="Hyperlink"/>
            <w:noProof/>
          </w:rPr>
          <w:t>Article 11 Entry into Force</w:t>
        </w:r>
        <w:r>
          <w:rPr>
            <w:noProof/>
            <w:webHidden/>
          </w:rPr>
          <w:tab/>
        </w:r>
        <w:r>
          <w:rPr>
            <w:noProof/>
            <w:webHidden/>
          </w:rPr>
          <w:fldChar w:fldCharType="begin"/>
        </w:r>
        <w:r>
          <w:rPr>
            <w:noProof/>
            <w:webHidden/>
          </w:rPr>
          <w:instrText xml:space="preserve"> PAGEREF _Toc467443646 \h </w:instrText>
        </w:r>
        <w:r>
          <w:rPr>
            <w:noProof/>
            <w:webHidden/>
          </w:rPr>
        </w:r>
        <w:r>
          <w:rPr>
            <w:noProof/>
            <w:webHidden/>
          </w:rPr>
          <w:fldChar w:fldCharType="separate"/>
        </w:r>
        <w:r w:rsidR="000B7A6E">
          <w:rPr>
            <w:noProof/>
            <w:webHidden/>
          </w:rPr>
          <w:t>5</w:t>
        </w:r>
        <w:r>
          <w:rPr>
            <w:noProof/>
            <w:webHidden/>
          </w:rPr>
          <w:fldChar w:fldCharType="end"/>
        </w:r>
      </w:hyperlink>
    </w:p>
    <w:p w:rsidR="00003F00" w:rsidRDefault="00003F00">
      <w:r>
        <w:rPr>
          <w:b/>
          <w:bCs/>
          <w:noProof/>
        </w:rPr>
        <w:fldChar w:fldCharType="end"/>
      </w:r>
    </w:p>
    <w:p w:rsidR="00003F00" w:rsidRDefault="00003F00" w:rsidP="00003F00">
      <w:pPr>
        <w:pStyle w:val="CILTitle"/>
      </w:pPr>
      <w:bookmarkStart w:id="0" w:name="_GoBack"/>
      <w:bookmarkEnd w:id="0"/>
      <w:r>
        <w:br w:type="page"/>
      </w:r>
      <w:r>
        <w:lastRenderedPageBreak/>
        <w:t xml:space="preserve">2005 Agreement to Establish and Implement the ASEAN Single Window </w:t>
      </w:r>
    </w:p>
    <w:p w:rsidR="00003F00" w:rsidRDefault="00003F00" w:rsidP="00003F00">
      <w:pPr>
        <w:pStyle w:val="CILSubtitle"/>
      </w:pPr>
      <w:r>
        <w:t>Adopted in Kuala Lumpur, Malaysia on 9 December 2005</w:t>
      </w:r>
    </w:p>
    <w:p w:rsidR="00003F00" w:rsidRDefault="00003F00" w:rsidP="0048247A"/>
    <w:p w:rsidR="0048247A" w:rsidRDefault="0048247A" w:rsidP="0048247A">
      <w:r>
        <w:t>The Governments of Brunei Darussalam, the Kingdom of Cambodia, the Republic of Indonesia, the Lao People’s Democratic Republic (hereinafter referred to as “Lao PDR”), Malaysia, the Union of Myanmar, the Republic of the Philippines, the Republic of Singapore, the Kingdom of Thailand and the Socialist Republic of Viet Nam, Member Countries of the Association of South East Asian Nations (hereinafter collectively referred to as “ASEAN” or “Member Countries” or ind</w:t>
      </w:r>
      <w:r w:rsidR="00003F00">
        <w:t>ividually as “Member Country”):</w:t>
      </w:r>
    </w:p>
    <w:p w:rsidR="0048247A" w:rsidRDefault="0048247A" w:rsidP="0048247A">
      <w:r w:rsidRPr="009261E1">
        <w:rPr>
          <w:b/>
        </w:rPr>
        <w:t>RECALLING</w:t>
      </w:r>
      <w:r>
        <w:t xml:space="preserve"> the Declaration of ASEAN Concord II (Bali Concord II) of October 7 2003, pursuant to which ASEAN is working towards the </w:t>
      </w:r>
      <w:proofErr w:type="spellStart"/>
      <w:r>
        <w:t>realisation</w:t>
      </w:r>
      <w:proofErr w:type="spellEnd"/>
      <w:r>
        <w:t xml:space="preserve"> of an AS</w:t>
      </w:r>
      <w:r w:rsidR="00003F00">
        <w:t>EAN Economic Community by 2020;</w:t>
      </w:r>
    </w:p>
    <w:p w:rsidR="0048247A" w:rsidRDefault="0048247A" w:rsidP="0048247A">
      <w:r w:rsidRPr="009261E1">
        <w:rPr>
          <w:b/>
        </w:rPr>
        <w:t>RECALLING</w:t>
      </w:r>
      <w:r>
        <w:t xml:space="preserve"> that in moving towards the ASEAN Economic Community, ASEAN shall, inter alia, institute new mechanisms and measures to strengthen the implementation of its existing economic initiatives including th</w:t>
      </w:r>
      <w:r w:rsidR="00003F00">
        <w:t>e ASEAN Free Trade Area (AFTA);</w:t>
      </w:r>
    </w:p>
    <w:p w:rsidR="0048247A" w:rsidRDefault="0048247A" w:rsidP="0048247A">
      <w:r w:rsidRPr="009261E1">
        <w:rPr>
          <w:b/>
        </w:rPr>
        <w:t>RECOGNISING</w:t>
      </w:r>
      <w:r>
        <w:t xml:space="preserve"> that the ASEAN Cooperation in Customs supports the implementation of AFTA, and the establishment of the ASEAN Economic Community through i</w:t>
      </w:r>
      <w:r w:rsidR="00003F00">
        <w:t>ts trade facilitation measures;</w:t>
      </w:r>
    </w:p>
    <w:p w:rsidR="0048247A" w:rsidRDefault="0048247A" w:rsidP="0048247A">
      <w:r w:rsidRPr="009261E1">
        <w:rPr>
          <w:b/>
        </w:rPr>
        <w:t>RECALLING</w:t>
      </w:r>
      <w:r>
        <w:t xml:space="preserve"> the decision of the Leaders for ASEAN to adopt the Single Window approach including the electronic processing of trade documents at national and regional level as one of the mechanisms to </w:t>
      </w:r>
      <w:proofErr w:type="spellStart"/>
      <w:r>
        <w:t>realis</w:t>
      </w:r>
      <w:r w:rsidR="00003F00">
        <w:t>e</w:t>
      </w:r>
      <w:proofErr w:type="spellEnd"/>
      <w:r w:rsidR="00003F00">
        <w:t xml:space="preserve"> the ASEAN Economic Community;</w:t>
      </w:r>
    </w:p>
    <w:p w:rsidR="0048247A" w:rsidRDefault="0048247A" w:rsidP="0048247A">
      <w:r w:rsidRPr="009261E1">
        <w:rPr>
          <w:b/>
        </w:rPr>
        <w:t>RECALLING</w:t>
      </w:r>
      <w:r>
        <w:t xml:space="preserve"> Article 8(f) of the ASEAN Framework Agreement for the Integration of Priority Sectors, that Member Countries shall develop the Single Window approach, including the electronic processing of trade documents at national and regional level by 31 Dec</w:t>
      </w:r>
      <w:r w:rsidR="00003F00">
        <w:t>ember 2005;</w:t>
      </w:r>
    </w:p>
    <w:p w:rsidR="0048247A" w:rsidRDefault="0048247A" w:rsidP="0048247A">
      <w:r w:rsidRPr="009261E1">
        <w:rPr>
          <w:b/>
        </w:rPr>
        <w:t>RECALLING</w:t>
      </w:r>
      <w:r>
        <w:t xml:space="preserve"> that ASEAN Customs Administrations are ultimate decision-makers for release and clearance of cargo at import and export points on the basis of communicated information fro</w:t>
      </w:r>
      <w:r w:rsidR="00003F00">
        <w:t>m agencies of Member Countries;</w:t>
      </w:r>
    </w:p>
    <w:p w:rsidR="0048247A" w:rsidRDefault="0048247A" w:rsidP="0048247A">
      <w:r w:rsidRPr="009261E1">
        <w:rPr>
          <w:b/>
        </w:rPr>
        <w:t>RECALLING</w:t>
      </w:r>
      <w:r>
        <w:t xml:space="preserve"> the leading role by ASEAN Customs Administrations in the international supply chain, and in </w:t>
      </w:r>
      <w:r w:rsidR="00003F00">
        <w:t>trade facilitation initiatives;</w:t>
      </w:r>
    </w:p>
    <w:p w:rsidR="0048247A" w:rsidRDefault="0048247A" w:rsidP="0048247A">
      <w:r w:rsidRPr="009261E1">
        <w:rPr>
          <w:b/>
        </w:rPr>
        <w:t>NOTING</w:t>
      </w:r>
      <w:r>
        <w:t xml:space="preserve"> international best practices and provisions of GATT 1994 and the International Convention on the Simplification and Harmonization of Customs Procedures as well as other internationally accepted legal instruments for tr</w:t>
      </w:r>
      <w:r w:rsidR="00003F00">
        <w:t>ade facilitation as reference;</w:t>
      </w:r>
    </w:p>
    <w:p w:rsidR="0048247A" w:rsidRDefault="0048247A" w:rsidP="0048247A">
      <w:r w:rsidRPr="009261E1">
        <w:rPr>
          <w:b/>
        </w:rPr>
        <w:t>AGREEING</w:t>
      </w:r>
      <w:r>
        <w:t xml:space="preserve"> that an effective and efficient arrangement to expedite customs release and clearance will promote trade facilitation, achieve better economic efficiency and effectiveness of ASEAN economies and further the establishment of the ASEAN Econo</w:t>
      </w:r>
      <w:r w:rsidR="00003F00">
        <w:t>mic Community by the year 2020;</w:t>
      </w:r>
    </w:p>
    <w:p w:rsidR="0048247A" w:rsidRDefault="0048247A" w:rsidP="0048247A">
      <w:r w:rsidRPr="009261E1">
        <w:rPr>
          <w:b/>
        </w:rPr>
        <w:t>MINDFUL</w:t>
      </w:r>
      <w:r>
        <w:t xml:space="preserve"> of the different levels of economic development and diverse cultural b</w:t>
      </w:r>
      <w:r w:rsidR="00003F00">
        <w:t>ackgrounds of Member Countries;</w:t>
      </w:r>
    </w:p>
    <w:p w:rsidR="0048247A" w:rsidRDefault="004741B4" w:rsidP="0048247A">
      <w:r>
        <w:br w:type="page"/>
      </w:r>
      <w:r w:rsidR="0048247A" w:rsidRPr="009261E1">
        <w:rPr>
          <w:b/>
        </w:rPr>
        <w:lastRenderedPageBreak/>
        <w:t>MINDFUL</w:t>
      </w:r>
      <w:r w:rsidR="0048247A">
        <w:t xml:space="preserve"> of different systems and documentation requirements for clearance of goods </w:t>
      </w:r>
      <w:r w:rsidR="00003F00">
        <w:t>in use in Member Countries; and</w:t>
      </w:r>
    </w:p>
    <w:p w:rsidR="0048247A" w:rsidRDefault="0048247A" w:rsidP="0048247A">
      <w:r w:rsidRPr="009261E1">
        <w:rPr>
          <w:b/>
        </w:rPr>
        <w:t>DESIRING</w:t>
      </w:r>
      <w:r>
        <w:t xml:space="preserve"> to establish the legal framework for the establishment and the implementation of the ASEAN Sin</w:t>
      </w:r>
      <w:r w:rsidR="00003F00">
        <w:t>gle Window in Member Countries,</w:t>
      </w:r>
    </w:p>
    <w:p w:rsidR="0048247A" w:rsidRPr="009261E1" w:rsidRDefault="0048247A" w:rsidP="0048247A">
      <w:pPr>
        <w:rPr>
          <w:b/>
        </w:rPr>
      </w:pPr>
      <w:r w:rsidRPr="009261E1">
        <w:rPr>
          <w:b/>
        </w:rPr>
        <w:t>HAVE AGREED AS F</w:t>
      </w:r>
      <w:r w:rsidR="00003F00" w:rsidRPr="009261E1">
        <w:rPr>
          <w:b/>
        </w:rPr>
        <w:t>OLLOWS:</w:t>
      </w:r>
    </w:p>
    <w:p w:rsidR="0048247A" w:rsidRDefault="0048247A" w:rsidP="009261E1">
      <w:pPr>
        <w:pStyle w:val="Heading1"/>
      </w:pPr>
      <w:bookmarkStart w:id="1" w:name="_Toc467443631"/>
      <w:r>
        <w:t>PAR</w:t>
      </w:r>
      <w:r w:rsidR="00003F00">
        <w:t>T I</w:t>
      </w:r>
      <w:r w:rsidR="009261E1">
        <w:br/>
      </w:r>
      <w:r>
        <w:t>GENERAL PROVISIONS</w:t>
      </w:r>
      <w:bookmarkEnd w:id="1"/>
    </w:p>
    <w:p w:rsidR="0048247A" w:rsidRDefault="0048247A" w:rsidP="00003F00">
      <w:pPr>
        <w:pStyle w:val="Heading2"/>
      </w:pPr>
      <w:bookmarkStart w:id="2" w:name="_Toc467443632"/>
      <w:r>
        <w:t>Article 1</w:t>
      </w:r>
      <w:r w:rsidR="00003F00">
        <w:br/>
      </w:r>
      <w:r>
        <w:t>Definition of the ASEAN Single Window and the National Single Window</w:t>
      </w:r>
      <w:bookmarkEnd w:id="2"/>
    </w:p>
    <w:p w:rsidR="0048247A" w:rsidRDefault="0048247A" w:rsidP="00006641">
      <w:pPr>
        <w:numPr>
          <w:ilvl w:val="0"/>
          <w:numId w:val="1"/>
        </w:numPr>
      </w:pPr>
      <w:r>
        <w:t>The ASEAN Single Window is the environment where National Single Windows of Member C</w:t>
      </w:r>
      <w:r w:rsidR="00003F00">
        <w:t>ountries operate and integrate.</w:t>
      </w:r>
    </w:p>
    <w:p w:rsidR="0048247A" w:rsidRDefault="0048247A" w:rsidP="00006641">
      <w:pPr>
        <w:numPr>
          <w:ilvl w:val="0"/>
          <w:numId w:val="1"/>
        </w:numPr>
      </w:pPr>
      <w:r>
        <w:t>The National Single Wi</w:t>
      </w:r>
      <w:r w:rsidR="00003F00">
        <w:t>ndow is a system which enables:</w:t>
      </w:r>
    </w:p>
    <w:p w:rsidR="0048247A" w:rsidRDefault="0048247A" w:rsidP="00006641">
      <w:pPr>
        <w:numPr>
          <w:ilvl w:val="0"/>
          <w:numId w:val="2"/>
        </w:numPr>
      </w:pPr>
      <w:r>
        <w:t>a single submission of data and information;</w:t>
      </w:r>
    </w:p>
    <w:p w:rsidR="0048247A" w:rsidRDefault="0048247A" w:rsidP="00006641">
      <w:pPr>
        <w:numPr>
          <w:ilvl w:val="0"/>
          <w:numId w:val="2"/>
        </w:numPr>
      </w:pPr>
      <w:r>
        <w:t>a single and synchronous processing of data and information; and</w:t>
      </w:r>
    </w:p>
    <w:p w:rsidR="0048247A" w:rsidRDefault="0048247A" w:rsidP="00006641">
      <w:pPr>
        <w:numPr>
          <w:ilvl w:val="0"/>
          <w:numId w:val="2"/>
        </w:numPr>
      </w:pPr>
      <w:r>
        <w:t xml:space="preserve">a single decision-making for customs release and clearance. A single decision-making shall be uniformly interpreted as a single point of decision for the release of cargoes by the Customs on the basis of decisions, if required, taken by line ministries and agencies and communicated in </w:t>
      </w:r>
      <w:r w:rsidR="00003F00">
        <w:t>a timely manner to the Customs.</w:t>
      </w:r>
    </w:p>
    <w:p w:rsidR="0048247A" w:rsidRDefault="0048247A" w:rsidP="00003F00">
      <w:pPr>
        <w:pStyle w:val="Heading2"/>
      </w:pPr>
      <w:bookmarkStart w:id="3" w:name="_Toc467443633"/>
      <w:r>
        <w:t>Article 2</w:t>
      </w:r>
      <w:r w:rsidR="00003F00">
        <w:br/>
      </w:r>
      <w:r w:rsidR="009261E1">
        <w:t>g</w:t>
      </w:r>
      <w:r>
        <w:t>eneral Definitions</w:t>
      </w:r>
      <w:bookmarkEnd w:id="3"/>
    </w:p>
    <w:p w:rsidR="0048247A" w:rsidRDefault="0048247A" w:rsidP="0048247A">
      <w:r>
        <w:t xml:space="preserve">For </w:t>
      </w:r>
      <w:r w:rsidR="00003F00">
        <w:t>the purposes of this Agreement:</w:t>
      </w:r>
    </w:p>
    <w:p w:rsidR="0048247A" w:rsidRDefault="0048247A" w:rsidP="00006641">
      <w:pPr>
        <w:numPr>
          <w:ilvl w:val="0"/>
          <w:numId w:val="3"/>
        </w:numPr>
      </w:pPr>
      <w:r>
        <w:t>“Customs Administration” means the government agency which is responsible for the administration of Customs law and rela</w:t>
      </w:r>
      <w:r w:rsidR="00003F00">
        <w:t>ted national legislation.</w:t>
      </w:r>
    </w:p>
    <w:p w:rsidR="0048247A" w:rsidRDefault="0048247A" w:rsidP="00006641">
      <w:pPr>
        <w:numPr>
          <w:ilvl w:val="0"/>
          <w:numId w:val="3"/>
        </w:numPr>
      </w:pPr>
      <w:r>
        <w:t>“Lead agency” means the government agency appointed by Member Countries to take the leading role in the establishment and the implementat</w:t>
      </w:r>
      <w:r w:rsidR="00003F00">
        <w:t>ion of the ASEAN Single Window.</w:t>
      </w:r>
    </w:p>
    <w:p w:rsidR="0048247A" w:rsidRDefault="0048247A" w:rsidP="00006641">
      <w:pPr>
        <w:numPr>
          <w:ilvl w:val="0"/>
          <w:numId w:val="3"/>
        </w:numPr>
      </w:pPr>
      <w:r>
        <w:t xml:space="preserve">“Line ministries and agencies” means government agencies which are responsible for the administration and enforcement of trade laws and regulations as relevant to the </w:t>
      </w:r>
      <w:r w:rsidR="00003F00">
        <w:t>release and clearance of cargo.</w:t>
      </w:r>
    </w:p>
    <w:p w:rsidR="0048247A" w:rsidRDefault="0048247A" w:rsidP="009261E1">
      <w:pPr>
        <w:pStyle w:val="Heading1"/>
      </w:pPr>
      <w:bookmarkStart w:id="4" w:name="_Toc467443634"/>
      <w:r>
        <w:t>PART II</w:t>
      </w:r>
      <w:r w:rsidR="009261E1">
        <w:br/>
      </w:r>
      <w:r>
        <w:t>OBJECTIVES AND PRINCIPLES</w:t>
      </w:r>
      <w:bookmarkEnd w:id="4"/>
    </w:p>
    <w:p w:rsidR="0048247A" w:rsidRDefault="0048247A" w:rsidP="00003F00">
      <w:pPr>
        <w:pStyle w:val="Heading2"/>
      </w:pPr>
      <w:bookmarkStart w:id="5" w:name="_Toc467443635"/>
      <w:r>
        <w:t>Article 3</w:t>
      </w:r>
      <w:r w:rsidR="00003F00">
        <w:br/>
      </w:r>
      <w:r>
        <w:t>Objectives</w:t>
      </w:r>
      <w:bookmarkEnd w:id="5"/>
    </w:p>
    <w:p w:rsidR="0048247A" w:rsidRDefault="0048247A" w:rsidP="0048247A">
      <w:r>
        <w:t>The objectives of this Agreement to Establish and Implement the ASEAN Single Window (hereinafter referr</w:t>
      </w:r>
      <w:r w:rsidR="00003F00">
        <w:t>ed to as “this Agreement”) are:</w:t>
      </w:r>
    </w:p>
    <w:p w:rsidR="004741B4" w:rsidRDefault="0048247A" w:rsidP="00006641">
      <w:pPr>
        <w:numPr>
          <w:ilvl w:val="0"/>
          <w:numId w:val="4"/>
        </w:numPr>
      </w:pPr>
      <w:r>
        <w:lastRenderedPageBreak/>
        <w:t>To provide a legal framework to establish and imp</w:t>
      </w:r>
      <w:r w:rsidR="00003F00">
        <w:t>lement the ASEAN Single Window;</w:t>
      </w:r>
    </w:p>
    <w:p w:rsidR="0048247A" w:rsidRDefault="0048247A" w:rsidP="009261E1">
      <w:pPr>
        <w:pStyle w:val="ListParagraph"/>
        <w:numPr>
          <w:ilvl w:val="0"/>
          <w:numId w:val="4"/>
        </w:numPr>
      </w:pPr>
      <w:r>
        <w:t>To ensure the implementation of regional commitments by ASEAN to establish and imple</w:t>
      </w:r>
      <w:r w:rsidR="00003F00">
        <w:t>ment the ASEAN Single Window;</w:t>
      </w:r>
    </w:p>
    <w:p w:rsidR="0048247A" w:rsidRDefault="0048247A" w:rsidP="00006641">
      <w:pPr>
        <w:numPr>
          <w:ilvl w:val="0"/>
          <w:numId w:val="4"/>
        </w:numPr>
      </w:pPr>
      <w:r>
        <w:t>To strengthen the coordination and partnership among ASEAN Customs Administrations and relevant line ministries and agencies, and economic operators (importers, exporters, transport operators, express industries, customs brokers, forwarders, commercial banking entities and financial institutions, insurers, and those relevant to the international supply chain) to effectively and efficiently imp</w:t>
      </w:r>
      <w:r w:rsidR="00003F00">
        <w:t>lement the ASEAN Single Window.</w:t>
      </w:r>
    </w:p>
    <w:p w:rsidR="0048247A" w:rsidRDefault="0048247A" w:rsidP="00003F00">
      <w:pPr>
        <w:pStyle w:val="Heading2"/>
      </w:pPr>
      <w:bookmarkStart w:id="6" w:name="_Toc467443636"/>
      <w:r>
        <w:t>Article 4</w:t>
      </w:r>
      <w:r w:rsidR="00003F00">
        <w:br/>
      </w:r>
      <w:r>
        <w:t>Principles of the implementation of the ASEAN Single Window</w:t>
      </w:r>
      <w:bookmarkEnd w:id="6"/>
    </w:p>
    <w:p w:rsidR="0048247A" w:rsidRDefault="0048247A" w:rsidP="0048247A">
      <w:r>
        <w:t>Member Countries shall ensure that transactions, processes and decisions under their National Single Windows and the ASEAN Single Window are performed, carried out or made in a manner co</w:t>
      </w:r>
      <w:r w:rsidR="00003F00">
        <w:t>mplying with the principles of:</w:t>
      </w:r>
    </w:p>
    <w:p w:rsidR="0048247A" w:rsidRDefault="00003F00" w:rsidP="00006641">
      <w:pPr>
        <w:numPr>
          <w:ilvl w:val="0"/>
          <w:numId w:val="5"/>
        </w:numPr>
      </w:pPr>
      <w:r>
        <w:t>consistency;</w:t>
      </w:r>
    </w:p>
    <w:p w:rsidR="0048247A" w:rsidRDefault="00003F00" w:rsidP="00006641">
      <w:pPr>
        <w:numPr>
          <w:ilvl w:val="0"/>
          <w:numId w:val="5"/>
        </w:numPr>
      </w:pPr>
      <w:r>
        <w:t>simplicity;</w:t>
      </w:r>
    </w:p>
    <w:p w:rsidR="0048247A" w:rsidRDefault="0048247A" w:rsidP="00006641">
      <w:pPr>
        <w:numPr>
          <w:ilvl w:val="0"/>
          <w:numId w:val="5"/>
        </w:numPr>
      </w:pPr>
      <w:r>
        <w:t>transparency</w:t>
      </w:r>
      <w:r w:rsidR="00003F00">
        <w:t>; and</w:t>
      </w:r>
    </w:p>
    <w:p w:rsidR="0048247A" w:rsidRDefault="00003F00" w:rsidP="00006641">
      <w:pPr>
        <w:numPr>
          <w:ilvl w:val="0"/>
          <w:numId w:val="5"/>
        </w:numPr>
      </w:pPr>
      <w:r>
        <w:t>efficiency.</w:t>
      </w:r>
    </w:p>
    <w:p w:rsidR="0048247A" w:rsidRDefault="0048247A" w:rsidP="009261E1">
      <w:pPr>
        <w:pStyle w:val="Heading1"/>
      </w:pPr>
      <w:bookmarkStart w:id="7" w:name="_Toc467443637"/>
      <w:r>
        <w:t>PART III</w:t>
      </w:r>
      <w:r w:rsidR="009261E1">
        <w:br/>
      </w:r>
      <w:r>
        <w:t>DEVELOPMENT OF THE ASEAN SINGLE WINDOW</w:t>
      </w:r>
      <w:bookmarkEnd w:id="7"/>
    </w:p>
    <w:p w:rsidR="0048247A" w:rsidRDefault="0048247A" w:rsidP="00003F00">
      <w:pPr>
        <w:pStyle w:val="Heading2"/>
      </w:pPr>
      <w:bookmarkStart w:id="8" w:name="_Toc467443638"/>
      <w:r>
        <w:t>Article 5</w:t>
      </w:r>
      <w:r w:rsidR="00003F00">
        <w:br/>
      </w:r>
      <w:r>
        <w:t>Obligations of Member Countries</w:t>
      </w:r>
      <w:bookmarkEnd w:id="8"/>
    </w:p>
    <w:p w:rsidR="0048247A" w:rsidRDefault="0048247A" w:rsidP="00006641">
      <w:pPr>
        <w:numPr>
          <w:ilvl w:val="0"/>
          <w:numId w:val="6"/>
        </w:numPr>
      </w:pPr>
      <w:r>
        <w:t xml:space="preserve">Member Countries shall develop and implement their National Single Windows in a timely manner for the establishment of the ASEAN Single Window. Brunei Darussalam, Indonesia, Malaysia, Philippines, Thailand and Singapore shall </w:t>
      </w:r>
      <w:proofErr w:type="spellStart"/>
      <w:r>
        <w:t>operationalise</w:t>
      </w:r>
      <w:proofErr w:type="spellEnd"/>
      <w:r>
        <w:t xml:space="preserve"> their National Single Windows by 2008, at the latest. Cambodia, Lao PDR, Myanmar, and Viet Nam shall </w:t>
      </w:r>
      <w:proofErr w:type="spellStart"/>
      <w:r>
        <w:t>operationalise</w:t>
      </w:r>
      <w:proofErr w:type="spellEnd"/>
      <w:r>
        <w:t xml:space="preserve"> their National Single Windows no late</w:t>
      </w:r>
      <w:r w:rsidR="00003F00">
        <w:t>r than 2012.</w:t>
      </w:r>
    </w:p>
    <w:p w:rsidR="0048247A" w:rsidRDefault="0048247A" w:rsidP="00006641">
      <w:pPr>
        <w:numPr>
          <w:ilvl w:val="0"/>
          <w:numId w:val="6"/>
        </w:numPr>
      </w:pPr>
      <w:r>
        <w:t>Member Countries shall ensure that their line ministries and agencies co-operate with, and provide necessary information to their Lead agency in accordance with their national laws in the development and implementation of their National Si</w:t>
      </w:r>
      <w:r w:rsidR="00003F00">
        <w:t>ngle Windows.</w:t>
      </w:r>
    </w:p>
    <w:p w:rsidR="0048247A" w:rsidRDefault="0048247A" w:rsidP="00006641">
      <w:pPr>
        <w:numPr>
          <w:ilvl w:val="0"/>
          <w:numId w:val="6"/>
        </w:numPr>
      </w:pPr>
      <w:r>
        <w:t>Member Countries shall make use of information and communication technology that are in line with relevant internationally accepted standards in the development and implementation of</w:t>
      </w:r>
      <w:r w:rsidR="00003F00">
        <w:t xml:space="preserve"> their National Single Windows.</w:t>
      </w:r>
    </w:p>
    <w:p w:rsidR="0048247A" w:rsidRDefault="0048247A" w:rsidP="00006641">
      <w:pPr>
        <w:numPr>
          <w:ilvl w:val="0"/>
          <w:numId w:val="6"/>
        </w:numPr>
      </w:pPr>
      <w:r>
        <w:t>Member Countries shall work in partnership with industries and businesses to support the establishment of</w:t>
      </w:r>
      <w:r w:rsidR="00003F00">
        <w:t xml:space="preserve"> their National Single Windows.</w:t>
      </w:r>
    </w:p>
    <w:p w:rsidR="0048247A" w:rsidRDefault="0048247A" w:rsidP="00003F00">
      <w:pPr>
        <w:pStyle w:val="Heading2"/>
      </w:pPr>
      <w:bookmarkStart w:id="9" w:name="_Toc467443639"/>
      <w:r>
        <w:t>Article 6</w:t>
      </w:r>
      <w:r w:rsidR="00003F00">
        <w:br/>
      </w:r>
      <w:r>
        <w:t>Technical Matters of the ASEAN Single Window</w:t>
      </w:r>
      <w:bookmarkEnd w:id="9"/>
    </w:p>
    <w:p w:rsidR="004741B4" w:rsidRDefault="0048247A" w:rsidP="0048247A">
      <w:r>
        <w:lastRenderedPageBreak/>
        <w:t>Member Countries shall, by means of a Protocol to be agreed upon, adopt relevant internationally accepted standards, procedures, documents, technical details and formalities for the effective implementation of the ASEAN Single Window.</w:t>
      </w:r>
    </w:p>
    <w:p w:rsidR="00003F00" w:rsidRDefault="0048247A" w:rsidP="009261E1">
      <w:pPr>
        <w:pStyle w:val="Heading1"/>
      </w:pPr>
      <w:bookmarkStart w:id="10" w:name="_Toc467443640"/>
      <w:r>
        <w:t>PART IV</w:t>
      </w:r>
      <w:r w:rsidR="009261E1">
        <w:br/>
      </w:r>
      <w:r>
        <w:t>IMPLEMENTATION</w:t>
      </w:r>
      <w:bookmarkEnd w:id="10"/>
    </w:p>
    <w:p w:rsidR="0048247A" w:rsidRDefault="0048247A" w:rsidP="00003F00">
      <w:pPr>
        <w:pStyle w:val="Heading2"/>
      </w:pPr>
      <w:bookmarkStart w:id="11" w:name="_Toc467443641"/>
      <w:r>
        <w:t>Article 7</w:t>
      </w:r>
      <w:r w:rsidR="00003F00">
        <w:br/>
      </w:r>
      <w:r>
        <w:t>Monitoring Mechanisms</w:t>
      </w:r>
      <w:bookmarkEnd w:id="11"/>
    </w:p>
    <w:p w:rsidR="0048247A" w:rsidRDefault="0048247A" w:rsidP="00006641">
      <w:pPr>
        <w:numPr>
          <w:ilvl w:val="0"/>
          <w:numId w:val="7"/>
        </w:numPr>
      </w:pPr>
      <w:r>
        <w:t>The Ministers responsible for ASEAN economic integration, with the assistance of the Senior Economic Officials Meeting (SEOM) and the ASEAN Directors-General of Customs, shall regularly oversee, monitor, coordinate and review the im</w:t>
      </w:r>
      <w:r w:rsidR="00003F00">
        <w:t>plementation of this Agreement.</w:t>
      </w:r>
    </w:p>
    <w:p w:rsidR="0048247A" w:rsidRDefault="0048247A" w:rsidP="00006641">
      <w:pPr>
        <w:numPr>
          <w:ilvl w:val="0"/>
          <w:numId w:val="7"/>
        </w:numPr>
      </w:pPr>
      <w:r>
        <w:t>The ASE</w:t>
      </w:r>
      <w:r w:rsidR="00003F00">
        <w:t>AN Secretariat shall:</w:t>
      </w:r>
    </w:p>
    <w:p w:rsidR="0048247A" w:rsidRDefault="0048247A" w:rsidP="00006641">
      <w:pPr>
        <w:numPr>
          <w:ilvl w:val="0"/>
          <w:numId w:val="8"/>
        </w:numPr>
      </w:pPr>
      <w:r>
        <w:t>provide support to the Ministers, the SEOM, the ASEAN Directors-General of Customs and relevant ASEAN bodies for overseeing, monitoring, coordinating and reviewing the implem</w:t>
      </w:r>
      <w:r w:rsidR="00003F00">
        <w:t>entation of this Agreement; and</w:t>
      </w:r>
    </w:p>
    <w:p w:rsidR="0048247A" w:rsidRDefault="0048247A" w:rsidP="00006641">
      <w:pPr>
        <w:numPr>
          <w:ilvl w:val="0"/>
          <w:numId w:val="8"/>
        </w:numPr>
      </w:pPr>
      <w:r>
        <w:t>regularly report to the SEOM and the ASEAN Directors-General of Customs and Leaders of agencies of regional economic integration on the progress in the im</w:t>
      </w:r>
      <w:r w:rsidR="00003F00">
        <w:t>plementation of this Agreement.</w:t>
      </w:r>
    </w:p>
    <w:p w:rsidR="0048247A" w:rsidRDefault="0048247A" w:rsidP="009261E1">
      <w:pPr>
        <w:pStyle w:val="Heading1"/>
      </w:pPr>
      <w:bookmarkStart w:id="12" w:name="_Toc467443642"/>
      <w:r>
        <w:t>PART V</w:t>
      </w:r>
      <w:r w:rsidR="009261E1">
        <w:br/>
      </w:r>
      <w:r>
        <w:t>OTHER PROVISIONS</w:t>
      </w:r>
      <w:bookmarkEnd w:id="12"/>
    </w:p>
    <w:p w:rsidR="0048247A" w:rsidRDefault="0048247A" w:rsidP="00003F00">
      <w:pPr>
        <w:pStyle w:val="Heading2"/>
      </w:pPr>
      <w:bookmarkStart w:id="13" w:name="_Toc467443643"/>
      <w:r>
        <w:t>Article 8</w:t>
      </w:r>
      <w:r w:rsidR="00003F00">
        <w:br/>
      </w:r>
      <w:r>
        <w:t>Dispute Settlement</w:t>
      </w:r>
      <w:bookmarkEnd w:id="13"/>
    </w:p>
    <w:p w:rsidR="0048247A" w:rsidRDefault="0048247A" w:rsidP="0048247A">
      <w:r>
        <w:t>The provisions of the ASEAN Protocol on Enhanced Dispute Settlement Mechanism, done at Vientiane, Lao PDR on the 29th day of November 2004, shall apply to dispute</w:t>
      </w:r>
      <w:r w:rsidR="00003F00">
        <w:t>s arising under this Agreement.</w:t>
      </w:r>
    </w:p>
    <w:p w:rsidR="0048247A" w:rsidRDefault="0048247A" w:rsidP="00003F00">
      <w:pPr>
        <w:pStyle w:val="Heading2"/>
      </w:pPr>
      <w:bookmarkStart w:id="14" w:name="_Toc467443644"/>
      <w:r>
        <w:t>Article 9</w:t>
      </w:r>
      <w:r w:rsidR="00003F00">
        <w:br/>
      </w:r>
      <w:r>
        <w:t>Further Measures</w:t>
      </w:r>
      <w:bookmarkEnd w:id="14"/>
    </w:p>
    <w:p w:rsidR="0048247A" w:rsidRDefault="0048247A" w:rsidP="0048247A">
      <w:r>
        <w:t>The Ministers responsible for ASEAN economic integration shall meet   whenever necessary to review this Agreement for the purpose of considering further measures to improve the development and/or implementat</w:t>
      </w:r>
      <w:r w:rsidR="00003F00">
        <w:t>ion of the ASEAN Single Window.</w:t>
      </w:r>
    </w:p>
    <w:p w:rsidR="0048247A" w:rsidRDefault="0048247A" w:rsidP="00003F00">
      <w:pPr>
        <w:pStyle w:val="Heading2"/>
      </w:pPr>
      <w:bookmarkStart w:id="15" w:name="_Toc467443645"/>
      <w:r>
        <w:t>Article 10</w:t>
      </w:r>
      <w:r w:rsidR="00003F00">
        <w:br/>
        <w:t>Final Provisions</w:t>
      </w:r>
      <w:bookmarkEnd w:id="15"/>
    </w:p>
    <w:p w:rsidR="0048247A" w:rsidRDefault="0048247A" w:rsidP="00006641">
      <w:pPr>
        <w:numPr>
          <w:ilvl w:val="0"/>
          <w:numId w:val="9"/>
        </w:numPr>
      </w:pPr>
      <w:r>
        <w:t>The provisions of this Agreement may be modified through amendments to be mutually agreed upon in w</w:t>
      </w:r>
      <w:r w:rsidR="00003F00">
        <w:t>riting by all Member Countries.</w:t>
      </w:r>
    </w:p>
    <w:p w:rsidR="0048247A" w:rsidRDefault="0048247A" w:rsidP="00006641">
      <w:pPr>
        <w:numPr>
          <w:ilvl w:val="0"/>
          <w:numId w:val="9"/>
        </w:numPr>
      </w:pPr>
      <w:r>
        <w:t xml:space="preserve">This Agreement shall be deposited with the Secretary-General of ASEAN, who shall promptly furnish a certified copy thereof to each Member </w:t>
      </w:r>
      <w:r w:rsidR="00003F00">
        <w:t>Country.</w:t>
      </w:r>
    </w:p>
    <w:p w:rsidR="0048247A" w:rsidRDefault="0048247A" w:rsidP="00003F00">
      <w:pPr>
        <w:pStyle w:val="Heading2"/>
      </w:pPr>
      <w:bookmarkStart w:id="16" w:name="_Toc467443646"/>
      <w:r>
        <w:t>Article 11</w:t>
      </w:r>
      <w:r w:rsidR="00003F00">
        <w:br/>
        <w:t>Entry into Force</w:t>
      </w:r>
      <w:bookmarkEnd w:id="16"/>
    </w:p>
    <w:p w:rsidR="0048247A" w:rsidRDefault="0048247A" w:rsidP="00006641">
      <w:pPr>
        <w:numPr>
          <w:ilvl w:val="0"/>
          <w:numId w:val="10"/>
        </w:numPr>
      </w:pPr>
      <w:r>
        <w:lastRenderedPageBreak/>
        <w:t>This Agreement shall</w:t>
      </w:r>
      <w:r w:rsidR="00003F00">
        <w:t xml:space="preserve"> enter into force upon signing.</w:t>
      </w:r>
    </w:p>
    <w:p w:rsidR="00003F00" w:rsidRDefault="0048247A" w:rsidP="00006641">
      <w:pPr>
        <w:numPr>
          <w:ilvl w:val="0"/>
          <w:numId w:val="10"/>
        </w:numPr>
      </w:pPr>
      <w:r>
        <w:t>Each Member Country shall, upon the completion of its national procedures of ratification of this Agreement, notify the ASEAN Secretariat in writing.</w:t>
      </w:r>
    </w:p>
    <w:p w:rsidR="0048247A" w:rsidRDefault="0048247A" w:rsidP="0048247A">
      <w:r w:rsidRPr="009261E1">
        <w:rPr>
          <w:b/>
        </w:rPr>
        <w:t>IN WITNESS WHEREOF</w:t>
      </w:r>
      <w:r>
        <w:t xml:space="preserve">, the undersigned, being duly </w:t>
      </w:r>
      <w:proofErr w:type="spellStart"/>
      <w:r>
        <w:t>authorised</w:t>
      </w:r>
      <w:proofErr w:type="spellEnd"/>
      <w:r>
        <w:t xml:space="preserve"> thereto by their respective Governments, have signed this Agreement to Establish and Imp</w:t>
      </w:r>
      <w:r w:rsidR="00003F00">
        <w:t>lement the ASEAN Single Window.</w:t>
      </w:r>
    </w:p>
    <w:p w:rsidR="0048247A" w:rsidRDefault="0048247A" w:rsidP="0048247A">
      <w:r w:rsidRPr="009261E1">
        <w:rPr>
          <w:b/>
        </w:rPr>
        <w:t>DONE</w:t>
      </w:r>
      <w:r>
        <w:t xml:space="preserve"> at Kuala Lumpur, Malaysia, on this Ninth Day of December in the Year Two Thousand and Five, in a singl</w:t>
      </w:r>
      <w:r w:rsidR="00F66E04">
        <w:t>e copy in the English language.</w:t>
      </w:r>
    </w:p>
    <w:p w:rsidR="0048247A" w:rsidRDefault="0048247A" w:rsidP="00003F00">
      <w:pPr>
        <w:jc w:val="center"/>
      </w:pPr>
      <w:r>
        <w:t>For the Government of Brunei Darussalam:</w:t>
      </w:r>
    </w:p>
    <w:p w:rsidR="0048247A" w:rsidRPr="009261E1" w:rsidRDefault="009261E1" w:rsidP="009261E1">
      <w:pPr>
        <w:jc w:val="center"/>
        <w:rPr>
          <w:b/>
        </w:rPr>
      </w:pPr>
      <w:r>
        <w:rPr>
          <w:b/>
        </w:rPr>
        <w:t>LIM JOCK SENG</w:t>
      </w:r>
      <w:r>
        <w:rPr>
          <w:b/>
        </w:rPr>
        <w:br/>
      </w:r>
      <w:r w:rsidR="0048247A">
        <w:t>Second Minister of Foreign Affairs and Trade</w:t>
      </w:r>
    </w:p>
    <w:p w:rsidR="0048247A" w:rsidRDefault="0048247A" w:rsidP="00003F00">
      <w:pPr>
        <w:jc w:val="center"/>
      </w:pPr>
    </w:p>
    <w:p w:rsidR="0048247A" w:rsidRDefault="0048247A" w:rsidP="00003F00">
      <w:pPr>
        <w:jc w:val="center"/>
      </w:pPr>
      <w:r>
        <w:t>For the Royal Government of Cambodia:</w:t>
      </w:r>
    </w:p>
    <w:p w:rsidR="0048247A" w:rsidRPr="009261E1" w:rsidRDefault="009261E1" w:rsidP="009261E1">
      <w:pPr>
        <w:jc w:val="center"/>
        <w:rPr>
          <w:b/>
        </w:rPr>
      </w:pPr>
      <w:r>
        <w:rPr>
          <w:b/>
        </w:rPr>
        <w:t>CHAM PRASIDH</w:t>
      </w:r>
      <w:r>
        <w:rPr>
          <w:b/>
        </w:rPr>
        <w:br/>
      </w:r>
      <w:r w:rsidR="0048247A">
        <w:t>Senior Minister and Minister of Commerce</w:t>
      </w:r>
    </w:p>
    <w:p w:rsidR="0048247A" w:rsidRDefault="0048247A" w:rsidP="00003F00">
      <w:pPr>
        <w:jc w:val="center"/>
      </w:pPr>
    </w:p>
    <w:p w:rsidR="0048247A" w:rsidRDefault="0048247A" w:rsidP="00003F00">
      <w:pPr>
        <w:jc w:val="center"/>
      </w:pPr>
      <w:r>
        <w:t>For the Government of the Republic of Indonesia:</w:t>
      </w:r>
    </w:p>
    <w:p w:rsidR="0048247A" w:rsidRPr="009261E1" w:rsidRDefault="009261E1" w:rsidP="009261E1">
      <w:pPr>
        <w:jc w:val="center"/>
        <w:rPr>
          <w:b/>
        </w:rPr>
      </w:pPr>
      <w:r>
        <w:rPr>
          <w:b/>
        </w:rPr>
        <w:t>MARI ELKA PANGESTU</w:t>
      </w:r>
      <w:r>
        <w:rPr>
          <w:b/>
        </w:rPr>
        <w:br/>
      </w:r>
      <w:r w:rsidR="0048247A">
        <w:t>Minister of Trade</w:t>
      </w:r>
    </w:p>
    <w:p w:rsidR="0048247A" w:rsidRDefault="0048247A" w:rsidP="00003F00">
      <w:pPr>
        <w:jc w:val="center"/>
      </w:pPr>
    </w:p>
    <w:p w:rsidR="0048247A" w:rsidRDefault="0048247A" w:rsidP="00003F00">
      <w:pPr>
        <w:jc w:val="center"/>
      </w:pPr>
      <w:r>
        <w:t>For the Government of the Lao People’s Democratic Republic:</w:t>
      </w:r>
    </w:p>
    <w:p w:rsidR="0048247A" w:rsidRPr="009261E1" w:rsidRDefault="009261E1" w:rsidP="009261E1">
      <w:pPr>
        <w:jc w:val="center"/>
        <w:rPr>
          <w:b/>
        </w:rPr>
      </w:pPr>
      <w:r>
        <w:rPr>
          <w:b/>
        </w:rPr>
        <w:t>SOULIVONG DARAVONG</w:t>
      </w:r>
      <w:r>
        <w:rPr>
          <w:b/>
        </w:rPr>
        <w:br/>
      </w:r>
      <w:r w:rsidR="0048247A">
        <w:t>Minister of Commerce</w:t>
      </w:r>
    </w:p>
    <w:p w:rsidR="0048247A" w:rsidRDefault="0048247A" w:rsidP="00003F00">
      <w:pPr>
        <w:jc w:val="center"/>
      </w:pPr>
    </w:p>
    <w:p w:rsidR="0048247A" w:rsidRDefault="0048247A" w:rsidP="00003F00">
      <w:pPr>
        <w:jc w:val="center"/>
      </w:pPr>
      <w:r>
        <w:t>For the Government of Malaysia:</w:t>
      </w:r>
    </w:p>
    <w:p w:rsidR="0048247A" w:rsidRPr="009261E1" w:rsidRDefault="009261E1" w:rsidP="009261E1">
      <w:pPr>
        <w:jc w:val="center"/>
        <w:rPr>
          <w:b/>
        </w:rPr>
      </w:pPr>
      <w:r>
        <w:rPr>
          <w:b/>
        </w:rPr>
        <w:t>RAFIDAH AZIZ</w:t>
      </w:r>
      <w:r>
        <w:rPr>
          <w:b/>
        </w:rPr>
        <w:br/>
      </w:r>
      <w:r w:rsidR="0048247A">
        <w:t>Minister of International Trade and Industry</w:t>
      </w:r>
    </w:p>
    <w:p w:rsidR="0048247A" w:rsidRDefault="0048247A" w:rsidP="00003F00">
      <w:pPr>
        <w:jc w:val="center"/>
      </w:pPr>
    </w:p>
    <w:p w:rsidR="0048247A" w:rsidRDefault="0048247A" w:rsidP="00003F00">
      <w:pPr>
        <w:jc w:val="center"/>
      </w:pPr>
      <w:r>
        <w:t>For the Government of the Union of Myanmar:</w:t>
      </w:r>
    </w:p>
    <w:p w:rsidR="0048247A" w:rsidRPr="009261E1" w:rsidRDefault="009261E1" w:rsidP="009261E1">
      <w:pPr>
        <w:jc w:val="center"/>
        <w:rPr>
          <w:b/>
        </w:rPr>
      </w:pPr>
      <w:r>
        <w:rPr>
          <w:b/>
        </w:rPr>
        <w:t>SOE THA</w:t>
      </w:r>
      <w:r>
        <w:rPr>
          <w:b/>
        </w:rPr>
        <w:br/>
      </w:r>
      <w:r w:rsidR="0048247A">
        <w:t>Minister of National Pl</w:t>
      </w:r>
      <w:r w:rsidR="00003F00">
        <w:t>anning and Economic Development</w:t>
      </w:r>
    </w:p>
    <w:p w:rsidR="00003F00" w:rsidRDefault="00003F00" w:rsidP="00003F00">
      <w:pPr>
        <w:jc w:val="center"/>
      </w:pPr>
    </w:p>
    <w:p w:rsidR="0048247A" w:rsidRDefault="0048247A" w:rsidP="00003F00">
      <w:pPr>
        <w:jc w:val="center"/>
      </w:pPr>
      <w:r>
        <w:t>For the Government of the Republic of the Philippines:</w:t>
      </w:r>
    </w:p>
    <w:p w:rsidR="0048247A" w:rsidRPr="009261E1" w:rsidRDefault="009261E1" w:rsidP="009261E1">
      <w:pPr>
        <w:jc w:val="center"/>
        <w:rPr>
          <w:b/>
        </w:rPr>
      </w:pPr>
      <w:r>
        <w:rPr>
          <w:b/>
        </w:rPr>
        <w:lastRenderedPageBreak/>
        <w:t>PETER B. FAVILA</w:t>
      </w:r>
      <w:r>
        <w:rPr>
          <w:b/>
        </w:rPr>
        <w:br/>
      </w:r>
      <w:r w:rsidR="0048247A">
        <w:t>Secretary of Trade and Industry</w:t>
      </w:r>
    </w:p>
    <w:p w:rsidR="0048247A" w:rsidRDefault="0048247A" w:rsidP="00003F00">
      <w:pPr>
        <w:jc w:val="center"/>
      </w:pPr>
    </w:p>
    <w:p w:rsidR="0048247A" w:rsidRDefault="0048247A" w:rsidP="00003F00">
      <w:pPr>
        <w:jc w:val="center"/>
      </w:pPr>
      <w:r>
        <w:t>For the Government of the Republic of Singapore:</w:t>
      </w:r>
    </w:p>
    <w:p w:rsidR="0048247A" w:rsidRPr="009261E1" w:rsidRDefault="009261E1" w:rsidP="009261E1">
      <w:pPr>
        <w:jc w:val="center"/>
        <w:rPr>
          <w:b/>
        </w:rPr>
      </w:pPr>
      <w:r>
        <w:rPr>
          <w:b/>
        </w:rPr>
        <w:t>LIM HNG KIANG</w:t>
      </w:r>
      <w:r>
        <w:rPr>
          <w:b/>
        </w:rPr>
        <w:br/>
      </w:r>
      <w:r w:rsidR="0048247A">
        <w:t>Minister for Trade and Industry</w:t>
      </w:r>
    </w:p>
    <w:p w:rsidR="0048247A" w:rsidRDefault="0048247A" w:rsidP="00003F00">
      <w:pPr>
        <w:jc w:val="center"/>
      </w:pPr>
    </w:p>
    <w:p w:rsidR="0048247A" w:rsidRDefault="0048247A" w:rsidP="00003F00">
      <w:pPr>
        <w:jc w:val="center"/>
      </w:pPr>
      <w:r>
        <w:t>For the Government of Thailand:</w:t>
      </w:r>
    </w:p>
    <w:p w:rsidR="0048247A" w:rsidRPr="009261E1" w:rsidRDefault="009261E1" w:rsidP="009261E1">
      <w:pPr>
        <w:jc w:val="center"/>
        <w:rPr>
          <w:b/>
        </w:rPr>
      </w:pPr>
      <w:r>
        <w:rPr>
          <w:b/>
        </w:rPr>
        <w:t>SOMKID JATUSRIPITAK</w:t>
      </w:r>
      <w:r>
        <w:rPr>
          <w:b/>
        </w:rPr>
        <w:br/>
      </w:r>
      <w:r w:rsidR="0048247A">
        <w:t>Deputy Prime Minister and Minister of Commerce</w:t>
      </w:r>
    </w:p>
    <w:p w:rsidR="0048247A" w:rsidRDefault="0048247A" w:rsidP="00003F00">
      <w:pPr>
        <w:jc w:val="center"/>
      </w:pPr>
    </w:p>
    <w:p w:rsidR="0048247A" w:rsidRDefault="0048247A" w:rsidP="00003F00">
      <w:pPr>
        <w:jc w:val="center"/>
      </w:pPr>
      <w:r>
        <w:t>For the Government of the Socialist Republic of Viet Nam:</w:t>
      </w:r>
    </w:p>
    <w:p w:rsidR="00F61B4F" w:rsidRPr="009261E1" w:rsidRDefault="009261E1" w:rsidP="009261E1">
      <w:pPr>
        <w:jc w:val="center"/>
        <w:rPr>
          <w:b/>
        </w:rPr>
      </w:pPr>
      <w:r>
        <w:rPr>
          <w:b/>
        </w:rPr>
        <w:t>TRUONG DINH TUYEN</w:t>
      </w:r>
      <w:r>
        <w:rPr>
          <w:b/>
        </w:rPr>
        <w:br/>
      </w:r>
      <w:r w:rsidR="0048247A">
        <w:t>Minister of Trade</w:t>
      </w:r>
    </w:p>
    <w:sectPr w:rsidR="00F61B4F" w:rsidRPr="009261E1"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0D4" w:rsidRDefault="001120D4" w:rsidP="00F61B4F">
      <w:pPr>
        <w:spacing w:before="0" w:after="0" w:line="240" w:lineRule="auto"/>
      </w:pPr>
      <w:r>
        <w:separator/>
      </w:r>
    </w:p>
  </w:endnote>
  <w:endnote w:type="continuationSeparator" w:id="0">
    <w:p w:rsidR="001120D4" w:rsidRDefault="001120D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B7A6E">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B7A6E">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0D4" w:rsidRDefault="001120D4" w:rsidP="00F61B4F">
      <w:pPr>
        <w:spacing w:before="0" w:after="0" w:line="240" w:lineRule="auto"/>
      </w:pPr>
      <w:r>
        <w:separator/>
      </w:r>
    </w:p>
  </w:footnote>
  <w:footnote w:type="continuationSeparator" w:id="0">
    <w:p w:rsidR="001120D4" w:rsidRDefault="001120D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8B0A1D" w:rsidRDefault="008B0A1D" w:rsidP="008B0A1D">
    <w:pPr>
      <w:pStyle w:val="Header"/>
      <w:pBdr>
        <w:bottom w:val="single" w:sz="4" w:space="1" w:color="auto"/>
      </w:pBdr>
    </w:pPr>
    <w:r w:rsidRPr="008B0A1D">
      <w:rPr>
        <w:rFonts w:cs="Arial"/>
        <w:caps/>
        <w:color w:val="808080"/>
        <w:sz w:val="16"/>
        <w:szCs w:val="16"/>
      </w:rPr>
      <w:t xml:space="preserve">2005 AGREEMENT </w:t>
    </w:r>
    <w:r w:rsidR="009261E1">
      <w:rPr>
        <w:rFonts w:cs="Arial"/>
        <w:caps/>
        <w:color w:val="808080"/>
        <w:sz w:val="16"/>
        <w:szCs w:val="16"/>
      </w:rPr>
      <w:t>TO ESTABLISH AND IMPLEMENT THE ASEAN SINGLE WINDOW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F4A"/>
    <w:multiLevelType w:val="hybridMultilevel"/>
    <w:tmpl w:val="FE1AC3E8"/>
    <w:lvl w:ilvl="0" w:tplc="B2E485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26FC5"/>
    <w:multiLevelType w:val="hybridMultilevel"/>
    <w:tmpl w:val="BD422B92"/>
    <w:lvl w:ilvl="0" w:tplc="B2E48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B73F70"/>
    <w:multiLevelType w:val="hybridMultilevel"/>
    <w:tmpl w:val="BDF4E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24C57"/>
    <w:multiLevelType w:val="hybridMultilevel"/>
    <w:tmpl w:val="5102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95245"/>
    <w:multiLevelType w:val="hybridMultilevel"/>
    <w:tmpl w:val="E08A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C7D99"/>
    <w:multiLevelType w:val="hybridMultilevel"/>
    <w:tmpl w:val="DE5E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E100C"/>
    <w:multiLevelType w:val="hybridMultilevel"/>
    <w:tmpl w:val="8A5EC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334F3"/>
    <w:multiLevelType w:val="hybridMultilevel"/>
    <w:tmpl w:val="A9CC8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825BE"/>
    <w:multiLevelType w:val="hybridMultilevel"/>
    <w:tmpl w:val="26EA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65677F"/>
    <w:multiLevelType w:val="hybridMultilevel"/>
    <w:tmpl w:val="FA2E3E98"/>
    <w:lvl w:ilvl="0" w:tplc="B2E48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4"/>
  </w:num>
  <w:num w:numId="4">
    <w:abstractNumId w:val="0"/>
  </w:num>
  <w:num w:numId="5">
    <w:abstractNumId w:val="2"/>
  </w:num>
  <w:num w:numId="6">
    <w:abstractNumId w:val="7"/>
  </w:num>
  <w:num w:numId="7">
    <w:abstractNumId w:val="6"/>
  </w:num>
  <w:num w:numId="8">
    <w:abstractNumId w:val="1"/>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DD"/>
    <w:rsid w:val="00000FB0"/>
    <w:rsid w:val="00002446"/>
    <w:rsid w:val="00003F00"/>
    <w:rsid w:val="000043E5"/>
    <w:rsid w:val="00006641"/>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B7A6E"/>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0D4"/>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4E1B"/>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7A6"/>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3F5DEF"/>
    <w:rsid w:val="00401F7F"/>
    <w:rsid w:val="00405210"/>
    <w:rsid w:val="0042164B"/>
    <w:rsid w:val="0042562D"/>
    <w:rsid w:val="00430AD3"/>
    <w:rsid w:val="00432B9B"/>
    <w:rsid w:val="004410EB"/>
    <w:rsid w:val="00447925"/>
    <w:rsid w:val="00452091"/>
    <w:rsid w:val="0045262E"/>
    <w:rsid w:val="00453E7C"/>
    <w:rsid w:val="004540DD"/>
    <w:rsid w:val="00454C15"/>
    <w:rsid w:val="00457A36"/>
    <w:rsid w:val="00460285"/>
    <w:rsid w:val="00461169"/>
    <w:rsid w:val="0046281B"/>
    <w:rsid w:val="00464378"/>
    <w:rsid w:val="00464582"/>
    <w:rsid w:val="004715DF"/>
    <w:rsid w:val="004741B4"/>
    <w:rsid w:val="0048247A"/>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0FDD"/>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0A1D"/>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1E1"/>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7EA0"/>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49B8"/>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61CD"/>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66E04"/>
    <w:rsid w:val="00F701DD"/>
    <w:rsid w:val="00F71AE4"/>
    <w:rsid w:val="00F82FDC"/>
    <w:rsid w:val="00F8564E"/>
    <w:rsid w:val="00F86908"/>
    <w:rsid w:val="00F8738F"/>
    <w:rsid w:val="00F87B3B"/>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76"/>
    <w:rsid w:val="00FD189C"/>
    <w:rsid w:val="00FD29E4"/>
    <w:rsid w:val="00FD3729"/>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ECA5"/>
  <w15:chartTrackingRefBased/>
  <w15:docId w15:val="{159DCA8C-7C51-4C43-B1CB-645DDE6C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9261E1"/>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447925"/>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9261E1"/>
    <w:rPr>
      <w:rFonts w:ascii="Arial" w:eastAsia="Times New Roman" w:hAnsi="Arial"/>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447925"/>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F87B3B"/>
    <w:pPr>
      <w:ind w:left="720"/>
      <w:contextualSpacing/>
    </w:pPr>
  </w:style>
  <w:style w:type="paragraph" w:styleId="BalloonText">
    <w:name w:val="Balloon Text"/>
    <w:basedOn w:val="Normal"/>
    <w:link w:val="BalloonTextChar"/>
    <w:uiPriority w:val="99"/>
    <w:semiHidden/>
    <w:unhideWhenUsed/>
    <w:rsid w:val="00F87B3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87B3B"/>
    <w:rPr>
      <w:rFonts w:ascii="Tahoma" w:hAnsi="Tahoma" w:cs="Tahoma"/>
      <w:sz w:val="16"/>
      <w:szCs w:val="16"/>
      <w:lang w:val="en-US" w:eastAsia="en-US"/>
    </w:rPr>
  </w:style>
  <w:style w:type="paragraph" w:styleId="NoSpacing">
    <w:name w:val="No Spacing"/>
    <w:uiPriority w:val="1"/>
    <w:qFormat/>
    <w:rsid w:val="00003F00"/>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A6C6C-9772-4F82-AAF1-09552BD2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6</TotalTime>
  <Pages>7</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Links>
    <vt:vector size="108" baseType="variant">
      <vt:variant>
        <vt:i4>1179697</vt:i4>
      </vt:variant>
      <vt:variant>
        <vt:i4>92</vt:i4>
      </vt:variant>
      <vt:variant>
        <vt:i4>0</vt:i4>
      </vt:variant>
      <vt:variant>
        <vt:i4>5</vt:i4>
      </vt:variant>
      <vt:variant>
        <vt:lpwstr/>
      </vt:variant>
      <vt:variant>
        <vt:lpwstr>_Toc467443646</vt:lpwstr>
      </vt:variant>
      <vt:variant>
        <vt:i4>1179697</vt:i4>
      </vt:variant>
      <vt:variant>
        <vt:i4>86</vt:i4>
      </vt:variant>
      <vt:variant>
        <vt:i4>0</vt:i4>
      </vt:variant>
      <vt:variant>
        <vt:i4>5</vt:i4>
      </vt:variant>
      <vt:variant>
        <vt:lpwstr/>
      </vt:variant>
      <vt:variant>
        <vt:lpwstr>_Toc467443645</vt:lpwstr>
      </vt:variant>
      <vt:variant>
        <vt:i4>1179697</vt:i4>
      </vt:variant>
      <vt:variant>
        <vt:i4>80</vt:i4>
      </vt:variant>
      <vt:variant>
        <vt:i4>0</vt:i4>
      </vt:variant>
      <vt:variant>
        <vt:i4>5</vt:i4>
      </vt:variant>
      <vt:variant>
        <vt:lpwstr/>
      </vt:variant>
      <vt:variant>
        <vt:lpwstr>_Toc467443644</vt:lpwstr>
      </vt:variant>
      <vt:variant>
        <vt:i4>1179697</vt:i4>
      </vt:variant>
      <vt:variant>
        <vt:i4>74</vt:i4>
      </vt:variant>
      <vt:variant>
        <vt:i4>0</vt:i4>
      </vt:variant>
      <vt:variant>
        <vt:i4>5</vt:i4>
      </vt:variant>
      <vt:variant>
        <vt:lpwstr/>
      </vt:variant>
      <vt:variant>
        <vt:lpwstr>_Toc467443643</vt:lpwstr>
      </vt:variant>
      <vt:variant>
        <vt:i4>1179697</vt:i4>
      </vt:variant>
      <vt:variant>
        <vt:i4>68</vt:i4>
      </vt:variant>
      <vt:variant>
        <vt:i4>0</vt:i4>
      </vt:variant>
      <vt:variant>
        <vt:i4>5</vt:i4>
      </vt:variant>
      <vt:variant>
        <vt:lpwstr/>
      </vt:variant>
      <vt:variant>
        <vt:lpwstr>_Toc467443642</vt:lpwstr>
      </vt:variant>
      <vt:variant>
        <vt:i4>1179697</vt:i4>
      </vt:variant>
      <vt:variant>
        <vt:i4>62</vt:i4>
      </vt:variant>
      <vt:variant>
        <vt:i4>0</vt:i4>
      </vt:variant>
      <vt:variant>
        <vt:i4>5</vt:i4>
      </vt:variant>
      <vt:variant>
        <vt:lpwstr/>
      </vt:variant>
      <vt:variant>
        <vt:lpwstr>_Toc467443641</vt:lpwstr>
      </vt:variant>
      <vt:variant>
        <vt:i4>1179697</vt:i4>
      </vt:variant>
      <vt:variant>
        <vt:i4>56</vt:i4>
      </vt:variant>
      <vt:variant>
        <vt:i4>0</vt:i4>
      </vt:variant>
      <vt:variant>
        <vt:i4>5</vt:i4>
      </vt:variant>
      <vt:variant>
        <vt:lpwstr/>
      </vt:variant>
      <vt:variant>
        <vt:lpwstr>_Toc467443640</vt:lpwstr>
      </vt:variant>
      <vt:variant>
        <vt:i4>1376305</vt:i4>
      </vt:variant>
      <vt:variant>
        <vt:i4>50</vt:i4>
      </vt:variant>
      <vt:variant>
        <vt:i4>0</vt:i4>
      </vt:variant>
      <vt:variant>
        <vt:i4>5</vt:i4>
      </vt:variant>
      <vt:variant>
        <vt:lpwstr/>
      </vt:variant>
      <vt:variant>
        <vt:lpwstr>_Toc467443639</vt:lpwstr>
      </vt:variant>
      <vt:variant>
        <vt:i4>1376305</vt:i4>
      </vt:variant>
      <vt:variant>
        <vt:i4>44</vt:i4>
      </vt:variant>
      <vt:variant>
        <vt:i4>0</vt:i4>
      </vt:variant>
      <vt:variant>
        <vt:i4>5</vt:i4>
      </vt:variant>
      <vt:variant>
        <vt:lpwstr/>
      </vt:variant>
      <vt:variant>
        <vt:lpwstr>_Toc467443638</vt:lpwstr>
      </vt:variant>
      <vt:variant>
        <vt:i4>1376305</vt:i4>
      </vt:variant>
      <vt:variant>
        <vt:i4>38</vt:i4>
      </vt:variant>
      <vt:variant>
        <vt:i4>0</vt:i4>
      </vt:variant>
      <vt:variant>
        <vt:i4>5</vt:i4>
      </vt:variant>
      <vt:variant>
        <vt:lpwstr/>
      </vt:variant>
      <vt:variant>
        <vt:lpwstr>_Toc467443637</vt:lpwstr>
      </vt:variant>
      <vt:variant>
        <vt:i4>1376305</vt:i4>
      </vt:variant>
      <vt:variant>
        <vt:i4>32</vt:i4>
      </vt:variant>
      <vt:variant>
        <vt:i4>0</vt:i4>
      </vt:variant>
      <vt:variant>
        <vt:i4>5</vt:i4>
      </vt:variant>
      <vt:variant>
        <vt:lpwstr/>
      </vt:variant>
      <vt:variant>
        <vt:lpwstr>_Toc467443636</vt:lpwstr>
      </vt:variant>
      <vt:variant>
        <vt:i4>1376305</vt:i4>
      </vt:variant>
      <vt:variant>
        <vt:i4>26</vt:i4>
      </vt:variant>
      <vt:variant>
        <vt:i4>0</vt:i4>
      </vt:variant>
      <vt:variant>
        <vt:i4>5</vt:i4>
      </vt:variant>
      <vt:variant>
        <vt:lpwstr/>
      </vt:variant>
      <vt:variant>
        <vt:lpwstr>_Toc467443635</vt:lpwstr>
      </vt:variant>
      <vt:variant>
        <vt:i4>1376305</vt:i4>
      </vt:variant>
      <vt:variant>
        <vt:i4>20</vt:i4>
      </vt:variant>
      <vt:variant>
        <vt:i4>0</vt:i4>
      </vt:variant>
      <vt:variant>
        <vt:i4>5</vt:i4>
      </vt:variant>
      <vt:variant>
        <vt:lpwstr/>
      </vt:variant>
      <vt:variant>
        <vt:lpwstr>_Toc467443634</vt:lpwstr>
      </vt:variant>
      <vt:variant>
        <vt:i4>1376305</vt:i4>
      </vt:variant>
      <vt:variant>
        <vt:i4>14</vt:i4>
      </vt:variant>
      <vt:variant>
        <vt:i4>0</vt:i4>
      </vt:variant>
      <vt:variant>
        <vt:i4>5</vt:i4>
      </vt:variant>
      <vt:variant>
        <vt:lpwstr/>
      </vt:variant>
      <vt:variant>
        <vt:lpwstr>_Toc467443633</vt:lpwstr>
      </vt:variant>
      <vt:variant>
        <vt:i4>1376305</vt:i4>
      </vt:variant>
      <vt:variant>
        <vt:i4>8</vt:i4>
      </vt:variant>
      <vt:variant>
        <vt:i4>0</vt:i4>
      </vt:variant>
      <vt:variant>
        <vt:i4>5</vt:i4>
      </vt:variant>
      <vt:variant>
        <vt:lpwstr/>
      </vt:variant>
      <vt:variant>
        <vt:lpwstr>_Toc467443632</vt:lpwstr>
      </vt:variant>
      <vt:variant>
        <vt:i4>1376305</vt:i4>
      </vt:variant>
      <vt:variant>
        <vt:i4>2</vt:i4>
      </vt:variant>
      <vt:variant>
        <vt:i4>0</vt:i4>
      </vt:variant>
      <vt:variant>
        <vt:i4>5</vt:i4>
      </vt:variant>
      <vt:variant>
        <vt:lpwstr/>
      </vt:variant>
      <vt:variant>
        <vt:lpwstr>_Toc467443631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7</cp:revision>
  <cp:lastPrinted>2018-07-05T04:48:00Z</cp:lastPrinted>
  <dcterms:created xsi:type="dcterms:W3CDTF">2018-07-05T04:42:00Z</dcterms:created>
  <dcterms:modified xsi:type="dcterms:W3CDTF">2018-07-05T04:48:00Z</dcterms:modified>
</cp:coreProperties>
</file>