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66" w:rsidRDefault="008C1066" w:rsidP="007014E2">
      <w:pPr>
        <w:pStyle w:val="CILTitle"/>
      </w:pPr>
      <w:r w:rsidRPr="008C1066">
        <w:t>2006</w:t>
      </w:r>
      <w:bookmarkStart w:id="0" w:name="_GoBack"/>
      <w:bookmarkEnd w:id="0"/>
      <w:r w:rsidRPr="008C1066">
        <w:t xml:space="preserve"> Letter of Understanding among the Parties to the Agreement on Trade in Goods under the Framework Agreement on Comprehensive Economic Cooperation among the Governments of the Member Countries of the Association of Southeast Asian Nations and the </w:t>
      </w:r>
      <w:r>
        <w:t>R</w:t>
      </w:r>
      <w:r w:rsidRPr="008C1066">
        <w:t>epublic of Korea on the Tariff Rate Quota</w:t>
      </w:r>
    </w:p>
    <w:p w:rsidR="008C1066" w:rsidRPr="008C1066" w:rsidRDefault="008C1066" w:rsidP="007014E2">
      <w:pPr>
        <w:pStyle w:val="CILSubtitle"/>
      </w:pPr>
      <w:r>
        <w:t xml:space="preserve">Adopted in </w:t>
      </w:r>
      <w:r w:rsidRPr="008C1066">
        <w:t>Kuala Lumpur, Malaysia</w:t>
      </w:r>
      <w:r>
        <w:t xml:space="preserve"> on </w:t>
      </w:r>
      <w:r w:rsidRPr="008C1066">
        <w:t>24 August 2006</w:t>
      </w:r>
    </w:p>
    <w:p w:rsidR="002A6D1D" w:rsidRDefault="002A6D1D" w:rsidP="007014E2"/>
    <w:p w:rsidR="008C1066" w:rsidRDefault="008C1066" w:rsidP="007014E2">
      <w:r>
        <w:t>The Parties to the Agreement on Trade in Goods under the</w:t>
      </w:r>
      <w:r w:rsidR="002A6D1D">
        <w:t xml:space="preserve"> </w:t>
      </w:r>
      <w:r>
        <w:t>Framework Agreement on Comprehensive Economic</w:t>
      </w:r>
      <w:r w:rsidR="002A6D1D">
        <w:t xml:space="preserve"> </w:t>
      </w:r>
      <w:r>
        <w:t>Cooperation amon</w:t>
      </w:r>
      <w:r w:rsidR="002A6D1D">
        <w:t xml:space="preserve">g the Governments of the Member </w:t>
      </w:r>
      <w:r>
        <w:t>Countries of the Association of Southeast Asian Nations and</w:t>
      </w:r>
      <w:r w:rsidR="002A6D1D">
        <w:t xml:space="preserve"> </w:t>
      </w:r>
      <w:r>
        <w:t>the Republic of Korea (hereinafter referred to as "the</w:t>
      </w:r>
      <w:r w:rsidR="002A6D1D">
        <w:t xml:space="preserve"> </w:t>
      </w:r>
      <w:r>
        <w:t>Agreement on Tr</w:t>
      </w:r>
      <w:r w:rsidR="002A6D1D">
        <w:t xml:space="preserve">ade in Goods") have reached the </w:t>
      </w:r>
      <w:r>
        <w:t>understanding on the Tariff Rate Quota as provided for in</w:t>
      </w:r>
      <w:r w:rsidR="002A6D1D">
        <w:t xml:space="preserve"> </w:t>
      </w:r>
      <w:r>
        <w:t>Paragraph 4(iv) in Annex 2 to the Agreement on Trade in</w:t>
      </w:r>
      <w:r w:rsidR="002A6D1D">
        <w:t xml:space="preserve"> </w:t>
      </w:r>
      <w:r>
        <w:t>Goods as reflected in the Attachment.</w:t>
      </w:r>
    </w:p>
    <w:p w:rsidR="008C1066" w:rsidRDefault="008C1066" w:rsidP="007014E2">
      <w:r>
        <w:t>This Letter of Understanding takes effect on the same date</w:t>
      </w:r>
      <w:r w:rsidR="002A6D1D">
        <w:t xml:space="preserve"> </w:t>
      </w:r>
      <w:r>
        <w:t>as the Agreement on Trade in Goods and shall be treated as</w:t>
      </w:r>
      <w:r w:rsidR="002A6D1D">
        <w:t xml:space="preserve"> </w:t>
      </w:r>
      <w:r>
        <w:t>an integral part of the Agreement on Trade in Goods.</w:t>
      </w:r>
    </w:p>
    <w:p w:rsidR="008C1066" w:rsidRDefault="008C1066" w:rsidP="007014E2">
      <w:r w:rsidRPr="007014E2">
        <w:rPr>
          <w:b/>
        </w:rPr>
        <w:t>IN WITNESS WHEREOF</w:t>
      </w:r>
      <w:r>
        <w:t>, the undersigned being duly</w:t>
      </w:r>
      <w:r w:rsidR="002A6D1D">
        <w:t xml:space="preserve"> </w:t>
      </w:r>
      <w:r>
        <w:t>authorised thereto, have signed the Letter of Understanding</w:t>
      </w:r>
      <w:r w:rsidR="002A6D1D">
        <w:t xml:space="preserve"> </w:t>
      </w:r>
      <w:r>
        <w:t>among the Governments of the Member Countries of the</w:t>
      </w:r>
      <w:r w:rsidR="002A6D1D">
        <w:t xml:space="preserve"> </w:t>
      </w:r>
      <w:r>
        <w:t>Association of Southeast Asian Nations and the Republic of</w:t>
      </w:r>
      <w:r w:rsidR="002A6D1D">
        <w:t xml:space="preserve"> </w:t>
      </w:r>
      <w:r>
        <w:t>Korea.</w:t>
      </w:r>
    </w:p>
    <w:p w:rsidR="008C1066" w:rsidRDefault="008C1066" w:rsidP="007014E2">
      <w:r>
        <w:t>DONE in duplicate copies in the English language.</w:t>
      </w:r>
    </w:p>
    <w:p w:rsidR="00D525F4" w:rsidRDefault="00D525F4" w:rsidP="00D525F4">
      <w:pPr>
        <w:spacing w:before="0" w:after="0"/>
        <w:jc w:val="center"/>
      </w:pPr>
    </w:p>
    <w:p w:rsidR="008C1066" w:rsidRDefault="008C1066" w:rsidP="00D525F4">
      <w:pPr>
        <w:spacing w:before="0" w:after="0"/>
        <w:jc w:val="center"/>
      </w:pPr>
      <w:r>
        <w:t>For the Government of Brunei Darussalam:</w:t>
      </w:r>
    </w:p>
    <w:p w:rsidR="008C1066" w:rsidRPr="002A6D1D" w:rsidRDefault="008C1066" w:rsidP="00D525F4">
      <w:pPr>
        <w:spacing w:before="0" w:after="0"/>
        <w:jc w:val="center"/>
        <w:rPr>
          <w:b/>
        </w:rPr>
      </w:pPr>
      <w:r w:rsidRPr="002A6D1D">
        <w:rPr>
          <w:b/>
        </w:rPr>
        <w:t>LIM</w:t>
      </w:r>
      <w:r w:rsidR="00D525F4">
        <w:rPr>
          <w:b/>
        </w:rPr>
        <w:t xml:space="preserve"> </w:t>
      </w:r>
      <w:r w:rsidRPr="002A6D1D">
        <w:rPr>
          <w:b/>
        </w:rPr>
        <w:t>JO</w:t>
      </w:r>
      <w:r w:rsidR="00D525F4">
        <w:rPr>
          <w:b/>
        </w:rPr>
        <w:t>CK HOI</w:t>
      </w:r>
    </w:p>
    <w:p w:rsidR="008C1066" w:rsidRDefault="008C1066" w:rsidP="00D525F4">
      <w:pPr>
        <w:spacing w:before="0" w:after="0"/>
        <w:jc w:val="center"/>
      </w:pPr>
      <w:r>
        <w:t>Permanent Secretary</w:t>
      </w:r>
    </w:p>
    <w:p w:rsidR="008C1066" w:rsidRDefault="008C1066" w:rsidP="00D525F4">
      <w:pPr>
        <w:spacing w:before="0" w:after="0"/>
        <w:jc w:val="center"/>
      </w:pPr>
      <w:r>
        <w:t>Ministry of Foreign Affairs and Trade</w:t>
      </w:r>
    </w:p>
    <w:p w:rsidR="002A6D1D" w:rsidRDefault="002A6D1D" w:rsidP="00D525F4">
      <w:pPr>
        <w:spacing w:before="0" w:after="0"/>
        <w:jc w:val="center"/>
      </w:pPr>
    </w:p>
    <w:p w:rsidR="008C1066" w:rsidRDefault="008C1066" w:rsidP="00D525F4">
      <w:pPr>
        <w:spacing w:before="0" w:after="0"/>
        <w:jc w:val="center"/>
      </w:pPr>
      <w:r>
        <w:t>For the Royal Government of Cambodia:</w:t>
      </w:r>
    </w:p>
    <w:p w:rsidR="008C1066" w:rsidRPr="002A6D1D" w:rsidRDefault="008C1066" w:rsidP="00D525F4">
      <w:pPr>
        <w:spacing w:before="0" w:after="0"/>
        <w:jc w:val="center"/>
        <w:rPr>
          <w:b/>
        </w:rPr>
      </w:pPr>
      <w:r w:rsidRPr="002A6D1D">
        <w:rPr>
          <w:b/>
        </w:rPr>
        <w:t>PICH RITHI</w:t>
      </w:r>
    </w:p>
    <w:p w:rsidR="008C1066" w:rsidRDefault="008C1066" w:rsidP="00D525F4">
      <w:pPr>
        <w:spacing w:before="0" w:after="0"/>
        <w:jc w:val="center"/>
      </w:pPr>
      <w:r>
        <w:t>Deputy Director-General</w:t>
      </w:r>
    </w:p>
    <w:p w:rsidR="008C1066" w:rsidRDefault="008C1066" w:rsidP="00D525F4">
      <w:pPr>
        <w:spacing w:before="0" w:after="0"/>
        <w:jc w:val="center"/>
      </w:pPr>
      <w:r>
        <w:t>Ministry of Commerce</w:t>
      </w:r>
    </w:p>
    <w:p w:rsidR="002A6D1D" w:rsidRDefault="002A6D1D" w:rsidP="00D525F4">
      <w:pPr>
        <w:spacing w:before="0" w:after="0"/>
        <w:jc w:val="center"/>
      </w:pPr>
    </w:p>
    <w:p w:rsidR="008C1066" w:rsidRDefault="008C1066" w:rsidP="00D525F4">
      <w:pPr>
        <w:spacing w:before="0" w:after="0"/>
        <w:jc w:val="center"/>
      </w:pPr>
      <w:r>
        <w:t>For the Government of the Republic of Indonesia:</w:t>
      </w:r>
    </w:p>
    <w:p w:rsidR="008C1066" w:rsidRPr="002A6D1D" w:rsidRDefault="008C1066" w:rsidP="00D525F4">
      <w:pPr>
        <w:spacing w:before="0" w:after="0"/>
        <w:jc w:val="center"/>
        <w:rPr>
          <w:b/>
        </w:rPr>
      </w:pPr>
      <w:r w:rsidRPr="002A6D1D">
        <w:rPr>
          <w:b/>
        </w:rPr>
        <w:t>HERRY SOETANTO</w:t>
      </w:r>
    </w:p>
    <w:p w:rsidR="008C1066" w:rsidRDefault="008C1066" w:rsidP="00D525F4">
      <w:pPr>
        <w:spacing w:before="0" w:after="0"/>
        <w:jc w:val="center"/>
      </w:pPr>
      <w:r>
        <w:t>Director-General of International Trade Cooperation</w:t>
      </w:r>
    </w:p>
    <w:p w:rsidR="008C1066" w:rsidRDefault="008C1066" w:rsidP="00D525F4">
      <w:pPr>
        <w:spacing w:before="0" w:after="0"/>
        <w:jc w:val="center"/>
      </w:pPr>
      <w:r>
        <w:t>Ministry of Trade</w:t>
      </w:r>
    </w:p>
    <w:p w:rsidR="002A6D1D" w:rsidRDefault="002A6D1D" w:rsidP="00D525F4">
      <w:pPr>
        <w:spacing w:before="0" w:after="0"/>
        <w:jc w:val="center"/>
      </w:pPr>
    </w:p>
    <w:p w:rsidR="008C1066" w:rsidRDefault="008C1066" w:rsidP="00D525F4">
      <w:pPr>
        <w:spacing w:before="0" w:after="0"/>
        <w:jc w:val="center"/>
      </w:pPr>
      <w:r>
        <w:t>For the Government of the Lao People's Democratic Republic:</w:t>
      </w:r>
    </w:p>
    <w:p w:rsidR="008C1066" w:rsidRPr="002A6D1D" w:rsidRDefault="008C1066" w:rsidP="00D525F4">
      <w:pPr>
        <w:spacing w:before="0" w:after="0"/>
        <w:jc w:val="center"/>
        <w:rPr>
          <w:b/>
        </w:rPr>
      </w:pPr>
      <w:r w:rsidRPr="002A6D1D">
        <w:rPr>
          <w:b/>
        </w:rPr>
        <w:t>BOUNTHONG VONGSALY</w:t>
      </w:r>
    </w:p>
    <w:p w:rsidR="008C1066" w:rsidRDefault="008C1066" w:rsidP="00D525F4">
      <w:pPr>
        <w:spacing w:before="0" w:after="0"/>
        <w:jc w:val="center"/>
      </w:pPr>
      <w:r>
        <w:t>Ambassador Extraordinary and Plenipotentiary of</w:t>
      </w:r>
      <w:r w:rsidR="002A6D1D">
        <w:t xml:space="preserve"> </w:t>
      </w:r>
      <w:r>
        <w:t>Lao People's Democratic Republic</w:t>
      </w:r>
      <w:r w:rsidR="002A6D1D">
        <w:t xml:space="preserve"> </w:t>
      </w:r>
      <w:r>
        <w:t>to Brunei Darussalam</w:t>
      </w:r>
    </w:p>
    <w:p w:rsidR="002A6D1D" w:rsidRDefault="002A6D1D" w:rsidP="00D525F4">
      <w:pPr>
        <w:spacing w:before="0" w:after="0"/>
        <w:jc w:val="center"/>
      </w:pPr>
    </w:p>
    <w:p w:rsidR="008C1066" w:rsidRDefault="00D525F4" w:rsidP="00D525F4">
      <w:pPr>
        <w:spacing w:before="0" w:after="0"/>
        <w:jc w:val="center"/>
      </w:pPr>
      <w:r>
        <w:lastRenderedPageBreak/>
        <w:br w:type="page"/>
      </w:r>
      <w:r w:rsidR="008C1066">
        <w:t>For t</w:t>
      </w:r>
      <w:r w:rsidR="002A6D1D">
        <w:t xml:space="preserve">he Government of </w:t>
      </w:r>
      <w:r w:rsidR="008C1066">
        <w:t>Malaysi</w:t>
      </w:r>
      <w:r w:rsidR="002A6D1D">
        <w:t>a</w:t>
      </w:r>
    </w:p>
    <w:p w:rsidR="008C1066" w:rsidRPr="002A6D1D" w:rsidRDefault="008C1066" w:rsidP="00D525F4">
      <w:pPr>
        <w:spacing w:before="0" w:after="0"/>
        <w:jc w:val="center"/>
        <w:rPr>
          <w:b/>
        </w:rPr>
      </w:pPr>
      <w:r w:rsidRPr="002A6D1D">
        <w:rPr>
          <w:b/>
        </w:rPr>
        <w:t>DR. REBECCA FATIMA STA MARIA</w:t>
      </w:r>
    </w:p>
    <w:p w:rsidR="008C1066" w:rsidRDefault="008C1066" w:rsidP="00D525F4">
      <w:pPr>
        <w:spacing w:before="0" w:after="0"/>
        <w:jc w:val="center"/>
      </w:pPr>
      <w:r>
        <w:t>Deputy Secretary-General (Trade)</w:t>
      </w:r>
    </w:p>
    <w:p w:rsidR="008C1066" w:rsidRDefault="008C1066" w:rsidP="00D525F4">
      <w:pPr>
        <w:spacing w:before="0" w:after="0"/>
        <w:jc w:val="center"/>
      </w:pPr>
      <w:r>
        <w:t>Ministry of International Trade and Industry</w:t>
      </w:r>
    </w:p>
    <w:p w:rsidR="002A6D1D" w:rsidRDefault="002A6D1D" w:rsidP="00D525F4">
      <w:pPr>
        <w:spacing w:before="0" w:after="0"/>
        <w:jc w:val="left"/>
      </w:pPr>
    </w:p>
    <w:p w:rsidR="008C1066" w:rsidRDefault="008C1066" w:rsidP="00D525F4">
      <w:pPr>
        <w:spacing w:before="0" w:after="0"/>
        <w:jc w:val="center"/>
      </w:pPr>
      <w:r>
        <w:t>For the Government of the Union of Myanmar:</w:t>
      </w:r>
    </w:p>
    <w:p w:rsidR="008C1066" w:rsidRPr="002A6D1D" w:rsidRDefault="008C1066" w:rsidP="00D525F4">
      <w:pPr>
        <w:spacing w:before="0" w:after="0"/>
        <w:jc w:val="center"/>
        <w:rPr>
          <w:b/>
        </w:rPr>
      </w:pPr>
      <w:r w:rsidRPr="002A6D1D">
        <w:rPr>
          <w:b/>
        </w:rPr>
        <w:t>DAW MYO NWE</w:t>
      </w:r>
    </w:p>
    <w:p w:rsidR="008C1066" w:rsidRDefault="008C1066" w:rsidP="00D525F4">
      <w:pPr>
        <w:spacing w:before="0" w:after="0"/>
        <w:jc w:val="center"/>
      </w:pPr>
      <w:r>
        <w:t>Director-General</w:t>
      </w:r>
    </w:p>
    <w:p w:rsidR="008C1066" w:rsidRDefault="008C1066" w:rsidP="00D525F4">
      <w:pPr>
        <w:spacing w:before="0" w:after="0"/>
        <w:jc w:val="center"/>
      </w:pPr>
      <w:r>
        <w:t>Ministry of National Planning and Economic Development</w:t>
      </w:r>
    </w:p>
    <w:p w:rsidR="002A6D1D" w:rsidRDefault="002A6D1D" w:rsidP="00D525F4">
      <w:pPr>
        <w:spacing w:before="0" w:after="0"/>
        <w:jc w:val="center"/>
      </w:pPr>
    </w:p>
    <w:p w:rsidR="008C1066" w:rsidRDefault="008C1066" w:rsidP="00D525F4">
      <w:pPr>
        <w:spacing w:before="0" w:after="0"/>
        <w:jc w:val="center"/>
      </w:pPr>
      <w:r>
        <w:t>For the Government of the Republic of the Philippines:</w:t>
      </w:r>
    </w:p>
    <w:p w:rsidR="008C1066" w:rsidRPr="002A6D1D" w:rsidRDefault="002A6D1D" w:rsidP="00D525F4">
      <w:pPr>
        <w:spacing w:before="0" w:after="0"/>
        <w:jc w:val="center"/>
        <w:rPr>
          <w:b/>
        </w:rPr>
      </w:pPr>
      <w:r w:rsidRPr="002A6D1D">
        <w:rPr>
          <w:b/>
        </w:rPr>
        <w:t>ELMER C. HERNA</w:t>
      </w:r>
      <w:r w:rsidR="008C1066" w:rsidRPr="002A6D1D">
        <w:rPr>
          <w:b/>
        </w:rPr>
        <w:t>NDEZ</w:t>
      </w:r>
    </w:p>
    <w:p w:rsidR="008C1066" w:rsidRDefault="008C1066" w:rsidP="00D525F4">
      <w:pPr>
        <w:spacing w:before="0" w:after="0"/>
        <w:jc w:val="center"/>
      </w:pPr>
      <w:r>
        <w:t>Undersecretary</w:t>
      </w:r>
    </w:p>
    <w:p w:rsidR="008C1066" w:rsidRDefault="002A6D1D" w:rsidP="00D525F4">
      <w:pPr>
        <w:spacing w:before="0" w:after="0"/>
        <w:jc w:val="center"/>
      </w:pPr>
      <w:r>
        <w:t>Depar</w:t>
      </w:r>
      <w:r w:rsidR="008C1066">
        <w:t>tment of Trade and Industry</w:t>
      </w:r>
    </w:p>
    <w:p w:rsidR="002A6D1D" w:rsidRDefault="002A6D1D" w:rsidP="00D525F4">
      <w:pPr>
        <w:spacing w:before="0" w:after="0"/>
        <w:jc w:val="center"/>
      </w:pPr>
    </w:p>
    <w:p w:rsidR="008C1066" w:rsidRDefault="008C1066" w:rsidP="00D525F4">
      <w:pPr>
        <w:spacing w:before="0" w:after="0"/>
        <w:jc w:val="center"/>
      </w:pPr>
      <w:r>
        <w:t>For the Government of the Republic of Singapore:</w:t>
      </w:r>
    </w:p>
    <w:p w:rsidR="008C1066" w:rsidRPr="002A6D1D" w:rsidRDefault="002A6D1D" w:rsidP="00D525F4">
      <w:pPr>
        <w:spacing w:before="0" w:after="0"/>
        <w:jc w:val="center"/>
        <w:rPr>
          <w:b/>
        </w:rPr>
      </w:pPr>
      <w:r w:rsidRPr="002A6D1D">
        <w:rPr>
          <w:b/>
        </w:rPr>
        <w:t>SULAIMAH</w:t>
      </w:r>
      <w:r w:rsidR="008C1066" w:rsidRPr="002A6D1D">
        <w:rPr>
          <w:b/>
        </w:rPr>
        <w:t xml:space="preserve"> MAHMOOD</w:t>
      </w:r>
    </w:p>
    <w:p w:rsidR="008C1066" w:rsidRDefault="008C1066" w:rsidP="00D525F4">
      <w:pPr>
        <w:spacing w:before="0" w:after="0"/>
        <w:jc w:val="center"/>
      </w:pPr>
      <w:r>
        <w:t>Director</w:t>
      </w:r>
    </w:p>
    <w:p w:rsidR="008C1066" w:rsidRDefault="008C1066" w:rsidP="00D525F4">
      <w:pPr>
        <w:spacing w:before="0" w:after="0"/>
        <w:jc w:val="center"/>
      </w:pPr>
      <w:r>
        <w:t>Ministry of Trade and Industry</w:t>
      </w:r>
    </w:p>
    <w:p w:rsidR="002A6D1D" w:rsidRDefault="002A6D1D" w:rsidP="00D525F4">
      <w:pPr>
        <w:spacing w:before="0" w:after="0"/>
        <w:jc w:val="center"/>
      </w:pPr>
    </w:p>
    <w:p w:rsidR="008C1066" w:rsidRDefault="008C1066" w:rsidP="00D525F4">
      <w:pPr>
        <w:spacing w:before="0" w:after="0"/>
        <w:jc w:val="center"/>
      </w:pPr>
      <w:r>
        <w:t>For the Government of the Socialist Republic of Vietnam:</w:t>
      </w:r>
    </w:p>
    <w:p w:rsidR="008C1066" w:rsidRPr="002A6D1D" w:rsidRDefault="008C1066" w:rsidP="00D525F4">
      <w:pPr>
        <w:spacing w:before="0" w:after="0"/>
        <w:jc w:val="center"/>
        <w:rPr>
          <w:b/>
        </w:rPr>
      </w:pPr>
      <w:r w:rsidRPr="002A6D1D">
        <w:rPr>
          <w:b/>
        </w:rPr>
        <w:t>TRAN</w:t>
      </w:r>
      <w:r w:rsidR="00D525F4">
        <w:rPr>
          <w:b/>
        </w:rPr>
        <w:t xml:space="preserve"> TRUNG THUC</w:t>
      </w:r>
    </w:p>
    <w:p w:rsidR="008C1066" w:rsidRDefault="008C1066" w:rsidP="00D525F4">
      <w:pPr>
        <w:spacing w:before="0" w:after="0"/>
        <w:jc w:val="center"/>
      </w:pPr>
      <w:r>
        <w:t>Director-General</w:t>
      </w:r>
    </w:p>
    <w:p w:rsidR="008C1066" w:rsidRDefault="008C1066" w:rsidP="00D525F4">
      <w:pPr>
        <w:spacing w:before="0" w:after="0"/>
        <w:jc w:val="center"/>
      </w:pPr>
      <w:r>
        <w:t>Ministry of Trade</w:t>
      </w:r>
    </w:p>
    <w:p w:rsidR="002A6D1D" w:rsidRDefault="002A6D1D" w:rsidP="00D525F4">
      <w:pPr>
        <w:spacing w:before="0" w:after="0"/>
        <w:jc w:val="center"/>
      </w:pPr>
    </w:p>
    <w:p w:rsidR="008C1066" w:rsidRDefault="008C1066" w:rsidP="00D525F4">
      <w:pPr>
        <w:spacing w:before="0" w:after="0"/>
        <w:jc w:val="center"/>
      </w:pPr>
      <w:r>
        <w:t>For the Government of the Republic of Korea:</w:t>
      </w:r>
    </w:p>
    <w:p w:rsidR="008C1066" w:rsidRPr="002A6D1D" w:rsidRDefault="008C1066" w:rsidP="00D525F4">
      <w:pPr>
        <w:spacing w:before="0" w:after="0"/>
        <w:jc w:val="center"/>
        <w:rPr>
          <w:b/>
        </w:rPr>
      </w:pPr>
      <w:r w:rsidRPr="002A6D1D">
        <w:rPr>
          <w:b/>
        </w:rPr>
        <w:lastRenderedPageBreak/>
        <w:t>HWANG WON-KUN</w:t>
      </w:r>
    </w:p>
    <w:p w:rsidR="008C1066" w:rsidRDefault="008C1066" w:rsidP="00D525F4">
      <w:pPr>
        <w:spacing w:before="0" w:after="0"/>
        <w:jc w:val="center"/>
      </w:pPr>
      <w:r>
        <w:t>Ambassador Extraordinary and Plenipotentiary</w:t>
      </w:r>
      <w:r w:rsidR="002A6D1D">
        <w:t xml:space="preserve"> </w:t>
      </w:r>
      <w:r>
        <w:t>of the Republic of Korea to Brunei Darussalam</w:t>
      </w:r>
    </w:p>
    <w:p w:rsidR="002A6D1D" w:rsidRDefault="002A6D1D" w:rsidP="00D525F4">
      <w:pPr>
        <w:pStyle w:val="Heading1"/>
        <w:spacing w:before="0"/>
      </w:pPr>
      <w:r>
        <w:br w:type="page"/>
      </w:r>
      <w:r w:rsidR="008C1066" w:rsidRPr="002A6D1D">
        <w:rPr>
          <w:rStyle w:val="Heading1Char"/>
          <w:b/>
          <w:bCs/>
          <w:caps/>
        </w:rPr>
        <w:lastRenderedPageBreak/>
        <w:t>Attachment</w:t>
      </w:r>
    </w:p>
    <w:p w:rsidR="002A6D1D" w:rsidRPr="009C1F90" w:rsidRDefault="008C1066" w:rsidP="002A0FE3">
      <w:pPr>
        <w:pStyle w:val="Heading2"/>
      </w:pPr>
      <w:r>
        <w:t>Korea's TRQ (Group D) Scheme in the Context of the</w:t>
      </w:r>
      <w:r w:rsidR="002A6D1D">
        <w:t xml:space="preserve"> ASEAN-Korea FTA </w:t>
      </w:r>
      <w:r w:rsidR="002A6D1D">
        <w:br/>
      </w:r>
      <w:r>
        <w:t>(27 April 2006)</w:t>
      </w:r>
      <w: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528"/>
        <w:gridCol w:w="1479"/>
        <w:gridCol w:w="1850"/>
        <w:gridCol w:w="1228"/>
        <w:gridCol w:w="1164"/>
        <w:gridCol w:w="1372"/>
      </w:tblGrid>
      <w:tr w:rsidR="002E5D20" w:rsidRPr="002A0FE3" w:rsidTr="002A0FE3">
        <w:tc>
          <w:tcPr>
            <w:tcW w:w="622" w:type="dxa"/>
            <w:shd w:val="clear" w:color="auto" w:fill="auto"/>
          </w:tcPr>
          <w:p w:rsidR="002A6D1D" w:rsidRPr="007014E2" w:rsidRDefault="002A6D1D" w:rsidP="007014E2">
            <w:pPr>
              <w:pStyle w:val="NoSpacing"/>
              <w:jc w:val="center"/>
              <w:rPr>
                <w:rFonts w:cs="Arial"/>
              </w:rPr>
            </w:pPr>
            <w:r w:rsidRPr="007014E2">
              <w:rPr>
                <w:rFonts w:cs="Arial"/>
              </w:rPr>
              <w:t>No</w:t>
            </w:r>
            <w:r w:rsidR="002E5D20" w:rsidRPr="007014E2">
              <w:rPr>
                <w:rFonts w:cs="Arial"/>
              </w:rPr>
              <w:t>.</w:t>
            </w:r>
          </w:p>
        </w:tc>
        <w:tc>
          <w:tcPr>
            <w:tcW w:w="1528" w:type="dxa"/>
            <w:shd w:val="clear" w:color="auto" w:fill="auto"/>
          </w:tcPr>
          <w:p w:rsidR="002E5D20" w:rsidRPr="007014E2" w:rsidRDefault="002E5D20" w:rsidP="007014E2">
            <w:pPr>
              <w:pStyle w:val="NoSpacing"/>
              <w:jc w:val="center"/>
              <w:rPr>
                <w:rFonts w:cs="Arial"/>
              </w:rPr>
            </w:pPr>
            <w:r w:rsidRPr="007014E2">
              <w:rPr>
                <w:rFonts w:cs="Arial"/>
              </w:rPr>
              <w:t>Hs Code</w:t>
            </w:r>
          </w:p>
          <w:p w:rsidR="002A6D1D" w:rsidRPr="007014E2" w:rsidRDefault="002E5D20" w:rsidP="007014E2">
            <w:pPr>
              <w:pStyle w:val="NoSpacing"/>
              <w:jc w:val="center"/>
              <w:rPr>
                <w:rFonts w:cs="Arial"/>
              </w:rPr>
            </w:pPr>
            <w:r w:rsidRPr="007014E2">
              <w:rPr>
                <w:rFonts w:cs="Arial"/>
              </w:rPr>
              <w:t>(6 Digit)</w:t>
            </w:r>
          </w:p>
        </w:tc>
        <w:tc>
          <w:tcPr>
            <w:tcW w:w="1479" w:type="dxa"/>
            <w:shd w:val="clear" w:color="auto" w:fill="auto"/>
          </w:tcPr>
          <w:p w:rsidR="002A6D1D" w:rsidRPr="007014E2" w:rsidRDefault="00D525F4" w:rsidP="007014E2">
            <w:pPr>
              <w:pStyle w:val="NoSpacing"/>
              <w:jc w:val="center"/>
              <w:rPr>
                <w:rFonts w:cs="Arial"/>
              </w:rPr>
            </w:pPr>
            <w:r>
              <w:rPr>
                <w:rFonts w:cs="Arial"/>
              </w:rPr>
              <w:t>Hs Code (10 Digit)</w:t>
            </w:r>
          </w:p>
        </w:tc>
        <w:tc>
          <w:tcPr>
            <w:tcW w:w="1850" w:type="dxa"/>
            <w:shd w:val="clear" w:color="auto" w:fill="auto"/>
          </w:tcPr>
          <w:p w:rsidR="002A6D1D" w:rsidRPr="007014E2" w:rsidRDefault="002E5D20" w:rsidP="007014E2">
            <w:pPr>
              <w:pStyle w:val="NoSpacing"/>
              <w:jc w:val="center"/>
              <w:rPr>
                <w:rFonts w:cs="Arial"/>
              </w:rPr>
            </w:pPr>
            <w:r w:rsidRPr="007014E2">
              <w:rPr>
                <w:rFonts w:cs="Arial"/>
              </w:rPr>
              <w:t>Description</w:t>
            </w:r>
          </w:p>
        </w:tc>
        <w:tc>
          <w:tcPr>
            <w:tcW w:w="1228" w:type="dxa"/>
            <w:shd w:val="clear" w:color="auto" w:fill="auto"/>
          </w:tcPr>
          <w:p w:rsidR="002A6D1D" w:rsidRPr="007014E2" w:rsidRDefault="002E5D20" w:rsidP="007014E2">
            <w:pPr>
              <w:pStyle w:val="NoSpacing"/>
              <w:jc w:val="center"/>
              <w:rPr>
                <w:rFonts w:cs="Arial"/>
              </w:rPr>
            </w:pPr>
            <w:r w:rsidRPr="007014E2">
              <w:rPr>
                <w:rFonts w:cs="Arial"/>
              </w:rPr>
              <w:t xml:space="preserve">Amount Of Quota For </w:t>
            </w:r>
            <w:r w:rsidR="002A0FE3" w:rsidRPr="007014E2">
              <w:rPr>
                <w:rFonts w:cs="Arial"/>
              </w:rPr>
              <w:t>ASEAN</w:t>
            </w:r>
            <w:r w:rsidRPr="007014E2">
              <w:rPr>
                <w:rFonts w:cs="Arial"/>
              </w:rPr>
              <w:t xml:space="preserve"> (Metric Ton)</w:t>
            </w:r>
          </w:p>
        </w:tc>
        <w:tc>
          <w:tcPr>
            <w:tcW w:w="1164" w:type="dxa"/>
            <w:shd w:val="clear" w:color="auto" w:fill="auto"/>
          </w:tcPr>
          <w:p w:rsidR="002A6D1D" w:rsidRPr="007014E2" w:rsidRDefault="002E5D20" w:rsidP="007014E2">
            <w:pPr>
              <w:pStyle w:val="NoSpacing"/>
              <w:jc w:val="center"/>
              <w:rPr>
                <w:rFonts w:cs="Arial"/>
              </w:rPr>
            </w:pPr>
            <w:r w:rsidRPr="007014E2">
              <w:rPr>
                <w:rFonts w:cs="Arial"/>
              </w:rPr>
              <w:t>In-Quota Rate</w:t>
            </w:r>
          </w:p>
        </w:tc>
        <w:tc>
          <w:tcPr>
            <w:tcW w:w="1372" w:type="dxa"/>
            <w:shd w:val="clear" w:color="auto" w:fill="auto"/>
          </w:tcPr>
          <w:p w:rsidR="002A6D1D" w:rsidRPr="007014E2" w:rsidRDefault="002E5D20" w:rsidP="007014E2">
            <w:pPr>
              <w:pStyle w:val="NoSpacing"/>
              <w:jc w:val="center"/>
              <w:rPr>
                <w:rFonts w:cs="Arial"/>
              </w:rPr>
            </w:pPr>
            <w:r w:rsidRPr="007014E2">
              <w:rPr>
                <w:rFonts w:cs="Arial"/>
              </w:rPr>
              <w:t>Out-Quota Rate</w:t>
            </w:r>
          </w:p>
        </w:tc>
      </w:tr>
      <w:tr w:rsidR="002E5D20" w:rsidRPr="002A0FE3" w:rsidTr="002A0FE3">
        <w:trPr>
          <w:trHeight w:val="322"/>
        </w:trPr>
        <w:tc>
          <w:tcPr>
            <w:tcW w:w="622" w:type="dxa"/>
            <w:vMerge w:val="restart"/>
            <w:shd w:val="clear" w:color="auto" w:fill="auto"/>
          </w:tcPr>
          <w:p w:rsidR="002A6D1D" w:rsidRPr="007014E2" w:rsidRDefault="002E5D20" w:rsidP="007014E2">
            <w:pPr>
              <w:pStyle w:val="NoSpacing"/>
              <w:rPr>
                <w:rFonts w:cs="Arial"/>
              </w:rPr>
            </w:pPr>
            <w:r w:rsidRPr="007014E2">
              <w:rPr>
                <w:rFonts w:cs="Arial"/>
              </w:rPr>
              <w:t>1.</w:t>
            </w:r>
          </w:p>
        </w:tc>
        <w:tc>
          <w:tcPr>
            <w:tcW w:w="1528" w:type="dxa"/>
            <w:vMerge w:val="restart"/>
            <w:shd w:val="clear" w:color="auto" w:fill="auto"/>
          </w:tcPr>
          <w:p w:rsidR="002A6D1D" w:rsidRPr="007014E2" w:rsidRDefault="002E5D20" w:rsidP="007014E2">
            <w:pPr>
              <w:pStyle w:val="NoSpacing"/>
              <w:rPr>
                <w:rFonts w:cs="Arial"/>
              </w:rPr>
            </w:pPr>
            <w:r w:rsidRPr="007014E2">
              <w:rPr>
                <w:rFonts w:cs="Arial"/>
              </w:rPr>
              <w:t>030613</w:t>
            </w:r>
          </w:p>
        </w:tc>
        <w:tc>
          <w:tcPr>
            <w:tcW w:w="1479" w:type="dxa"/>
            <w:shd w:val="clear" w:color="auto" w:fill="auto"/>
          </w:tcPr>
          <w:p w:rsidR="002A6D1D" w:rsidRPr="007014E2" w:rsidRDefault="002E5D20" w:rsidP="007014E2">
            <w:pPr>
              <w:pStyle w:val="NoSpacing"/>
              <w:rPr>
                <w:rFonts w:cs="Arial"/>
              </w:rPr>
            </w:pPr>
            <w:r w:rsidRPr="007014E2">
              <w:rPr>
                <w:rFonts w:cs="Arial"/>
              </w:rPr>
              <w:t>0306131000</w:t>
            </w:r>
          </w:p>
        </w:tc>
        <w:tc>
          <w:tcPr>
            <w:tcW w:w="1850" w:type="dxa"/>
            <w:vMerge w:val="restart"/>
            <w:shd w:val="clear" w:color="auto" w:fill="auto"/>
          </w:tcPr>
          <w:p w:rsidR="002A6D1D" w:rsidRPr="007014E2" w:rsidRDefault="002E5D20" w:rsidP="007014E2">
            <w:pPr>
              <w:pStyle w:val="NoSpacing"/>
              <w:jc w:val="left"/>
              <w:rPr>
                <w:rFonts w:cs="Arial"/>
              </w:rPr>
            </w:pPr>
            <w:r w:rsidRPr="007014E2">
              <w:rPr>
                <w:rFonts w:cs="Arial"/>
              </w:rPr>
              <w:t>Frozen Shrimps And Prawns</w:t>
            </w:r>
          </w:p>
        </w:tc>
        <w:tc>
          <w:tcPr>
            <w:tcW w:w="1228" w:type="dxa"/>
            <w:vMerge w:val="restart"/>
            <w:shd w:val="clear" w:color="auto" w:fill="auto"/>
          </w:tcPr>
          <w:p w:rsidR="002A6D1D" w:rsidRPr="007014E2" w:rsidRDefault="002E5D20" w:rsidP="007014E2">
            <w:pPr>
              <w:pStyle w:val="NoSpacing"/>
              <w:rPr>
                <w:rFonts w:cs="Arial"/>
              </w:rPr>
            </w:pPr>
            <w:r w:rsidRPr="007014E2">
              <w:rPr>
                <w:rFonts w:cs="Arial"/>
              </w:rPr>
              <w:t>5,000</w:t>
            </w:r>
          </w:p>
        </w:tc>
        <w:tc>
          <w:tcPr>
            <w:tcW w:w="1164" w:type="dxa"/>
            <w:vMerge w:val="restart"/>
            <w:shd w:val="clear" w:color="auto" w:fill="auto"/>
          </w:tcPr>
          <w:p w:rsidR="002A6D1D" w:rsidRPr="007014E2" w:rsidRDefault="002E5D20" w:rsidP="007014E2">
            <w:pPr>
              <w:pStyle w:val="NoSpacing"/>
              <w:rPr>
                <w:rFonts w:cs="Arial"/>
              </w:rPr>
            </w:pPr>
            <w:r w:rsidRPr="007014E2">
              <w:rPr>
                <w:rFonts w:cs="Arial"/>
              </w:rPr>
              <w:t>0%</w:t>
            </w:r>
          </w:p>
        </w:tc>
        <w:tc>
          <w:tcPr>
            <w:tcW w:w="1372" w:type="dxa"/>
            <w:vMerge w:val="restart"/>
            <w:shd w:val="clear" w:color="auto" w:fill="auto"/>
          </w:tcPr>
          <w:p w:rsidR="002A6D1D" w:rsidRPr="007014E2" w:rsidRDefault="002A0FE3" w:rsidP="007014E2">
            <w:pPr>
              <w:pStyle w:val="NoSpacing"/>
              <w:jc w:val="left"/>
              <w:rPr>
                <w:rFonts w:cs="Arial"/>
              </w:rPr>
            </w:pPr>
            <w:r w:rsidRPr="007014E2">
              <w:rPr>
                <w:rFonts w:cs="Arial"/>
              </w:rPr>
              <w:t>M</w:t>
            </w:r>
            <w:r w:rsidR="007014E2" w:rsidRPr="007014E2">
              <w:rPr>
                <w:rFonts w:cs="Arial"/>
              </w:rPr>
              <w:t>FN</w:t>
            </w:r>
            <w:r w:rsidRPr="007014E2">
              <w:rPr>
                <w:rFonts w:cs="Arial"/>
              </w:rPr>
              <w:t xml:space="preserve"> Tariff Rate</w:t>
            </w:r>
          </w:p>
        </w:tc>
      </w:tr>
      <w:tr w:rsidR="002E5D20" w:rsidRPr="002A0FE3" w:rsidTr="002A0FE3">
        <w:trPr>
          <w:trHeight w:val="321"/>
        </w:trPr>
        <w:tc>
          <w:tcPr>
            <w:tcW w:w="622" w:type="dxa"/>
            <w:vMerge/>
            <w:shd w:val="clear" w:color="auto" w:fill="auto"/>
          </w:tcPr>
          <w:p w:rsidR="002A6D1D" w:rsidRPr="007014E2" w:rsidRDefault="002A6D1D" w:rsidP="007014E2">
            <w:pPr>
              <w:pStyle w:val="NoSpacing"/>
              <w:rPr>
                <w:rFonts w:cs="Arial"/>
              </w:rPr>
            </w:pPr>
          </w:p>
        </w:tc>
        <w:tc>
          <w:tcPr>
            <w:tcW w:w="1528" w:type="dxa"/>
            <w:vMerge/>
            <w:shd w:val="clear" w:color="auto" w:fill="auto"/>
          </w:tcPr>
          <w:p w:rsidR="002A6D1D" w:rsidRPr="007014E2" w:rsidRDefault="002A6D1D" w:rsidP="007014E2">
            <w:pPr>
              <w:pStyle w:val="NoSpacing"/>
              <w:rPr>
                <w:rFonts w:cs="Arial"/>
              </w:rPr>
            </w:pPr>
          </w:p>
        </w:tc>
        <w:tc>
          <w:tcPr>
            <w:tcW w:w="1479" w:type="dxa"/>
            <w:shd w:val="clear" w:color="auto" w:fill="auto"/>
          </w:tcPr>
          <w:p w:rsidR="002A6D1D" w:rsidRPr="007014E2" w:rsidRDefault="002E5D20" w:rsidP="007014E2">
            <w:pPr>
              <w:pStyle w:val="NoSpacing"/>
              <w:rPr>
                <w:rFonts w:cs="Arial"/>
              </w:rPr>
            </w:pPr>
            <w:r w:rsidRPr="007014E2">
              <w:rPr>
                <w:rFonts w:cs="Arial"/>
              </w:rPr>
              <w:t>0306139000</w:t>
            </w:r>
          </w:p>
        </w:tc>
        <w:tc>
          <w:tcPr>
            <w:tcW w:w="1850" w:type="dxa"/>
            <w:vMerge/>
            <w:shd w:val="clear" w:color="auto" w:fill="auto"/>
          </w:tcPr>
          <w:p w:rsidR="002A6D1D" w:rsidRPr="007014E2" w:rsidRDefault="002A6D1D" w:rsidP="007014E2">
            <w:pPr>
              <w:pStyle w:val="NoSpacing"/>
              <w:jc w:val="left"/>
              <w:rPr>
                <w:rFonts w:cs="Arial"/>
              </w:rPr>
            </w:pPr>
          </w:p>
        </w:tc>
        <w:tc>
          <w:tcPr>
            <w:tcW w:w="1228" w:type="dxa"/>
            <w:vMerge/>
            <w:shd w:val="clear" w:color="auto" w:fill="auto"/>
          </w:tcPr>
          <w:p w:rsidR="002A6D1D" w:rsidRPr="007014E2" w:rsidRDefault="002A6D1D" w:rsidP="007014E2">
            <w:pPr>
              <w:pStyle w:val="NoSpacing"/>
              <w:rPr>
                <w:rFonts w:cs="Arial"/>
              </w:rPr>
            </w:pPr>
          </w:p>
        </w:tc>
        <w:tc>
          <w:tcPr>
            <w:tcW w:w="1164" w:type="dxa"/>
            <w:vMerge/>
            <w:shd w:val="clear" w:color="auto" w:fill="auto"/>
          </w:tcPr>
          <w:p w:rsidR="002A6D1D" w:rsidRPr="007014E2" w:rsidRDefault="002A6D1D" w:rsidP="007014E2">
            <w:pPr>
              <w:pStyle w:val="NoSpacing"/>
              <w:rPr>
                <w:rFonts w:cs="Arial"/>
              </w:rPr>
            </w:pPr>
          </w:p>
        </w:tc>
        <w:tc>
          <w:tcPr>
            <w:tcW w:w="1372" w:type="dxa"/>
            <w:vMerge/>
            <w:shd w:val="clear" w:color="auto" w:fill="auto"/>
          </w:tcPr>
          <w:p w:rsidR="002A6D1D" w:rsidRPr="007014E2" w:rsidRDefault="002A6D1D" w:rsidP="007014E2">
            <w:pPr>
              <w:pStyle w:val="NoSpacing"/>
              <w:jc w:val="left"/>
              <w:rPr>
                <w:rFonts w:cs="Arial"/>
              </w:rPr>
            </w:pPr>
          </w:p>
        </w:tc>
      </w:tr>
      <w:tr w:rsidR="002E5D20" w:rsidRPr="002A0FE3" w:rsidTr="002A0FE3">
        <w:tc>
          <w:tcPr>
            <w:tcW w:w="622" w:type="dxa"/>
            <w:shd w:val="clear" w:color="auto" w:fill="auto"/>
          </w:tcPr>
          <w:p w:rsidR="002A6D1D" w:rsidRPr="007014E2" w:rsidRDefault="002E5D20" w:rsidP="007014E2">
            <w:pPr>
              <w:pStyle w:val="NoSpacing"/>
              <w:rPr>
                <w:rFonts w:cs="Arial"/>
              </w:rPr>
            </w:pPr>
            <w:r w:rsidRPr="007014E2">
              <w:rPr>
                <w:rFonts w:cs="Arial"/>
              </w:rPr>
              <w:t>2.</w:t>
            </w:r>
          </w:p>
        </w:tc>
        <w:tc>
          <w:tcPr>
            <w:tcW w:w="1528" w:type="dxa"/>
            <w:shd w:val="clear" w:color="auto" w:fill="auto"/>
          </w:tcPr>
          <w:p w:rsidR="002A6D1D" w:rsidRPr="007014E2" w:rsidRDefault="002E5D20" w:rsidP="007014E2">
            <w:pPr>
              <w:pStyle w:val="NoSpacing"/>
              <w:rPr>
                <w:rFonts w:cs="Arial"/>
              </w:rPr>
            </w:pPr>
            <w:r w:rsidRPr="007014E2">
              <w:rPr>
                <w:rFonts w:cs="Arial"/>
              </w:rPr>
              <w:t>030623</w:t>
            </w:r>
          </w:p>
        </w:tc>
        <w:tc>
          <w:tcPr>
            <w:tcW w:w="1479" w:type="dxa"/>
            <w:shd w:val="clear" w:color="auto" w:fill="auto"/>
          </w:tcPr>
          <w:p w:rsidR="002A6D1D" w:rsidRPr="007014E2" w:rsidRDefault="002E5D20" w:rsidP="007014E2">
            <w:pPr>
              <w:pStyle w:val="NoSpacing"/>
              <w:rPr>
                <w:rFonts w:cs="Arial"/>
              </w:rPr>
            </w:pPr>
            <w:r w:rsidRPr="007014E2">
              <w:rPr>
                <w:rFonts w:cs="Arial"/>
              </w:rPr>
              <w:t>0306231000</w:t>
            </w:r>
          </w:p>
        </w:tc>
        <w:tc>
          <w:tcPr>
            <w:tcW w:w="1850" w:type="dxa"/>
            <w:shd w:val="clear" w:color="auto" w:fill="auto"/>
          </w:tcPr>
          <w:p w:rsidR="002A6D1D" w:rsidRPr="007014E2" w:rsidRDefault="002E5D20" w:rsidP="007014E2">
            <w:pPr>
              <w:pStyle w:val="NoSpacing"/>
              <w:jc w:val="left"/>
              <w:rPr>
                <w:rFonts w:cs="Arial"/>
              </w:rPr>
            </w:pPr>
            <w:r w:rsidRPr="007014E2">
              <w:rPr>
                <w:rFonts w:cs="Arial"/>
              </w:rPr>
              <w:t>Live, Fresh Or Chilled Shrimps And Prawns</w:t>
            </w:r>
          </w:p>
        </w:tc>
        <w:tc>
          <w:tcPr>
            <w:tcW w:w="1228" w:type="dxa"/>
            <w:shd w:val="clear" w:color="auto" w:fill="auto"/>
          </w:tcPr>
          <w:p w:rsidR="002A6D1D" w:rsidRPr="007014E2" w:rsidRDefault="002E5D20" w:rsidP="007014E2">
            <w:pPr>
              <w:pStyle w:val="NoSpacing"/>
              <w:rPr>
                <w:rFonts w:cs="Arial"/>
              </w:rPr>
            </w:pPr>
            <w:r w:rsidRPr="007014E2">
              <w:rPr>
                <w:rFonts w:cs="Arial"/>
              </w:rPr>
              <w:t>300</w:t>
            </w:r>
          </w:p>
        </w:tc>
        <w:tc>
          <w:tcPr>
            <w:tcW w:w="1164" w:type="dxa"/>
            <w:shd w:val="clear" w:color="auto" w:fill="auto"/>
          </w:tcPr>
          <w:p w:rsidR="002A6D1D" w:rsidRPr="007014E2" w:rsidRDefault="002E5D20" w:rsidP="007014E2">
            <w:pPr>
              <w:pStyle w:val="NoSpacing"/>
              <w:rPr>
                <w:rFonts w:cs="Arial"/>
              </w:rPr>
            </w:pPr>
            <w:r w:rsidRPr="007014E2">
              <w:rPr>
                <w:rFonts w:cs="Arial"/>
              </w:rPr>
              <w:t>0%</w:t>
            </w:r>
          </w:p>
        </w:tc>
        <w:tc>
          <w:tcPr>
            <w:tcW w:w="1372" w:type="dxa"/>
            <w:shd w:val="clear" w:color="auto" w:fill="auto"/>
          </w:tcPr>
          <w:p w:rsidR="002A6D1D" w:rsidRPr="007014E2" w:rsidRDefault="002A0FE3" w:rsidP="007014E2">
            <w:pPr>
              <w:pStyle w:val="NoSpacing"/>
              <w:jc w:val="left"/>
              <w:rPr>
                <w:rFonts w:cs="Arial"/>
              </w:rPr>
            </w:pPr>
            <w:r w:rsidRPr="007014E2">
              <w:rPr>
                <w:rFonts w:cs="Arial"/>
              </w:rPr>
              <w:t>M</w:t>
            </w:r>
            <w:r w:rsidR="007014E2" w:rsidRPr="007014E2">
              <w:rPr>
                <w:rFonts w:cs="Arial"/>
              </w:rPr>
              <w:t>FN</w:t>
            </w:r>
            <w:r w:rsidRPr="007014E2">
              <w:rPr>
                <w:rFonts w:cs="Arial"/>
              </w:rPr>
              <w:t xml:space="preserve"> Tariff Rate</w:t>
            </w:r>
          </w:p>
        </w:tc>
      </w:tr>
      <w:tr w:rsidR="002E5D20" w:rsidRPr="002A0FE3" w:rsidTr="002A0FE3">
        <w:tc>
          <w:tcPr>
            <w:tcW w:w="622" w:type="dxa"/>
            <w:shd w:val="clear" w:color="auto" w:fill="auto"/>
          </w:tcPr>
          <w:p w:rsidR="002A6D1D" w:rsidRPr="007014E2" w:rsidRDefault="002E5D20" w:rsidP="007014E2">
            <w:pPr>
              <w:pStyle w:val="NoSpacing"/>
              <w:rPr>
                <w:rFonts w:cs="Arial"/>
              </w:rPr>
            </w:pPr>
            <w:r w:rsidRPr="007014E2">
              <w:rPr>
                <w:rFonts w:cs="Arial"/>
              </w:rPr>
              <w:t>3.</w:t>
            </w:r>
          </w:p>
        </w:tc>
        <w:tc>
          <w:tcPr>
            <w:tcW w:w="1528" w:type="dxa"/>
            <w:shd w:val="clear" w:color="auto" w:fill="auto"/>
          </w:tcPr>
          <w:p w:rsidR="002A6D1D" w:rsidRPr="007014E2" w:rsidRDefault="002E5D20" w:rsidP="007014E2">
            <w:pPr>
              <w:pStyle w:val="NoSpacing"/>
              <w:rPr>
                <w:rFonts w:cs="Arial"/>
              </w:rPr>
            </w:pPr>
            <w:r w:rsidRPr="007014E2">
              <w:rPr>
                <w:rFonts w:cs="Arial"/>
              </w:rPr>
              <w:t>030749</w:t>
            </w:r>
          </w:p>
        </w:tc>
        <w:tc>
          <w:tcPr>
            <w:tcW w:w="1479" w:type="dxa"/>
            <w:shd w:val="clear" w:color="auto" w:fill="auto"/>
          </w:tcPr>
          <w:p w:rsidR="002A6D1D" w:rsidRPr="007014E2" w:rsidRDefault="002E5D20" w:rsidP="007014E2">
            <w:pPr>
              <w:pStyle w:val="NoSpacing"/>
              <w:rPr>
                <w:rFonts w:cs="Arial"/>
              </w:rPr>
            </w:pPr>
            <w:r w:rsidRPr="007014E2">
              <w:rPr>
                <w:rFonts w:cs="Arial"/>
              </w:rPr>
              <w:t>0307491010</w:t>
            </w:r>
          </w:p>
        </w:tc>
        <w:tc>
          <w:tcPr>
            <w:tcW w:w="1850" w:type="dxa"/>
            <w:shd w:val="clear" w:color="auto" w:fill="auto"/>
          </w:tcPr>
          <w:p w:rsidR="002A6D1D" w:rsidRPr="007014E2" w:rsidRDefault="002E5D20" w:rsidP="007014E2">
            <w:pPr>
              <w:pStyle w:val="NoSpacing"/>
              <w:jc w:val="left"/>
              <w:rPr>
                <w:rFonts w:cs="Arial"/>
              </w:rPr>
            </w:pPr>
            <w:r w:rsidRPr="007014E2">
              <w:rPr>
                <w:rFonts w:cs="Arial"/>
              </w:rPr>
              <w:t>Cuttle Fish</w:t>
            </w:r>
          </w:p>
        </w:tc>
        <w:tc>
          <w:tcPr>
            <w:tcW w:w="1228" w:type="dxa"/>
            <w:shd w:val="clear" w:color="auto" w:fill="auto"/>
          </w:tcPr>
          <w:p w:rsidR="002A6D1D" w:rsidRPr="007014E2" w:rsidRDefault="002E5D20" w:rsidP="007014E2">
            <w:pPr>
              <w:pStyle w:val="NoSpacing"/>
              <w:rPr>
                <w:rFonts w:cs="Arial"/>
              </w:rPr>
            </w:pPr>
            <w:r w:rsidRPr="007014E2">
              <w:rPr>
                <w:rFonts w:cs="Arial"/>
              </w:rPr>
              <w:t>2,000</w:t>
            </w:r>
          </w:p>
        </w:tc>
        <w:tc>
          <w:tcPr>
            <w:tcW w:w="1164" w:type="dxa"/>
            <w:shd w:val="clear" w:color="auto" w:fill="auto"/>
          </w:tcPr>
          <w:p w:rsidR="002A6D1D" w:rsidRPr="007014E2" w:rsidRDefault="002E5D20" w:rsidP="007014E2">
            <w:pPr>
              <w:pStyle w:val="NoSpacing"/>
              <w:rPr>
                <w:rFonts w:cs="Arial"/>
              </w:rPr>
            </w:pPr>
            <w:r w:rsidRPr="007014E2">
              <w:rPr>
                <w:rFonts w:cs="Arial"/>
              </w:rPr>
              <w:t>0%</w:t>
            </w:r>
          </w:p>
        </w:tc>
        <w:tc>
          <w:tcPr>
            <w:tcW w:w="1372" w:type="dxa"/>
            <w:shd w:val="clear" w:color="auto" w:fill="auto"/>
          </w:tcPr>
          <w:p w:rsidR="002A6D1D" w:rsidRPr="007014E2" w:rsidRDefault="002A0FE3" w:rsidP="007014E2">
            <w:pPr>
              <w:pStyle w:val="NoSpacing"/>
              <w:jc w:val="left"/>
              <w:rPr>
                <w:rFonts w:cs="Arial"/>
              </w:rPr>
            </w:pPr>
            <w:r w:rsidRPr="007014E2">
              <w:rPr>
                <w:rFonts w:cs="Arial"/>
              </w:rPr>
              <w:t>Subject To The Requirement Of Group B</w:t>
            </w:r>
          </w:p>
        </w:tc>
      </w:tr>
      <w:tr w:rsidR="002E5D20" w:rsidRPr="002A0FE3" w:rsidTr="002A0FE3">
        <w:trPr>
          <w:trHeight w:val="452"/>
        </w:trPr>
        <w:tc>
          <w:tcPr>
            <w:tcW w:w="622" w:type="dxa"/>
            <w:vMerge w:val="restart"/>
            <w:shd w:val="clear" w:color="auto" w:fill="auto"/>
          </w:tcPr>
          <w:p w:rsidR="002E5D20" w:rsidRPr="007014E2" w:rsidRDefault="002E5D20" w:rsidP="007014E2">
            <w:pPr>
              <w:pStyle w:val="NoSpacing"/>
              <w:rPr>
                <w:rFonts w:cs="Arial"/>
              </w:rPr>
            </w:pPr>
            <w:r w:rsidRPr="007014E2">
              <w:rPr>
                <w:rFonts w:cs="Arial"/>
              </w:rPr>
              <w:t>4.</w:t>
            </w:r>
          </w:p>
        </w:tc>
        <w:tc>
          <w:tcPr>
            <w:tcW w:w="1528" w:type="dxa"/>
            <w:vMerge w:val="restart"/>
            <w:shd w:val="clear" w:color="auto" w:fill="auto"/>
          </w:tcPr>
          <w:p w:rsidR="002E5D20" w:rsidRPr="007014E2" w:rsidRDefault="002E5D20" w:rsidP="007014E2">
            <w:pPr>
              <w:pStyle w:val="NoSpacing"/>
              <w:rPr>
                <w:rFonts w:cs="Arial"/>
              </w:rPr>
            </w:pPr>
            <w:r w:rsidRPr="007014E2">
              <w:rPr>
                <w:rFonts w:cs="Arial"/>
              </w:rPr>
              <w:t>071333</w:t>
            </w:r>
          </w:p>
        </w:tc>
        <w:tc>
          <w:tcPr>
            <w:tcW w:w="1479" w:type="dxa"/>
            <w:shd w:val="clear" w:color="auto" w:fill="auto"/>
          </w:tcPr>
          <w:p w:rsidR="002E5D20" w:rsidRPr="007014E2" w:rsidRDefault="002E5D20" w:rsidP="007014E2">
            <w:pPr>
              <w:pStyle w:val="NoSpacing"/>
              <w:rPr>
                <w:rFonts w:cs="Arial"/>
              </w:rPr>
            </w:pPr>
            <w:r w:rsidRPr="007014E2">
              <w:rPr>
                <w:rFonts w:cs="Arial"/>
              </w:rPr>
              <w:t>0713331000</w:t>
            </w:r>
          </w:p>
        </w:tc>
        <w:tc>
          <w:tcPr>
            <w:tcW w:w="1850" w:type="dxa"/>
            <w:vMerge w:val="restart"/>
            <w:shd w:val="clear" w:color="auto" w:fill="auto"/>
          </w:tcPr>
          <w:p w:rsidR="002E5D20" w:rsidRPr="007014E2" w:rsidRDefault="002E5D20" w:rsidP="007014E2">
            <w:pPr>
              <w:pStyle w:val="NoSpacing"/>
              <w:jc w:val="left"/>
              <w:rPr>
                <w:rFonts w:cs="Arial"/>
              </w:rPr>
            </w:pPr>
            <w:r w:rsidRPr="007014E2">
              <w:rPr>
                <w:rFonts w:cs="Arial"/>
              </w:rPr>
              <w:t>Kidney Beans, Inclu</w:t>
            </w:r>
            <w:r w:rsidR="002A0FE3" w:rsidRPr="007014E2">
              <w:rPr>
                <w:rFonts w:cs="Arial"/>
              </w:rPr>
              <w:t xml:space="preserve">ding White Pea Beans (Phaseolus </w:t>
            </w:r>
            <w:r w:rsidR="00D525F4">
              <w:rPr>
                <w:rFonts w:cs="Arial"/>
              </w:rPr>
              <w:t>Vulgaris)</w:t>
            </w:r>
          </w:p>
        </w:tc>
        <w:tc>
          <w:tcPr>
            <w:tcW w:w="1228" w:type="dxa"/>
            <w:vMerge w:val="restart"/>
            <w:shd w:val="clear" w:color="auto" w:fill="auto"/>
          </w:tcPr>
          <w:p w:rsidR="002E5D20" w:rsidRPr="007014E2" w:rsidRDefault="002E5D20" w:rsidP="007014E2">
            <w:pPr>
              <w:pStyle w:val="NoSpacing"/>
              <w:rPr>
                <w:rFonts w:cs="Arial"/>
              </w:rPr>
            </w:pPr>
            <w:r w:rsidRPr="007014E2">
              <w:rPr>
                <w:rFonts w:cs="Arial"/>
              </w:rPr>
              <w:t>2,000</w:t>
            </w:r>
          </w:p>
        </w:tc>
        <w:tc>
          <w:tcPr>
            <w:tcW w:w="1164" w:type="dxa"/>
            <w:vMerge w:val="restart"/>
            <w:shd w:val="clear" w:color="auto" w:fill="auto"/>
          </w:tcPr>
          <w:p w:rsidR="002E5D20" w:rsidRPr="007014E2" w:rsidRDefault="002E5D20" w:rsidP="007014E2">
            <w:pPr>
              <w:pStyle w:val="NoSpacing"/>
              <w:rPr>
                <w:rFonts w:cs="Arial"/>
              </w:rPr>
            </w:pPr>
            <w:r w:rsidRPr="007014E2">
              <w:rPr>
                <w:rFonts w:cs="Arial"/>
              </w:rPr>
              <w:t>0%</w:t>
            </w:r>
          </w:p>
        </w:tc>
        <w:tc>
          <w:tcPr>
            <w:tcW w:w="1372" w:type="dxa"/>
            <w:vMerge w:val="restart"/>
            <w:shd w:val="clear" w:color="auto" w:fill="auto"/>
          </w:tcPr>
          <w:p w:rsidR="002E5D20" w:rsidRPr="007014E2" w:rsidRDefault="002A0FE3" w:rsidP="007014E2">
            <w:pPr>
              <w:pStyle w:val="NoSpacing"/>
              <w:jc w:val="left"/>
              <w:rPr>
                <w:rFonts w:cs="Arial"/>
              </w:rPr>
            </w:pPr>
            <w:r w:rsidRPr="007014E2">
              <w:rPr>
                <w:rFonts w:cs="Arial"/>
              </w:rPr>
              <w:t>M</w:t>
            </w:r>
            <w:r w:rsidR="007014E2" w:rsidRPr="007014E2">
              <w:rPr>
                <w:rFonts w:cs="Arial"/>
              </w:rPr>
              <w:t>FN</w:t>
            </w:r>
            <w:r w:rsidRPr="007014E2">
              <w:rPr>
                <w:rFonts w:cs="Arial"/>
              </w:rPr>
              <w:t xml:space="preserve"> Tariff Rate</w:t>
            </w:r>
          </w:p>
        </w:tc>
      </w:tr>
      <w:tr w:rsidR="002E5D20" w:rsidRPr="002A0FE3" w:rsidTr="002A0FE3">
        <w:trPr>
          <w:trHeight w:val="452"/>
        </w:trPr>
        <w:tc>
          <w:tcPr>
            <w:tcW w:w="622" w:type="dxa"/>
            <w:vMerge/>
            <w:shd w:val="clear" w:color="auto" w:fill="auto"/>
          </w:tcPr>
          <w:p w:rsidR="002E5D20" w:rsidRPr="007014E2" w:rsidRDefault="002E5D20" w:rsidP="007014E2">
            <w:pPr>
              <w:pStyle w:val="NoSpacing"/>
              <w:rPr>
                <w:rFonts w:cs="Arial"/>
              </w:rPr>
            </w:pPr>
          </w:p>
        </w:tc>
        <w:tc>
          <w:tcPr>
            <w:tcW w:w="1528" w:type="dxa"/>
            <w:vMerge/>
            <w:shd w:val="clear" w:color="auto" w:fill="auto"/>
          </w:tcPr>
          <w:p w:rsidR="002E5D20" w:rsidRPr="007014E2" w:rsidRDefault="002E5D20" w:rsidP="007014E2">
            <w:pPr>
              <w:pStyle w:val="NoSpacing"/>
              <w:rPr>
                <w:rFonts w:cs="Arial"/>
              </w:rPr>
            </w:pPr>
          </w:p>
        </w:tc>
        <w:tc>
          <w:tcPr>
            <w:tcW w:w="1479" w:type="dxa"/>
            <w:shd w:val="clear" w:color="auto" w:fill="auto"/>
          </w:tcPr>
          <w:p w:rsidR="002E5D20" w:rsidRPr="007014E2" w:rsidRDefault="00D525F4" w:rsidP="007014E2">
            <w:pPr>
              <w:pStyle w:val="NoSpacing"/>
              <w:rPr>
                <w:rFonts w:cs="Arial"/>
              </w:rPr>
            </w:pPr>
            <w:r>
              <w:rPr>
                <w:rFonts w:cs="Arial"/>
              </w:rPr>
              <w:t>0713339000</w:t>
            </w:r>
          </w:p>
        </w:tc>
        <w:tc>
          <w:tcPr>
            <w:tcW w:w="1850" w:type="dxa"/>
            <w:vMerge/>
            <w:shd w:val="clear" w:color="auto" w:fill="auto"/>
          </w:tcPr>
          <w:p w:rsidR="002E5D20" w:rsidRPr="007014E2" w:rsidRDefault="002E5D20" w:rsidP="007014E2">
            <w:pPr>
              <w:pStyle w:val="NoSpacing"/>
              <w:jc w:val="left"/>
              <w:rPr>
                <w:rFonts w:cs="Arial"/>
              </w:rPr>
            </w:pPr>
          </w:p>
        </w:tc>
        <w:tc>
          <w:tcPr>
            <w:tcW w:w="1228" w:type="dxa"/>
            <w:vMerge/>
            <w:shd w:val="clear" w:color="auto" w:fill="auto"/>
          </w:tcPr>
          <w:p w:rsidR="002E5D20" w:rsidRPr="007014E2" w:rsidRDefault="002E5D20" w:rsidP="007014E2">
            <w:pPr>
              <w:pStyle w:val="NoSpacing"/>
              <w:rPr>
                <w:rFonts w:cs="Arial"/>
              </w:rPr>
            </w:pPr>
          </w:p>
        </w:tc>
        <w:tc>
          <w:tcPr>
            <w:tcW w:w="1164" w:type="dxa"/>
            <w:vMerge/>
            <w:shd w:val="clear" w:color="auto" w:fill="auto"/>
          </w:tcPr>
          <w:p w:rsidR="002E5D20" w:rsidRPr="007014E2" w:rsidRDefault="002E5D20" w:rsidP="007014E2">
            <w:pPr>
              <w:pStyle w:val="NoSpacing"/>
              <w:rPr>
                <w:rFonts w:cs="Arial"/>
              </w:rPr>
            </w:pPr>
          </w:p>
        </w:tc>
        <w:tc>
          <w:tcPr>
            <w:tcW w:w="1372" w:type="dxa"/>
            <w:vMerge/>
            <w:shd w:val="clear" w:color="auto" w:fill="auto"/>
          </w:tcPr>
          <w:p w:rsidR="002E5D20" w:rsidRPr="007014E2" w:rsidRDefault="002E5D20" w:rsidP="007014E2">
            <w:pPr>
              <w:pStyle w:val="NoSpacing"/>
              <w:jc w:val="left"/>
              <w:rPr>
                <w:rFonts w:cs="Arial"/>
              </w:rPr>
            </w:pPr>
          </w:p>
        </w:tc>
      </w:tr>
      <w:tr w:rsidR="002E5D20" w:rsidRPr="002A0FE3" w:rsidTr="002A0FE3">
        <w:trPr>
          <w:trHeight w:val="131"/>
        </w:trPr>
        <w:tc>
          <w:tcPr>
            <w:tcW w:w="622" w:type="dxa"/>
            <w:vMerge w:val="restart"/>
            <w:shd w:val="clear" w:color="auto" w:fill="auto"/>
          </w:tcPr>
          <w:p w:rsidR="002E5D20" w:rsidRPr="007014E2" w:rsidRDefault="002E5D20" w:rsidP="007014E2">
            <w:pPr>
              <w:pStyle w:val="NoSpacing"/>
              <w:rPr>
                <w:rFonts w:cs="Arial"/>
              </w:rPr>
            </w:pPr>
            <w:r w:rsidRPr="007014E2">
              <w:rPr>
                <w:rFonts w:cs="Arial"/>
              </w:rPr>
              <w:t>5.</w:t>
            </w:r>
          </w:p>
        </w:tc>
        <w:tc>
          <w:tcPr>
            <w:tcW w:w="1528" w:type="dxa"/>
            <w:vMerge w:val="restart"/>
            <w:shd w:val="clear" w:color="auto" w:fill="auto"/>
          </w:tcPr>
          <w:p w:rsidR="002E5D20" w:rsidRPr="007014E2" w:rsidRDefault="002E5D20" w:rsidP="007014E2">
            <w:pPr>
              <w:pStyle w:val="NoSpacing"/>
              <w:rPr>
                <w:rFonts w:cs="Arial"/>
              </w:rPr>
            </w:pPr>
            <w:r w:rsidRPr="007014E2">
              <w:rPr>
                <w:rFonts w:cs="Arial"/>
              </w:rPr>
              <w:t>071410</w:t>
            </w:r>
          </w:p>
        </w:tc>
        <w:tc>
          <w:tcPr>
            <w:tcW w:w="1479" w:type="dxa"/>
            <w:shd w:val="clear" w:color="auto" w:fill="auto"/>
          </w:tcPr>
          <w:p w:rsidR="002E5D20" w:rsidRPr="007014E2" w:rsidRDefault="002E5D20" w:rsidP="007014E2">
            <w:pPr>
              <w:pStyle w:val="NoSpacing"/>
              <w:rPr>
                <w:rFonts w:cs="Arial"/>
              </w:rPr>
            </w:pPr>
            <w:r w:rsidRPr="007014E2">
              <w:rPr>
                <w:rFonts w:cs="Arial"/>
              </w:rPr>
              <w:t>0714101000</w:t>
            </w:r>
          </w:p>
        </w:tc>
        <w:tc>
          <w:tcPr>
            <w:tcW w:w="1850" w:type="dxa"/>
            <w:vMerge w:val="restart"/>
            <w:shd w:val="clear" w:color="auto" w:fill="auto"/>
          </w:tcPr>
          <w:p w:rsidR="002E5D20" w:rsidRPr="007014E2" w:rsidRDefault="002E5D20" w:rsidP="007014E2">
            <w:pPr>
              <w:pStyle w:val="NoSpacing"/>
              <w:jc w:val="left"/>
              <w:rPr>
                <w:rFonts w:cs="Arial"/>
              </w:rPr>
            </w:pPr>
            <w:r w:rsidRPr="007014E2">
              <w:rPr>
                <w:rFonts w:cs="Arial"/>
              </w:rPr>
              <w:t>Manioc(Cassava)</w:t>
            </w:r>
          </w:p>
        </w:tc>
        <w:tc>
          <w:tcPr>
            <w:tcW w:w="1228" w:type="dxa"/>
            <w:vMerge w:val="restart"/>
            <w:shd w:val="clear" w:color="auto" w:fill="auto"/>
          </w:tcPr>
          <w:p w:rsidR="002E5D20" w:rsidRPr="007014E2" w:rsidRDefault="002E5D20" w:rsidP="007014E2">
            <w:pPr>
              <w:pStyle w:val="NoSpacing"/>
              <w:rPr>
                <w:rFonts w:cs="Arial"/>
              </w:rPr>
            </w:pPr>
            <w:r w:rsidRPr="007014E2">
              <w:rPr>
                <w:rFonts w:cs="Arial"/>
              </w:rPr>
              <w:t>25,000</w:t>
            </w:r>
          </w:p>
        </w:tc>
        <w:tc>
          <w:tcPr>
            <w:tcW w:w="1164" w:type="dxa"/>
            <w:vMerge w:val="restart"/>
            <w:shd w:val="clear" w:color="auto" w:fill="auto"/>
          </w:tcPr>
          <w:p w:rsidR="002E5D20" w:rsidRPr="007014E2" w:rsidRDefault="002E5D20" w:rsidP="007014E2">
            <w:pPr>
              <w:pStyle w:val="NoSpacing"/>
              <w:rPr>
                <w:rFonts w:cs="Arial"/>
              </w:rPr>
            </w:pPr>
            <w:r w:rsidRPr="007014E2">
              <w:rPr>
                <w:rFonts w:cs="Arial"/>
              </w:rPr>
              <w:t>20%</w:t>
            </w:r>
          </w:p>
        </w:tc>
        <w:tc>
          <w:tcPr>
            <w:tcW w:w="1372" w:type="dxa"/>
            <w:vMerge w:val="restart"/>
            <w:shd w:val="clear" w:color="auto" w:fill="auto"/>
          </w:tcPr>
          <w:p w:rsidR="002E5D20" w:rsidRPr="007014E2" w:rsidRDefault="002A0FE3" w:rsidP="007014E2">
            <w:pPr>
              <w:pStyle w:val="NoSpacing"/>
              <w:jc w:val="left"/>
              <w:rPr>
                <w:rFonts w:cs="Arial"/>
              </w:rPr>
            </w:pPr>
            <w:r w:rsidRPr="007014E2">
              <w:rPr>
                <w:rFonts w:cs="Arial"/>
              </w:rPr>
              <w:t>M</w:t>
            </w:r>
            <w:r w:rsidR="007014E2" w:rsidRPr="007014E2">
              <w:rPr>
                <w:rFonts w:cs="Arial"/>
              </w:rPr>
              <w:t>FN</w:t>
            </w:r>
            <w:r w:rsidRPr="007014E2">
              <w:rPr>
                <w:rFonts w:cs="Arial"/>
              </w:rPr>
              <w:t xml:space="preserve"> Tariff Rate</w:t>
            </w:r>
          </w:p>
        </w:tc>
      </w:tr>
      <w:tr w:rsidR="002E5D20" w:rsidRPr="002A0FE3" w:rsidTr="002A0FE3">
        <w:trPr>
          <w:trHeight w:val="128"/>
        </w:trPr>
        <w:tc>
          <w:tcPr>
            <w:tcW w:w="622" w:type="dxa"/>
            <w:vMerge/>
            <w:shd w:val="clear" w:color="auto" w:fill="auto"/>
          </w:tcPr>
          <w:p w:rsidR="002E5D20" w:rsidRPr="007014E2" w:rsidRDefault="002E5D20" w:rsidP="007014E2">
            <w:pPr>
              <w:pStyle w:val="NoSpacing"/>
              <w:rPr>
                <w:rFonts w:cs="Arial"/>
              </w:rPr>
            </w:pPr>
          </w:p>
        </w:tc>
        <w:tc>
          <w:tcPr>
            <w:tcW w:w="1528" w:type="dxa"/>
            <w:vMerge/>
            <w:shd w:val="clear" w:color="auto" w:fill="auto"/>
          </w:tcPr>
          <w:p w:rsidR="002E5D20" w:rsidRPr="007014E2" w:rsidRDefault="002E5D20" w:rsidP="007014E2">
            <w:pPr>
              <w:pStyle w:val="NoSpacing"/>
              <w:rPr>
                <w:rFonts w:cs="Arial"/>
              </w:rPr>
            </w:pPr>
          </w:p>
        </w:tc>
        <w:tc>
          <w:tcPr>
            <w:tcW w:w="1479" w:type="dxa"/>
            <w:shd w:val="clear" w:color="auto" w:fill="auto"/>
          </w:tcPr>
          <w:p w:rsidR="002E5D20" w:rsidRPr="007014E2" w:rsidRDefault="002E5D20" w:rsidP="007014E2">
            <w:pPr>
              <w:pStyle w:val="NoSpacing"/>
              <w:rPr>
                <w:rFonts w:cs="Arial"/>
              </w:rPr>
            </w:pPr>
            <w:r w:rsidRPr="007014E2">
              <w:rPr>
                <w:rFonts w:cs="Arial"/>
              </w:rPr>
              <w:t>0714102010</w:t>
            </w:r>
          </w:p>
        </w:tc>
        <w:tc>
          <w:tcPr>
            <w:tcW w:w="1850" w:type="dxa"/>
            <w:vMerge/>
            <w:shd w:val="clear" w:color="auto" w:fill="auto"/>
          </w:tcPr>
          <w:p w:rsidR="002E5D20" w:rsidRPr="007014E2" w:rsidRDefault="002E5D20" w:rsidP="007014E2">
            <w:pPr>
              <w:pStyle w:val="NoSpacing"/>
              <w:jc w:val="left"/>
              <w:rPr>
                <w:rFonts w:cs="Arial"/>
              </w:rPr>
            </w:pPr>
          </w:p>
        </w:tc>
        <w:tc>
          <w:tcPr>
            <w:tcW w:w="1228" w:type="dxa"/>
            <w:vMerge/>
            <w:shd w:val="clear" w:color="auto" w:fill="auto"/>
          </w:tcPr>
          <w:p w:rsidR="002E5D20" w:rsidRPr="007014E2" w:rsidRDefault="002E5D20" w:rsidP="007014E2">
            <w:pPr>
              <w:pStyle w:val="NoSpacing"/>
              <w:rPr>
                <w:rFonts w:cs="Arial"/>
              </w:rPr>
            </w:pPr>
          </w:p>
        </w:tc>
        <w:tc>
          <w:tcPr>
            <w:tcW w:w="1164" w:type="dxa"/>
            <w:vMerge/>
            <w:shd w:val="clear" w:color="auto" w:fill="auto"/>
          </w:tcPr>
          <w:p w:rsidR="002E5D20" w:rsidRPr="007014E2" w:rsidRDefault="002E5D20" w:rsidP="007014E2">
            <w:pPr>
              <w:pStyle w:val="NoSpacing"/>
              <w:rPr>
                <w:rFonts w:cs="Arial"/>
              </w:rPr>
            </w:pPr>
          </w:p>
        </w:tc>
        <w:tc>
          <w:tcPr>
            <w:tcW w:w="1372" w:type="dxa"/>
            <w:vMerge/>
            <w:shd w:val="clear" w:color="auto" w:fill="auto"/>
          </w:tcPr>
          <w:p w:rsidR="002E5D20" w:rsidRPr="007014E2" w:rsidRDefault="002E5D20" w:rsidP="007014E2">
            <w:pPr>
              <w:pStyle w:val="NoSpacing"/>
              <w:jc w:val="left"/>
              <w:rPr>
                <w:rFonts w:cs="Arial"/>
              </w:rPr>
            </w:pPr>
          </w:p>
        </w:tc>
      </w:tr>
      <w:tr w:rsidR="002E5D20" w:rsidRPr="002A0FE3" w:rsidTr="002A0FE3">
        <w:trPr>
          <w:trHeight w:val="128"/>
        </w:trPr>
        <w:tc>
          <w:tcPr>
            <w:tcW w:w="622" w:type="dxa"/>
            <w:vMerge/>
            <w:shd w:val="clear" w:color="auto" w:fill="auto"/>
          </w:tcPr>
          <w:p w:rsidR="002E5D20" w:rsidRPr="007014E2" w:rsidRDefault="002E5D20" w:rsidP="007014E2">
            <w:pPr>
              <w:pStyle w:val="NoSpacing"/>
              <w:rPr>
                <w:rFonts w:cs="Arial"/>
              </w:rPr>
            </w:pPr>
          </w:p>
        </w:tc>
        <w:tc>
          <w:tcPr>
            <w:tcW w:w="1528" w:type="dxa"/>
            <w:vMerge/>
            <w:shd w:val="clear" w:color="auto" w:fill="auto"/>
          </w:tcPr>
          <w:p w:rsidR="002E5D20" w:rsidRPr="007014E2" w:rsidRDefault="002E5D20" w:rsidP="007014E2">
            <w:pPr>
              <w:pStyle w:val="NoSpacing"/>
              <w:rPr>
                <w:rFonts w:cs="Arial"/>
              </w:rPr>
            </w:pPr>
          </w:p>
        </w:tc>
        <w:tc>
          <w:tcPr>
            <w:tcW w:w="1479" w:type="dxa"/>
            <w:shd w:val="clear" w:color="auto" w:fill="auto"/>
          </w:tcPr>
          <w:p w:rsidR="002E5D20" w:rsidRPr="007014E2" w:rsidRDefault="002E5D20" w:rsidP="007014E2">
            <w:pPr>
              <w:pStyle w:val="NoSpacing"/>
              <w:rPr>
                <w:rFonts w:cs="Arial"/>
              </w:rPr>
            </w:pPr>
            <w:r w:rsidRPr="007014E2">
              <w:rPr>
                <w:rFonts w:cs="Arial"/>
              </w:rPr>
              <w:t>0714102090</w:t>
            </w:r>
          </w:p>
        </w:tc>
        <w:tc>
          <w:tcPr>
            <w:tcW w:w="1850" w:type="dxa"/>
            <w:vMerge/>
            <w:shd w:val="clear" w:color="auto" w:fill="auto"/>
          </w:tcPr>
          <w:p w:rsidR="002E5D20" w:rsidRPr="007014E2" w:rsidRDefault="002E5D20" w:rsidP="007014E2">
            <w:pPr>
              <w:pStyle w:val="NoSpacing"/>
              <w:jc w:val="left"/>
              <w:rPr>
                <w:rFonts w:cs="Arial"/>
              </w:rPr>
            </w:pPr>
          </w:p>
        </w:tc>
        <w:tc>
          <w:tcPr>
            <w:tcW w:w="1228" w:type="dxa"/>
            <w:vMerge/>
            <w:shd w:val="clear" w:color="auto" w:fill="auto"/>
          </w:tcPr>
          <w:p w:rsidR="002E5D20" w:rsidRPr="007014E2" w:rsidRDefault="002E5D20" w:rsidP="007014E2">
            <w:pPr>
              <w:pStyle w:val="NoSpacing"/>
              <w:rPr>
                <w:rFonts w:cs="Arial"/>
              </w:rPr>
            </w:pPr>
          </w:p>
        </w:tc>
        <w:tc>
          <w:tcPr>
            <w:tcW w:w="1164" w:type="dxa"/>
            <w:vMerge/>
            <w:shd w:val="clear" w:color="auto" w:fill="auto"/>
          </w:tcPr>
          <w:p w:rsidR="002E5D20" w:rsidRPr="007014E2" w:rsidRDefault="002E5D20" w:rsidP="007014E2">
            <w:pPr>
              <w:pStyle w:val="NoSpacing"/>
              <w:rPr>
                <w:rFonts w:cs="Arial"/>
              </w:rPr>
            </w:pPr>
          </w:p>
        </w:tc>
        <w:tc>
          <w:tcPr>
            <w:tcW w:w="1372" w:type="dxa"/>
            <w:vMerge/>
            <w:shd w:val="clear" w:color="auto" w:fill="auto"/>
          </w:tcPr>
          <w:p w:rsidR="002E5D20" w:rsidRPr="007014E2" w:rsidRDefault="002E5D20" w:rsidP="007014E2">
            <w:pPr>
              <w:pStyle w:val="NoSpacing"/>
              <w:jc w:val="left"/>
              <w:rPr>
                <w:rFonts w:cs="Arial"/>
              </w:rPr>
            </w:pPr>
          </w:p>
        </w:tc>
      </w:tr>
      <w:tr w:rsidR="002E5D20" w:rsidRPr="002A0FE3" w:rsidTr="002A0FE3">
        <w:trPr>
          <w:trHeight w:val="128"/>
        </w:trPr>
        <w:tc>
          <w:tcPr>
            <w:tcW w:w="622" w:type="dxa"/>
            <w:vMerge/>
            <w:shd w:val="clear" w:color="auto" w:fill="auto"/>
          </w:tcPr>
          <w:p w:rsidR="002E5D20" w:rsidRPr="007014E2" w:rsidRDefault="002E5D20" w:rsidP="007014E2">
            <w:pPr>
              <w:pStyle w:val="NoSpacing"/>
              <w:rPr>
                <w:rFonts w:cs="Arial"/>
              </w:rPr>
            </w:pPr>
          </w:p>
        </w:tc>
        <w:tc>
          <w:tcPr>
            <w:tcW w:w="1528" w:type="dxa"/>
            <w:vMerge/>
            <w:shd w:val="clear" w:color="auto" w:fill="auto"/>
          </w:tcPr>
          <w:p w:rsidR="002E5D20" w:rsidRPr="007014E2" w:rsidRDefault="002E5D20" w:rsidP="007014E2">
            <w:pPr>
              <w:pStyle w:val="NoSpacing"/>
              <w:rPr>
                <w:rFonts w:cs="Arial"/>
              </w:rPr>
            </w:pPr>
          </w:p>
        </w:tc>
        <w:tc>
          <w:tcPr>
            <w:tcW w:w="1479" w:type="dxa"/>
            <w:shd w:val="clear" w:color="auto" w:fill="auto"/>
          </w:tcPr>
          <w:p w:rsidR="002E5D20" w:rsidRPr="007014E2" w:rsidRDefault="002E5D20" w:rsidP="007014E2">
            <w:pPr>
              <w:pStyle w:val="NoSpacing"/>
              <w:rPr>
                <w:rFonts w:cs="Arial"/>
              </w:rPr>
            </w:pPr>
            <w:r w:rsidRPr="007014E2">
              <w:rPr>
                <w:rFonts w:cs="Arial"/>
              </w:rPr>
              <w:t>0714103000</w:t>
            </w:r>
          </w:p>
        </w:tc>
        <w:tc>
          <w:tcPr>
            <w:tcW w:w="1850" w:type="dxa"/>
            <w:vMerge/>
            <w:shd w:val="clear" w:color="auto" w:fill="auto"/>
          </w:tcPr>
          <w:p w:rsidR="002E5D20" w:rsidRPr="007014E2" w:rsidRDefault="002E5D20" w:rsidP="007014E2">
            <w:pPr>
              <w:pStyle w:val="NoSpacing"/>
              <w:jc w:val="left"/>
              <w:rPr>
                <w:rFonts w:cs="Arial"/>
              </w:rPr>
            </w:pPr>
          </w:p>
        </w:tc>
        <w:tc>
          <w:tcPr>
            <w:tcW w:w="1228" w:type="dxa"/>
            <w:vMerge/>
            <w:shd w:val="clear" w:color="auto" w:fill="auto"/>
          </w:tcPr>
          <w:p w:rsidR="002E5D20" w:rsidRPr="007014E2" w:rsidRDefault="002E5D20" w:rsidP="007014E2">
            <w:pPr>
              <w:pStyle w:val="NoSpacing"/>
              <w:rPr>
                <w:rFonts w:cs="Arial"/>
              </w:rPr>
            </w:pPr>
          </w:p>
        </w:tc>
        <w:tc>
          <w:tcPr>
            <w:tcW w:w="1164" w:type="dxa"/>
            <w:vMerge/>
            <w:shd w:val="clear" w:color="auto" w:fill="auto"/>
          </w:tcPr>
          <w:p w:rsidR="002E5D20" w:rsidRPr="007014E2" w:rsidRDefault="002E5D20" w:rsidP="007014E2">
            <w:pPr>
              <w:pStyle w:val="NoSpacing"/>
              <w:rPr>
                <w:rFonts w:cs="Arial"/>
              </w:rPr>
            </w:pPr>
          </w:p>
        </w:tc>
        <w:tc>
          <w:tcPr>
            <w:tcW w:w="1372" w:type="dxa"/>
            <w:vMerge/>
            <w:shd w:val="clear" w:color="auto" w:fill="auto"/>
          </w:tcPr>
          <w:p w:rsidR="002E5D20" w:rsidRPr="007014E2" w:rsidRDefault="002E5D20" w:rsidP="007014E2">
            <w:pPr>
              <w:pStyle w:val="NoSpacing"/>
              <w:jc w:val="left"/>
              <w:rPr>
                <w:rFonts w:cs="Arial"/>
              </w:rPr>
            </w:pPr>
          </w:p>
        </w:tc>
      </w:tr>
      <w:tr w:rsidR="002E5D20" w:rsidRPr="002A0FE3" w:rsidTr="002A0FE3">
        <w:trPr>
          <w:trHeight w:val="128"/>
        </w:trPr>
        <w:tc>
          <w:tcPr>
            <w:tcW w:w="622" w:type="dxa"/>
            <w:vMerge/>
            <w:shd w:val="clear" w:color="auto" w:fill="auto"/>
          </w:tcPr>
          <w:p w:rsidR="002E5D20" w:rsidRPr="007014E2" w:rsidRDefault="002E5D20" w:rsidP="007014E2">
            <w:pPr>
              <w:pStyle w:val="NoSpacing"/>
              <w:rPr>
                <w:rFonts w:cs="Arial"/>
              </w:rPr>
            </w:pPr>
          </w:p>
        </w:tc>
        <w:tc>
          <w:tcPr>
            <w:tcW w:w="1528" w:type="dxa"/>
            <w:vMerge/>
            <w:shd w:val="clear" w:color="auto" w:fill="auto"/>
          </w:tcPr>
          <w:p w:rsidR="002E5D20" w:rsidRPr="007014E2" w:rsidRDefault="002E5D20" w:rsidP="007014E2">
            <w:pPr>
              <w:pStyle w:val="NoSpacing"/>
              <w:rPr>
                <w:rFonts w:cs="Arial"/>
              </w:rPr>
            </w:pPr>
          </w:p>
        </w:tc>
        <w:tc>
          <w:tcPr>
            <w:tcW w:w="1479" w:type="dxa"/>
            <w:shd w:val="clear" w:color="auto" w:fill="auto"/>
          </w:tcPr>
          <w:p w:rsidR="002E5D20" w:rsidRPr="007014E2" w:rsidRDefault="00D525F4" w:rsidP="007014E2">
            <w:pPr>
              <w:pStyle w:val="NoSpacing"/>
              <w:rPr>
                <w:rFonts w:cs="Arial"/>
              </w:rPr>
            </w:pPr>
            <w:r>
              <w:rPr>
                <w:rFonts w:cs="Arial"/>
              </w:rPr>
              <w:t>0714104000</w:t>
            </w:r>
          </w:p>
        </w:tc>
        <w:tc>
          <w:tcPr>
            <w:tcW w:w="1850" w:type="dxa"/>
            <w:vMerge/>
            <w:shd w:val="clear" w:color="auto" w:fill="auto"/>
          </w:tcPr>
          <w:p w:rsidR="002E5D20" w:rsidRPr="007014E2" w:rsidRDefault="002E5D20" w:rsidP="007014E2">
            <w:pPr>
              <w:pStyle w:val="NoSpacing"/>
              <w:jc w:val="left"/>
              <w:rPr>
                <w:rFonts w:cs="Arial"/>
              </w:rPr>
            </w:pPr>
          </w:p>
        </w:tc>
        <w:tc>
          <w:tcPr>
            <w:tcW w:w="1228" w:type="dxa"/>
            <w:vMerge/>
            <w:shd w:val="clear" w:color="auto" w:fill="auto"/>
          </w:tcPr>
          <w:p w:rsidR="002E5D20" w:rsidRPr="007014E2" w:rsidRDefault="002E5D20" w:rsidP="007014E2">
            <w:pPr>
              <w:pStyle w:val="NoSpacing"/>
              <w:rPr>
                <w:rFonts w:cs="Arial"/>
              </w:rPr>
            </w:pPr>
          </w:p>
        </w:tc>
        <w:tc>
          <w:tcPr>
            <w:tcW w:w="1164" w:type="dxa"/>
            <w:vMerge/>
            <w:shd w:val="clear" w:color="auto" w:fill="auto"/>
          </w:tcPr>
          <w:p w:rsidR="002E5D20" w:rsidRPr="007014E2" w:rsidRDefault="002E5D20" w:rsidP="007014E2">
            <w:pPr>
              <w:pStyle w:val="NoSpacing"/>
              <w:rPr>
                <w:rFonts w:cs="Arial"/>
              </w:rPr>
            </w:pPr>
          </w:p>
        </w:tc>
        <w:tc>
          <w:tcPr>
            <w:tcW w:w="1372" w:type="dxa"/>
            <w:vMerge/>
            <w:shd w:val="clear" w:color="auto" w:fill="auto"/>
          </w:tcPr>
          <w:p w:rsidR="002E5D20" w:rsidRPr="007014E2" w:rsidRDefault="002E5D20" w:rsidP="007014E2">
            <w:pPr>
              <w:pStyle w:val="NoSpacing"/>
              <w:jc w:val="left"/>
              <w:rPr>
                <w:rFonts w:cs="Arial"/>
              </w:rPr>
            </w:pPr>
          </w:p>
        </w:tc>
      </w:tr>
      <w:tr w:rsidR="002E5D20" w:rsidRPr="002A0FE3" w:rsidTr="002A0FE3">
        <w:tc>
          <w:tcPr>
            <w:tcW w:w="622" w:type="dxa"/>
            <w:shd w:val="clear" w:color="auto" w:fill="auto"/>
          </w:tcPr>
          <w:p w:rsidR="002E5D20" w:rsidRPr="007014E2" w:rsidRDefault="002E5D20" w:rsidP="007014E2">
            <w:pPr>
              <w:pStyle w:val="NoSpacing"/>
              <w:rPr>
                <w:rFonts w:cs="Arial"/>
              </w:rPr>
            </w:pPr>
            <w:r w:rsidRPr="007014E2">
              <w:rPr>
                <w:rFonts w:cs="Arial"/>
              </w:rPr>
              <w:t>6.</w:t>
            </w:r>
          </w:p>
        </w:tc>
        <w:tc>
          <w:tcPr>
            <w:tcW w:w="1528" w:type="dxa"/>
            <w:shd w:val="clear" w:color="auto" w:fill="auto"/>
          </w:tcPr>
          <w:p w:rsidR="002E5D20" w:rsidRPr="007014E2" w:rsidRDefault="002E5D20" w:rsidP="007014E2">
            <w:pPr>
              <w:pStyle w:val="NoSpacing"/>
              <w:rPr>
                <w:rFonts w:cs="Arial"/>
              </w:rPr>
            </w:pPr>
            <w:r w:rsidRPr="007014E2">
              <w:rPr>
                <w:rFonts w:cs="Arial"/>
              </w:rPr>
              <w:t>110814</w:t>
            </w:r>
          </w:p>
        </w:tc>
        <w:tc>
          <w:tcPr>
            <w:tcW w:w="1479" w:type="dxa"/>
            <w:shd w:val="clear" w:color="auto" w:fill="auto"/>
          </w:tcPr>
          <w:p w:rsidR="002E5D20" w:rsidRPr="007014E2" w:rsidRDefault="002E5D20" w:rsidP="007014E2">
            <w:pPr>
              <w:pStyle w:val="NoSpacing"/>
              <w:rPr>
                <w:rFonts w:cs="Arial"/>
              </w:rPr>
            </w:pPr>
            <w:r w:rsidRPr="007014E2">
              <w:rPr>
                <w:rFonts w:cs="Arial"/>
              </w:rPr>
              <w:t>1108140000</w:t>
            </w:r>
          </w:p>
        </w:tc>
        <w:tc>
          <w:tcPr>
            <w:tcW w:w="1850" w:type="dxa"/>
            <w:shd w:val="clear" w:color="auto" w:fill="auto"/>
          </w:tcPr>
          <w:p w:rsidR="002E5D20" w:rsidRPr="007014E2" w:rsidRDefault="002E5D20" w:rsidP="007014E2">
            <w:pPr>
              <w:pStyle w:val="NoSpacing"/>
              <w:jc w:val="left"/>
              <w:rPr>
                <w:rFonts w:cs="Arial"/>
              </w:rPr>
            </w:pPr>
            <w:r w:rsidRPr="007014E2">
              <w:rPr>
                <w:rFonts w:cs="Arial"/>
              </w:rPr>
              <w:t>Manioc (Cassava) Starch</w:t>
            </w:r>
          </w:p>
        </w:tc>
        <w:tc>
          <w:tcPr>
            <w:tcW w:w="1228" w:type="dxa"/>
            <w:shd w:val="clear" w:color="auto" w:fill="auto"/>
          </w:tcPr>
          <w:p w:rsidR="002E5D20" w:rsidRPr="007014E2" w:rsidRDefault="002E5D20" w:rsidP="007014E2">
            <w:pPr>
              <w:pStyle w:val="NoSpacing"/>
              <w:rPr>
                <w:rFonts w:cs="Arial"/>
              </w:rPr>
            </w:pPr>
            <w:r w:rsidRPr="007014E2">
              <w:rPr>
                <w:rFonts w:cs="Arial"/>
              </w:rPr>
              <w:t>9,600</w:t>
            </w:r>
          </w:p>
        </w:tc>
        <w:tc>
          <w:tcPr>
            <w:tcW w:w="1164" w:type="dxa"/>
            <w:shd w:val="clear" w:color="auto" w:fill="auto"/>
          </w:tcPr>
          <w:p w:rsidR="002E5D20" w:rsidRPr="007014E2" w:rsidRDefault="002E5D20" w:rsidP="007014E2">
            <w:pPr>
              <w:pStyle w:val="NoSpacing"/>
              <w:rPr>
                <w:rFonts w:cs="Arial"/>
              </w:rPr>
            </w:pPr>
            <w:r w:rsidRPr="007014E2">
              <w:rPr>
                <w:rFonts w:cs="Arial"/>
              </w:rPr>
              <w:t>9%</w:t>
            </w:r>
          </w:p>
        </w:tc>
        <w:tc>
          <w:tcPr>
            <w:tcW w:w="1372" w:type="dxa"/>
            <w:shd w:val="clear" w:color="auto" w:fill="auto"/>
          </w:tcPr>
          <w:p w:rsidR="002E5D20" w:rsidRPr="007014E2" w:rsidRDefault="002A0FE3" w:rsidP="007014E2">
            <w:pPr>
              <w:pStyle w:val="NoSpacing"/>
              <w:jc w:val="left"/>
              <w:rPr>
                <w:rFonts w:cs="Arial"/>
              </w:rPr>
            </w:pPr>
            <w:r w:rsidRPr="007014E2">
              <w:rPr>
                <w:rFonts w:cs="Arial"/>
              </w:rPr>
              <w:t>M</w:t>
            </w:r>
            <w:r w:rsidR="007014E2" w:rsidRPr="007014E2">
              <w:rPr>
                <w:rFonts w:cs="Arial"/>
              </w:rPr>
              <w:t>FN</w:t>
            </w:r>
            <w:r w:rsidRPr="007014E2">
              <w:rPr>
                <w:rFonts w:cs="Arial"/>
              </w:rPr>
              <w:t xml:space="preserve"> Tariff Rate</w:t>
            </w:r>
          </w:p>
        </w:tc>
      </w:tr>
      <w:tr w:rsidR="002E5D20" w:rsidRPr="002A0FE3" w:rsidTr="002A0FE3">
        <w:tc>
          <w:tcPr>
            <w:tcW w:w="622" w:type="dxa"/>
            <w:shd w:val="clear" w:color="auto" w:fill="auto"/>
          </w:tcPr>
          <w:p w:rsidR="002E5D20" w:rsidRPr="007014E2" w:rsidRDefault="002E5D20" w:rsidP="007014E2">
            <w:pPr>
              <w:pStyle w:val="NoSpacing"/>
              <w:rPr>
                <w:rFonts w:cs="Arial"/>
              </w:rPr>
            </w:pPr>
            <w:r w:rsidRPr="007014E2">
              <w:rPr>
                <w:rFonts w:cs="Arial"/>
              </w:rPr>
              <w:t>7.</w:t>
            </w:r>
          </w:p>
        </w:tc>
        <w:tc>
          <w:tcPr>
            <w:tcW w:w="1528" w:type="dxa"/>
            <w:shd w:val="clear" w:color="auto" w:fill="auto"/>
          </w:tcPr>
          <w:p w:rsidR="002E5D20" w:rsidRPr="007014E2" w:rsidRDefault="002E5D20" w:rsidP="007014E2">
            <w:pPr>
              <w:pStyle w:val="NoSpacing"/>
              <w:rPr>
                <w:rFonts w:cs="Arial"/>
              </w:rPr>
            </w:pPr>
            <w:r w:rsidRPr="007014E2">
              <w:rPr>
                <w:rFonts w:cs="Arial"/>
              </w:rPr>
              <w:t>160520</w:t>
            </w:r>
          </w:p>
        </w:tc>
        <w:tc>
          <w:tcPr>
            <w:tcW w:w="1479" w:type="dxa"/>
            <w:shd w:val="clear" w:color="auto" w:fill="auto"/>
          </w:tcPr>
          <w:p w:rsidR="002E5D20" w:rsidRPr="007014E2" w:rsidRDefault="00D525F4" w:rsidP="007014E2">
            <w:pPr>
              <w:pStyle w:val="NoSpacing"/>
              <w:rPr>
                <w:rFonts w:cs="Arial"/>
              </w:rPr>
            </w:pPr>
            <w:r>
              <w:rPr>
                <w:rFonts w:cs="Arial"/>
              </w:rPr>
              <w:t>1605209090</w:t>
            </w:r>
          </w:p>
        </w:tc>
        <w:tc>
          <w:tcPr>
            <w:tcW w:w="1850" w:type="dxa"/>
            <w:shd w:val="clear" w:color="auto" w:fill="auto"/>
          </w:tcPr>
          <w:p w:rsidR="002E5D20" w:rsidRPr="007014E2" w:rsidRDefault="002E5D20" w:rsidP="007014E2">
            <w:pPr>
              <w:pStyle w:val="NoSpacing"/>
              <w:jc w:val="left"/>
              <w:rPr>
                <w:rFonts w:cs="Arial"/>
              </w:rPr>
            </w:pPr>
            <w:r w:rsidRPr="007014E2">
              <w:rPr>
                <w:rFonts w:cs="Arial"/>
              </w:rPr>
              <w:t>Other Shrimps And Prawns</w:t>
            </w:r>
          </w:p>
        </w:tc>
        <w:tc>
          <w:tcPr>
            <w:tcW w:w="1228" w:type="dxa"/>
            <w:shd w:val="clear" w:color="auto" w:fill="auto"/>
          </w:tcPr>
          <w:p w:rsidR="002E5D20" w:rsidRPr="007014E2" w:rsidRDefault="002E5D20" w:rsidP="007014E2">
            <w:pPr>
              <w:pStyle w:val="NoSpacing"/>
              <w:rPr>
                <w:rFonts w:cs="Arial"/>
              </w:rPr>
            </w:pPr>
            <w:r w:rsidRPr="007014E2">
              <w:rPr>
                <w:rFonts w:cs="Arial"/>
              </w:rPr>
              <w:t>2,000</w:t>
            </w:r>
          </w:p>
        </w:tc>
        <w:tc>
          <w:tcPr>
            <w:tcW w:w="1164" w:type="dxa"/>
            <w:shd w:val="clear" w:color="auto" w:fill="auto"/>
          </w:tcPr>
          <w:p w:rsidR="002E5D20" w:rsidRPr="007014E2" w:rsidRDefault="002E5D20" w:rsidP="007014E2">
            <w:pPr>
              <w:pStyle w:val="NoSpacing"/>
              <w:rPr>
                <w:rFonts w:cs="Arial"/>
              </w:rPr>
            </w:pPr>
            <w:r w:rsidRPr="007014E2">
              <w:rPr>
                <w:rFonts w:cs="Arial"/>
              </w:rPr>
              <w:t>0%</w:t>
            </w:r>
          </w:p>
        </w:tc>
        <w:tc>
          <w:tcPr>
            <w:tcW w:w="1372" w:type="dxa"/>
            <w:shd w:val="clear" w:color="auto" w:fill="auto"/>
          </w:tcPr>
          <w:p w:rsidR="002E5D20" w:rsidRPr="007014E2" w:rsidRDefault="002A0FE3" w:rsidP="007014E2">
            <w:pPr>
              <w:pStyle w:val="NoSpacing"/>
              <w:jc w:val="left"/>
              <w:rPr>
                <w:rFonts w:cs="Arial"/>
              </w:rPr>
            </w:pPr>
            <w:r w:rsidRPr="007014E2">
              <w:rPr>
                <w:rFonts w:cs="Arial"/>
              </w:rPr>
              <w:t>Subject To The Requirement Of Group B</w:t>
            </w:r>
          </w:p>
        </w:tc>
      </w:tr>
    </w:tbl>
    <w:p w:rsidR="002A0FE3" w:rsidRDefault="002A0FE3" w:rsidP="002A0FE3">
      <w:pPr>
        <w:pStyle w:val="ListParagraph"/>
        <w:numPr>
          <w:ilvl w:val="0"/>
          <w:numId w:val="3"/>
        </w:numPr>
        <w:contextualSpacing w:val="0"/>
      </w:pPr>
      <w:r>
        <w:t>There will be no reduction of amount of quota allowed for the ASEAN Member Countries in the future.</w:t>
      </w:r>
    </w:p>
    <w:p w:rsidR="00F61B4F" w:rsidRPr="009C1F90" w:rsidRDefault="002A0FE3" w:rsidP="002A0FE3">
      <w:pPr>
        <w:pStyle w:val="ListParagraph"/>
        <w:numPr>
          <w:ilvl w:val="0"/>
          <w:numId w:val="3"/>
        </w:numPr>
        <w:contextualSpacing w:val="0"/>
      </w:pPr>
      <w:r>
        <w:t>Korea may adopt or maintain import measures to allocate in-quota imports made pursuant to a tariff rate quota set out in Group D, provided that such measures do not have trade restrictive effects on imports additional to those caused by the imposition.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DB" w:rsidRDefault="00322ADB" w:rsidP="00F61B4F">
      <w:pPr>
        <w:spacing w:before="0" w:after="0" w:line="240" w:lineRule="auto"/>
      </w:pPr>
      <w:r>
        <w:separator/>
      </w:r>
    </w:p>
  </w:endnote>
  <w:endnote w:type="continuationSeparator" w:id="0">
    <w:p w:rsidR="00322ADB" w:rsidRDefault="00322AD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525F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525F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DB" w:rsidRDefault="00322ADB" w:rsidP="00F61B4F">
      <w:pPr>
        <w:spacing w:before="0" w:after="0" w:line="240" w:lineRule="auto"/>
      </w:pPr>
      <w:r>
        <w:separator/>
      </w:r>
    </w:p>
  </w:footnote>
  <w:footnote w:type="continuationSeparator" w:id="0">
    <w:p w:rsidR="00322ADB" w:rsidRDefault="00322AD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2A6D1D" w:rsidRDefault="002A6D1D" w:rsidP="002A6D1D">
    <w:pPr>
      <w:pStyle w:val="Header"/>
      <w:pBdr>
        <w:bottom w:val="single" w:sz="4" w:space="1" w:color="auto"/>
      </w:pBdr>
    </w:pPr>
    <w:r w:rsidRPr="002A6D1D">
      <w:rPr>
        <w:rFonts w:cs="Arial"/>
        <w:caps/>
        <w:color w:val="808080"/>
        <w:sz w:val="16"/>
        <w:szCs w:val="16"/>
      </w:rPr>
      <w:t>2006 LETTER OF UNDERSTANDING AMONG THE PARTIES TO THE</w:t>
    </w:r>
    <w:r w:rsidR="00D525F4">
      <w:rPr>
        <w:rFonts w:cs="Arial"/>
        <w:caps/>
        <w:color w:val="808080"/>
        <w:sz w:val="16"/>
        <w:szCs w:val="16"/>
      </w:rPr>
      <w:t xml:space="preserve"> asean-rok</w:t>
    </w:r>
    <w:r w:rsidRPr="002A6D1D">
      <w:rPr>
        <w:rFonts w:cs="Arial"/>
        <w:caps/>
        <w:color w:val="808080"/>
        <w:sz w:val="16"/>
        <w:szCs w:val="16"/>
      </w:rPr>
      <w:t xml:space="preserve"> AGREEMENT ON TRADE IN GOODS ON THE TARIFF RATE QUOTA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0B5"/>
    <w:multiLevelType w:val="hybridMultilevel"/>
    <w:tmpl w:val="3AF2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42BB"/>
    <w:multiLevelType w:val="hybridMultilevel"/>
    <w:tmpl w:val="39F0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F3CCE"/>
    <w:multiLevelType w:val="hybridMultilevel"/>
    <w:tmpl w:val="CBF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6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215F"/>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0FE3"/>
    <w:rsid w:val="002A32A5"/>
    <w:rsid w:val="002A4172"/>
    <w:rsid w:val="002A6D1D"/>
    <w:rsid w:val="002B473E"/>
    <w:rsid w:val="002B5E84"/>
    <w:rsid w:val="002B7265"/>
    <w:rsid w:val="002C506E"/>
    <w:rsid w:val="002C5925"/>
    <w:rsid w:val="002C67E0"/>
    <w:rsid w:val="002D3A06"/>
    <w:rsid w:val="002E0A92"/>
    <w:rsid w:val="002E5D20"/>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2ADB"/>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14E2"/>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766A"/>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1066"/>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5F4"/>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6DFB95-71F1-4B4B-8560-76F2826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A6D1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A0FE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A6D1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A0FE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2A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D20"/>
    <w:pPr>
      <w:jc w:val="both"/>
    </w:pPr>
    <w:rPr>
      <w:rFonts w:ascii="Arial" w:hAnsi="Arial"/>
      <w:lang w:val="en-US" w:eastAsia="en-US"/>
    </w:rPr>
  </w:style>
  <w:style w:type="paragraph" w:styleId="ListParagraph">
    <w:name w:val="List Paragraph"/>
    <w:basedOn w:val="Normal"/>
    <w:uiPriority w:val="34"/>
    <w:qFormat/>
    <w:rsid w:val="002A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468356602">
      <w:bodyDiv w:val="1"/>
      <w:marLeft w:val="0"/>
      <w:marRight w:val="0"/>
      <w:marTop w:val="0"/>
      <w:marBottom w:val="0"/>
      <w:divBdr>
        <w:top w:val="none" w:sz="0" w:space="0" w:color="auto"/>
        <w:left w:val="none" w:sz="0" w:space="0" w:color="auto"/>
        <w:bottom w:val="none" w:sz="0" w:space="0" w:color="auto"/>
        <w:right w:val="none" w:sz="0" w:space="0" w:color="auto"/>
      </w:divBdr>
      <w:divsChild>
        <w:div w:id="287786511">
          <w:marLeft w:val="0"/>
          <w:marRight w:val="0"/>
          <w:marTop w:val="0"/>
          <w:marBottom w:val="0"/>
          <w:divBdr>
            <w:top w:val="none" w:sz="0" w:space="0" w:color="auto"/>
            <w:left w:val="none" w:sz="0" w:space="0" w:color="auto"/>
            <w:bottom w:val="none" w:sz="0" w:space="0" w:color="auto"/>
            <w:right w:val="none" w:sz="0" w:space="0" w:color="auto"/>
          </w:divBdr>
        </w:div>
        <w:div w:id="357901727">
          <w:marLeft w:val="0"/>
          <w:marRight w:val="0"/>
          <w:marTop w:val="0"/>
          <w:marBottom w:val="0"/>
          <w:divBdr>
            <w:top w:val="none" w:sz="0" w:space="0" w:color="auto"/>
            <w:left w:val="none" w:sz="0" w:space="0" w:color="auto"/>
            <w:bottom w:val="none" w:sz="0" w:space="0" w:color="auto"/>
            <w:right w:val="none" w:sz="0" w:space="0" w:color="auto"/>
          </w:divBdr>
        </w:div>
        <w:div w:id="682711580">
          <w:marLeft w:val="0"/>
          <w:marRight w:val="0"/>
          <w:marTop w:val="0"/>
          <w:marBottom w:val="0"/>
          <w:divBdr>
            <w:top w:val="none" w:sz="0" w:space="0" w:color="auto"/>
            <w:left w:val="none" w:sz="0" w:space="0" w:color="auto"/>
            <w:bottom w:val="none" w:sz="0" w:space="0" w:color="auto"/>
            <w:right w:val="none" w:sz="0" w:space="0" w:color="auto"/>
          </w:divBdr>
        </w:div>
        <w:div w:id="1153061835">
          <w:marLeft w:val="0"/>
          <w:marRight w:val="0"/>
          <w:marTop w:val="0"/>
          <w:marBottom w:val="0"/>
          <w:divBdr>
            <w:top w:val="none" w:sz="0" w:space="0" w:color="auto"/>
            <w:left w:val="none" w:sz="0" w:space="0" w:color="auto"/>
            <w:bottom w:val="none" w:sz="0" w:space="0" w:color="auto"/>
            <w:right w:val="none" w:sz="0" w:space="0" w:color="auto"/>
          </w:divBdr>
        </w:div>
        <w:div w:id="1325357803">
          <w:marLeft w:val="0"/>
          <w:marRight w:val="0"/>
          <w:marTop w:val="0"/>
          <w:marBottom w:val="0"/>
          <w:divBdr>
            <w:top w:val="none" w:sz="0" w:space="0" w:color="auto"/>
            <w:left w:val="none" w:sz="0" w:space="0" w:color="auto"/>
            <w:bottom w:val="none" w:sz="0" w:space="0" w:color="auto"/>
            <w:right w:val="none" w:sz="0" w:space="0" w:color="auto"/>
          </w:divBdr>
        </w:div>
        <w:div w:id="1992516617">
          <w:marLeft w:val="0"/>
          <w:marRight w:val="0"/>
          <w:marTop w:val="0"/>
          <w:marBottom w:val="0"/>
          <w:divBdr>
            <w:top w:val="none" w:sz="0" w:space="0" w:color="auto"/>
            <w:left w:val="none" w:sz="0" w:space="0" w:color="auto"/>
            <w:bottom w:val="none" w:sz="0" w:space="0" w:color="auto"/>
            <w:right w:val="none" w:sz="0" w:space="0" w:color="auto"/>
          </w:divBdr>
        </w:div>
        <w:div w:id="2082946469">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BAE1-B220-4858-89A2-6BB97203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2018-06-26T08:44:00Z</dcterms:created>
  <dcterms:modified xsi:type="dcterms:W3CDTF">2018-06-26T08:44:00Z</dcterms:modified>
</cp:coreProperties>
</file>