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C2" w:rsidRDefault="00852715" w:rsidP="00FD479D">
      <w:pPr>
        <w:pStyle w:val="CILTitle"/>
      </w:pPr>
      <w:r>
        <w:t xml:space="preserve">2006 </w:t>
      </w:r>
      <w:r w:rsidR="00F936C2">
        <w:t>OPTIONAL PROTOCOL TO THE CONVENTION ON THE</w:t>
      </w:r>
      <w:r>
        <w:t xml:space="preserve"> </w:t>
      </w:r>
      <w:r w:rsidR="00F936C2">
        <w:t>RIGHTS OF PERSONS WITH DISABILITIES</w:t>
      </w:r>
    </w:p>
    <w:p w:rsidR="006A6B8D" w:rsidRDefault="006A6B8D" w:rsidP="00FD479D">
      <w:pPr>
        <w:pStyle w:val="CILSubtitle"/>
      </w:pPr>
      <w:r w:rsidRPr="00FD479D">
        <w:t xml:space="preserve">Adopted </w:t>
      </w:r>
      <w:r w:rsidR="00FD479D" w:rsidRPr="00FD479D">
        <w:t>i</w:t>
      </w:r>
      <w:r w:rsidR="001C4458" w:rsidRPr="00FD479D">
        <w:t>n</w:t>
      </w:r>
      <w:r w:rsidR="00FD479D" w:rsidRPr="00FD479D">
        <w:t xml:space="preserve"> New York, USA on</w:t>
      </w:r>
      <w:r w:rsidR="001C4458" w:rsidRPr="00FD479D">
        <w:t xml:space="preserve"> 13 December 2006</w:t>
      </w:r>
    </w:p>
    <w:p w:rsidR="001C4458" w:rsidRDefault="001C4458" w:rsidP="00FD479D"/>
    <w:p w:rsidR="00FD479D" w:rsidRPr="00C1674D" w:rsidRDefault="001C4458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8634064" w:history="1">
        <w:r w:rsidR="00FD479D" w:rsidRPr="005C77E6">
          <w:rPr>
            <w:rStyle w:val="Hyperlink"/>
            <w:noProof/>
          </w:rPr>
          <w:t>Article 1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_Toc478634064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2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65" w:history="1">
        <w:r w:rsidR="00FD479D" w:rsidRPr="005C77E6">
          <w:rPr>
            <w:rStyle w:val="Hyperlink"/>
            <w:noProof/>
          </w:rPr>
          <w:t>Article 2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_Toc478634065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2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66" w:history="1">
        <w:r w:rsidR="00FD479D" w:rsidRPr="005C77E6">
          <w:rPr>
            <w:rStyle w:val="Hyperlink"/>
            <w:noProof/>
          </w:rPr>
          <w:t>Article 3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_Toc478634066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2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67" w:history="1">
        <w:r w:rsidR="00FD479D" w:rsidRPr="005C77E6">
          <w:rPr>
            <w:rStyle w:val="Hyperlink"/>
            <w:noProof/>
          </w:rPr>
          <w:t>Article 4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_Toc478634067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3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68" w:history="1">
        <w:r w:rsidR="00FD479D" w:rsidRPr="005C77E6">
          <w:rPr>
            <w:rStyle w:val="Hyperlink"/>
            <w:noProof/>
          </w:rPr>
          <w:t>Article 5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_Toc478634068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3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69" w:history="1">
        <w:r w:rsidR="00FD479D" w:rsidRPr="005C77E6">
          <w:rPr>
            <w:rStyle w:val="Hyperlink"/>
            <w:noProof/>
          </w:rPr>
          <w:t>Article 6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_Toc478634069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3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0" w:history="1">
        <w:r w:rsidR="00FD479D" w:rsidRPr="005C77E6">
          <w:rPr>
            <w:rStyle w:val="Hyperlink"/>
            <w:noProof/>
          </w:rPr>
          <w:t>Article 7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_Toc478634070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3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1" w:history="1">
        <w:r w:rsidR="00FD479D" w:rsidRPr="005C77E6">
          <w:rPr>
            <w:rStyle w:val="Hyperlink"/>
            <w:noProof/>
          </w:rPr>
          <w:t>Article 8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_Toc478634071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4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2" w:history="1">
        <w:r w:rsidR="00FD479D" w:rsidRPr="005C77E6">
          <w:rPr>
            <w:rStyle w:val="Hyperlink"/>
            <w:noProof/>
          </w:rPr>
          <w:t>Article 9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_Toc478634072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4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3" w:history="1">
        <w:r w:rsidR="00FD479D" w:rsidRPr="005C77E6">
          <w:rPr>
            <w:rStyle w:val="Hyperlink"/>
            <w:noProof/>
          </w:rPr>
          <w:t>Article 10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_Toc478634073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4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4" w:history="1">
        <w:r w:rsidR="00FD479D" w:rsidRPr="005C77E6">
          <w:rPr>
            <w:rStyle w:val="Hyperlink"/>
            <w:noProof/>
          </w:rPr>
          <w:t>Article 11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_Toc478634074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4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5" w:history="1">
        <w:r w:rsidR="00FD479D" w:rsidRPr="005C77E6">
          <w:rPr>
            <w:rStyle w:val="Hyperlink"/>
            <w:noProof/>
          </w:rPr>
          <w:t>Article 12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_Toc478634075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4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6" w:history="1">
        <w:r w:rsidR="00FD479D" w:rsidRPr="005C77E6">
          <w:rPr>
            <w:rStyle w:val="Hyperlink"/>
            <w:noProof/>
          </w:rPr>
          <w:t>Article 13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_Toc478634076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4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7" w:history="1">
        <w:r w:rsidR="00FD479D" w:rsidRPr="005C77E6">
          <w:rPr>
            <w:rStyle w:val="Hyperlink"/>
            <w:noProof/>
          </w:rPr>
          <w:t>Article 14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_Toc478634077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5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8" w:history="1">
        <w:r w:rsidR="00FD479D" w:rsidRPr="005C77E6">
          <w:rPr>
            <w:rStyle w:val="Hyperlink"/>
            <w:noProof/>
          </w:rPr>
          <w:t>Article 15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_Toc478634078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5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79" w:history="1">
        <w:r w:rsidR="00FD479D" w:rsidRPr="005C77E6">
          <w:rPr>
            <w:rStyle w:val="Hyperlink"/>
            <w:noProof/>
          </w:rPr>
          <w:t>Article 16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_Toc478634079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5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80" w:history="1">
        <w:r w:rsidR="00FD479D" w:rsidRPr="005C77E6">
          <w:rPr>
            <w:rStyle w:val="Hyperlink"/>
            <w:noProof/>
          </w:rPr>
          <w:t>Article 17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_Toc478634080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5</w:t>
        </w:r>
        <w:r w:rsidR="00FD479D">
          <w:rPr>
            <w:noProof/>
            <w:webHidden/>
          </w:rPr>
          <w:fldChar w:fldCharType="end"/>
        </w:r>
      </w:hyperlink>
    </w:p>
    <w:p w:rsidR="00FD479D" w:rsidRPr="00C1674D" w:rsidRDefault="00301D8D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634081" w:history="1">
        <w:r w:rsidR="00FD479D" w:rsidRPr="005C77E6">
          <w:rPr>
            <w:rStyle w:val="Hyperlink"/>
            <w:noProof/>
          </w:rPr>
          <w:t>Article 18</w:t>
        </w:r>
        <w:r w:rsidR="00FD479D">
          <w:rPr>
            <w:noProof/>
            <w:webHidden/>
          </w:rPr>
          <w:tab/>
        </w:r>
        <w:r w:rsidR="00FD479D">
          <w:rPr>
            <w:noProof/>
            <w:webHidden/>
          </w:rPr>
          <w:fldChar w:fldCharType="begin"/>
        </w:r>
        <w:r w:rsidR="00FD479D">
          <w:rPr>
            <w:noProof/>
            <w:webHidden/>
          </w:rPr>
          <w:instrText xml:space="preserve"> PAGEREF _Toc478634081 \h </w:instrText>
        </w:r>
        <w:r w:rsidR="00FD479D">
          <w:rPr>
            <w:noProof/>
            <w:webHidden/>
          </w:rPr>
        </w:r>
        <w:r w:rsidR="00FD479D">
          <w:rPr>
            <w:noProof/>
            <w:webHidden/>
          </w:rPr>
          <w:fldChar w:fldCharType="separate"/>
        </w:r>
        <w:r w:rsidR="00AF620F">
          <w:rPr>
            <w:noProof/>
            <w:webHidden/>
          </w:rPr>
          <w:t>5</w:t>
        </w:r>
        <w:r w:rsidR="00FD479D">
          <w:rPr>
            <w:noProof/>
            <w:webHidden/>
          </w:rPr>
          <w:fldChar w:fldCharType="end"/>
        </w:r>
      </w:hyperlink>
    </w:p>
    <w:p w:rsidR="001C4458" w:rsidRDefault="001C4458" w:rsidP="00FD479D">
      <w:r>
        <w:rPr>
          <w:b/>
          <w:bCs/>
          <w:noProof/>
        </w:rPr>
        <w:fldChar w:fldCharType="end"/>
      </w:r>
    </w:p>
    <w:p w:rsidR="001C4458" w:rsidRDefault="001C4458" w:rsidP="00FD479D">
      <w:pPr>
        <w:pStyle w:val="CILTitle"/>
      </w:pPr>
      <w:r>
        <w:br w:type="page"/>
      </w:r>
      <w:r>
        <w:lastRenderedPageBreak/>
        <w:t>2006 OPTIONAL PROTOCOL TO THE CONVENTION ON THE RIGHTS OF PERSONS WITH DISABILITIES</w:t>
      </w:r>
    </w:p>
    <w:p w:rsidR="001C4458" w:rsidRDefault="001C4458" w:rsidP="00FD479D">
      <w:pPr>
        <w:pStyle w:val="CILSubtitle"/>
      </w:pPr>
      <w:r w:rsidRPr="00FD479D">
        <w:t>Adopted</w:t>
      </w:r>
      <w:r w:rsidR="00FD479D" w:rsidRPr="00FD479D">
        <w:t xml:space="preserve"> in New York, USA</w:t>
      </w:r>
      <w:r w:rsidRPr="00FD479D">
        <w:t xml:space="preserve"> on 13 December 2006</w:t>
      </w:r>
    </w:p>
    <w:p w:rsidR="001C4458" w:rsidRDefault="001C4458" w:rsidP="00FD479D"/>
    <w:p w:rsidR="00F936C2" w:rsidRDefault="00F936C2" w:rsidP="00FD479D">
      <w:r>
        <w:t>The States Parties to the present Protocol have agreed as follows:</w:t>
      </w:r>
    </w:p>
    <w:p w:rsidR="00F936C2" w:rsidRDefault="00F936C2" w:rsidP="00FD479D">
      <w:pPr>
        <w:pStyle w:val="Heading1"/>
        <w:spacing w:after="120"/>
      </w:pPr>
      <w:bookmarkStart w:id="0" w:name="_Toc478634064"/>
      <w:r>
        <w:t>Article 1</w:t>
      </w:r>
      <w:bookmarkEnd w:id="0"/>
    </w:p>
    <w:p w:rsidR="00F936C2" w:rsidRDefault="00F936C2" w:rsidP="00FD479D">
      <w:pPr>
        <w:numPr>
          <w:ilvl w:val="0"/>
          <w:numId w:val="1"/>
        </w:numPr>
      </w:pPr>
      <w:r>
        <w:t>A State Party to the present Protocol (“State Party”) recognizes the</w:t>
      </w:r>
      <w:r w:rsidR="00852715">
        <w:t xml:space="preserve"> </w:t>
      </w:r>
      <w:r>
        <w:t>competence of the Committee on the Rights of Persons with Disabilities (“the</w:t>
      </w:r>
      <w:r w:rsidR="00852715">
        <w:t xml:space="preserve"> </w:t>
      </w:r>
      <w:r>
        <w:t>Committee”) to receive and consider communications from or on behalf of</w:t>
      </w:r>
      <w:r w:rsidR="00852715">
        <w:t xml:space="preserve"> </w:t>
      </w:r>
      <w:r>
        <w:t>individuals or g</w:t>
      </w:r>
      <w:r w:rsidR="00852715">
        <w:t>roups of individuals subject to i</w:t>
      </w:r>
      <w:r>
        <w:t>ts jurisdiction who claim to be</w:t>
      </w:r>
      <w:r w:rsidR="00852715">
        <w:t xml:space="preserve"> </w:t>
      </w:r>
      <w:r>
        <w:t>victims of a violation by that State Party of the provisions of the Convention.</w:t>
      </w:r>
    </w:p>
    <w:p w:rsidR="00F936C2" w:rsidRDefault="00F936C2" w:rsidP="00FD479D">
      <w:pPr>
        <w:numPr>
          <w:ilvl w:val="0"/>
          <w:numId w:val="1"/>
        </w:numPr>
      </w:pPr>
      <w:r>
        <w:t>No communication shall be received by the Committee if it concerns a</w:t>
      </w:r>
      <w:r w:rsidR="00852715">
        <w:t xml:space="preserve"> </w:t>
      </w:r>
      <w:r>
        <w:t>State Party to the Convention that is not a party to the present Protocol.</w:t>
      </w:r>
    </w:p>
    <w:p w:rsidR="00F936C2" w:rsidRDefault="00F936C2" w:rsidP="00FD479D">
      <w:pPr>
        <w:pStyle w:val="Heading1"/>
        <w:spacing w:after="120"/>
      </w:pPr>
      <w:bookmarkStart w:id="1" w:name="_Toc478634065"/>
      <w:r>
        <w:t>Article 2</w:t>
      </w:r>
      <w:bookmarkEnd w:id="1"/>
    </w:p>
    <w:p w:rsidR="00F936C2" w:rsidRDefault="00F936C2" w:rsidP="00FD479D">
      <w:r>
        <w:t xml:space="preserve"> The Committee shall consider a communication inadmissible when:</w:t>
      </w:r>
    </w:p>
    <w:p w:rsidR="00F936C2" w:rsidRDefault="00F936C2" w:rsidP="00FD479D">
      <w:pPr>
        <w:numPr>
          <w:ilvl w:val="0"/>
          <w:numId w:val="2"/>
        </w:numPr>
      </w:pPr>
      <w:r>
        <w:t>The communication is anonymous;</w:t>
      </w:r>
    </w:p>
    <w:p w:rsidR="00F936C2" w:rsidRDefault="00F936C2" w:rsidP="00FD479D">
      <w:pPr>
        <w:numPr>
          <w:ilvl w:val="0"/>
          <w:numId w:val="2"/>
        </w:numPr>
      </w:pPr>
      <w:r>
        <w:t>The communication constitutes an abuse of the right of</w:t>
      </w:r>
      <w:r w:rsidR="00852715">
        <w:t xml:space="preserve"> </w:t>
      </w:r>
      <w:r>
        <w:t>submission of such communications or is incompatible with the</w:t>
      </w:r>
      <w:r w:rsidR="00852715">
        <w:t xml:space="preserve"> </w:t>
      </w:r>
      <w:r>
        <w:t>provisions of the Convention;</w:t>
      </w:r>
    </w:p>
    <w:p w:rsidR="00F936C2" w:rsidRDefault="00F936C2" w:rsidP="00FD479D">
      <w:pPr>
        <w:numPr>
          <w:ilvl w:val="0"/>
          <w:numId w:val="2"/>
        </w:numPr>
      </w:pPr>
      <w:r>
        <w:t>The same matter has already been examined by the Committee or</w:t>
      </w:r>
      <w:r w:rsidR="00852715">
        <w:t xml:space="preserve"> </w:t>
      </w:r>
      <w:r>
        <w:t>has been or is being examined under another procedure of</w:t>
      </w:r>
      <w:r w:rsidR="00852715">
        <w:t xml:space="preserve"> </w:t>
      </w:r>
      <w:r>
        <w:t>international investigation or settlement;</w:t>
      </w:r>
    </w:p>
    <w:p w:rsidR="00F936C2" w:rsidRDefault="00F936C2" w:rsidP="00FD479D">
      <w:pPr>
        <w:numPr>
          <w:ilvl w:val="0"/>
          <w:numId w:val="2"/>
        </w:numPr>
      </w:pPr>
      <w:r>
        <w:t>All available domestic remedies have not been exhausted. This</w:t>
      </w:r>
      <w:r w:rsidR="00852715">
        <w:t xml:space="preserve"> </w:t>
      </w:r>
      <w:r>
        <w:t>shall not be the rule where the application of the remedies is</w:t>
      </w:r>
      <w:r w:rsidR="00852715">
        <w:t xml:space="preserve"> </w:t>
      </w:r>
      <w:r>
        <w:t>unreasonably prolonged or unlikely to bring effective relief;</w:t>
      </w:r>
    </w:p>
    <w:p w:rsidR="00F936C2" w:rsidRDefault="00F936C2" w:rsidP="00FD479D">
      <w:pPr>
        <w:numPr>
          <w:ilvl w:val="0"/>
          <w:numId w:val="2"/>
        </w:numPr>
      </w:pPr>
      <w:r>
        <w:t>It is manifestly ill-founded or not sufficiently substantiated; or</w:t>
      </w:r>
      <w:r w:rsidR="00852715">
        <w:t xml:space="preserve"> </w:t>
      </w:r>
      <w:r>
        <w:t>when</w:t>
      </w:r>
    </w:p>
    <w:p w:rsidR="00F936C2" w:rsidRDefault="00F936C2" w:rsidP="00FD479D">
      <w:pPr>
        <w:numPr>
          <w:ilvl w:val="0"/>
          <w:numId w:val="2"/>
        </w:numPr>
      </w:pPr>
      <w:r>
        <w:t>The facts that are the subject of the communication occurred prior</w:t>
      </w:r>
      <w:r w:rsidR="00852715">
        <w:t xml:space="preserve"> </w:t>
      </w:r>
      <w:r>
        <w:t>to the entry into force of the present Protocol for the State Party</w:t>
      </w:r>
      <w:r w:rsidR="00852715">
        <w:t xml:space="preserve"> </w:t>
      </w:r>
      <w:r>
        <w:t>concerned unless those facts continued after that date.</w:t>
      </w:r>
    </w:p>
    <w:p w:rsidR="00F936C2" w:rsidRDefault="00F936C2" w:rsidP="00FD479D">
      <w:pPr>
        <w:pStyle w:val="Heading1"/>
        <w:spacing w:after="120"/>
      </w:pPr>
      <w:bookmarkStart w:id="2" w:name="_Toc478634066"/>
      <w:r>
        <w:t>Article 3</w:t>
      </w:r>
      <w:bookmarkEnd w:id="2"/>
    </w:p>
    <w:p w:rsidR="00F936C2" w:rsidRDefault="00F936C2" w:rsidP="00FD479D">
      <w:r>
        <w:t>Subject to the provisions of article 2 of the present Protocol, the</w:t>
      </w:r>
      <w:r w:rsidR="00852715">
        <w:t xml:space="preserve"> </w:t>
      </w:r>
      <w:r>
        <w:t>Committee shall bring any communications submitted to it confidentially to</w:t>
      </w:r>
      <w:r w:rsidR="00852715">
        <w:t xml:space="preserve"> </w:t>
      </w:r>
      <w:r>
        <w:t>the attention of the State Party. Within six months, the receiving State shall</w:t>
      </w:r>
      <w:r w:rsidR="00852715">
        <w:t xml:space="preserve"> </w:t>
      </w:r>
      <w:r>
        <w:t>submit to the Committee written explanations or statements clarifying the</w:t>
      </w:r>
      <w:r w:rsidR="00852715">
        <w:t xml:space="preserve"> </w:t>
      </w:r>
      <w:r>
        <w:t xml:space="preserve">matter and the remedy, if any, that may have been taken by that State. </w:t>
      </w:r>
    </w:p>
    <w:p w:rsidR="00F936C2" w:rsidRDefault="00F936C2" w:rsidP="00FD479D">
      <w:pPr>
        <w:pStyle w:val="Heading1"/>
        <w:spacing w:after="120"/>
      </w:pPr>
      <w:bookmarkStart w:id="3" w:name="_Toc478634067"/>
      <w:r>
        <w:t>Article 4</w:t>
      </w:r>
      <w:bookmarkEnd w:id="3"/>
    </w:p>
    <w:p w:rsidR="00F936C2" w:rsidRDefault="00F936C2" w:rsidP="00FD479D">
      <w:pPr>
        <w:numPr>
          <w:ilvl w:val="0"/>
          <w:numId w:val="3"/>
        </w:numPr>
      </w:pPr>
      <w:r>
        <w:t>At any time after the receipt of a communication and befor</w:t>
      </w:r>
      <w:r w:rsidR="00852715">
        <w:t xml:space="preserve">e a </w:t>
      </w:r>
      <w:r>
        <w:t>determination on the merits has been reached, the Committee may transmit to</w:t>
      </w:r>
      <w:r w:rsidR="00852715">
        <w:t xml:space="preserve"> </w:t>
      </w:r>
      <w:r>
        <w:t>the State Party concerned for its urgent consideration a request that the State</w:t>
      </w:r>
      <w:r w:rsidR="00852715">
        <w:t xml:space="preserve"> </w:t>
      </w:r>
      <w:r>
        <w:t>Party take such interim measures as may be necessary to avoid possible</w:t>
      </w:r>
      <w:r w:rsidR="00852715">
        <w:t xml:space="preserve"> </w:t>
      </w:r>
      <w:r>
        <w:t>irreparable damage to the victim or victims of the alleged violation.</w:t>
      </w:r>
    </w:p>
    <w:p w:rsidR="00F936C2" w:rsidRDefault="00F936C2" w:rsidP="00FD479D">
      <w:pPr>
        <w:numPr>
          <w:ilvl w:val="0"/>
          <w:numId w:val="3"/>
        </w:numPr>
      </w:pPr>
      <w:r>
        <w:lastRenderedPageBreak/>
        <w:t>Where the Committee exercises its discretion under paragraph 1 of this</w:t>
      </w:r>
      <w:r w:rsidR="00852715">
        <w:t xml:space="preserve"> </w:t>
      </w:r>
      <w:r>
        <w:t>article, this does not imply a determination on admissibility or on the merits of</w:t>
      </w:r>
      <w:r w:rsidR="00852715">
        <w:t xml:space="preserve"> </w:t>
      </w:r>
      <w:r>
        <w:t>the communication.</w:t>
      </w:r>
    </w:p>
    <w:p w:rsidR="00F936C2" w:rsidRDefault="00F936C2" w:rsidP="00FD479D">
      <w:pPr>
        <w:pStyle w:val="Heading1"/>
        <w:spacing w:after="120"/>
      </w:pPr>
      <w:bookmarkStart w:id="4" w:name="_Toc478634068"/>
      <w:r>
        <w:t>Article 5</w:t>
      </w:r>
      <w:bookmarkEnd w:id="4"/>
    </w:p>
    <w:p w:rsidR="00F936C2" w:rsidRDefault="00F936C2" w:rsidP="00FD479D">
      <w:r>
        <w:t>The Committee shall hold closed meetings when examining</w:t>
      </w:r>
      <w:r w:rsidR="00852715">
        <w:t xml:space="preserve"> </w:t>
      </w:r>
      <w:r>
        <w:t>communications under the present Protocol. After examining a</w:t>
      </w:r>
      <w:r w:rsidR="00852715">
        <w:t xml:space="preserve"> </w:t>
      </w:r>
      <w:r>
        <w:t>communication, the Committee shall forward its suggestions and</w:t>
      </w:r>
      <w:r w:rsidR="00852715">
        <w:t xml:space="preserve"> </w:t>
      </w:r>
      <w:r>
        <w:t>recommendations, if any, to the State Party concerned and to the petitioner.</w:t>
      </w:r>
    </w:p>
    <w:p w:rsidR="00F936C2" w:rsidRDefault="00F936C2" w:rsidP="00FD479D">
      <w:pPr>
        <w:pStyle w:val="Heading1"/>
        <w:spacing w:after="120"/>
      </w:pPr>
      <w:bookmarkStart w:id="5" w:name="_Toc478634069"/>
      <w:r>
        <w:t>Article 6</w:t>
      </w:r>
      <w:bookmarkEnd w:id="5"/>
    </w:p>
    <w:p w:rsidR="00F936C2" w:rsidRDefault="00F936C2" w:rsidP="00FD479D">
      <w:pPr>
        <w:numPr>
          <w:ilvl w:val="0"/>
          <w:numId w:val="4"/>
        </w:numPr>
      </w:pPr>
      <w:r>
        <w:t xml:space="preserve">If the Committee receives reliable </w:t>
      </w:r>
      <w:r w:rsidR="00852715">
        <w:t xml:space="preserve">information indicating grave or </w:t>
      </w:r>
      <w:r>
        <w:t>systematic violations by a State Party of rights set forth in the Convention, the</w:t>
      </w:r>
      <w:r w:rsidR="00852715">
        <w:t xml:space="preserve"> </w:t>
      </w:r>
      <w:r>
        <w:t>Committee shall invite that State Party to cooperate in the examination of the</w:t>
      </w:r>
      <w:r w:rsidR="00852715">
        <w:t xml:space="preserve"> </w:t>
      </w:r>
      <w:r>
        <w:t>information and to this end submit observations with regard to the information</w:t>
      </w:r>
      <w:r w:rsidR="00852715">
        <w:t xml:space="preserve"> </w:t>
      </w:r>
      <w:r>
        <w:t>concerned.</w:t>
      </w:r>
    </w:p>
    <w:p w:rsidR="00F936C2" w:rsidRDefault="00F936C2" w:rsidP="00FD479D">
      <w:pPr>
        <w:numPr>
          <w:ilvl w:val="0"/>
          <w:numId w:val="4"/>
        </w:numPr>
      </w:pPr>
      <w:r>
        <w:t xml:space="preserve">Taking into account any observations </w:t>
      </w:r>
      <w:r w:rsidR="00852715">
        <w:t xml:space="preserve">that may have been submitted by </w:t>
      </w:r>
      <w:r>
        <w:t>the State Party concerned as well as any other reliable information available to</w:t>
      </w:r>
      <w:r w:rsidR="00852715">
        <w:t xml:space="preserve"> </w:t>
      </w:r>
      <w:r>
        <w:t>it, the Committee may designate one or more of its members to conduct an</w:t>
      </w:r>
      <w:r w:rsidR="00852715">
        <w:t xml:space="preserve"> </w:t>
      </w:r>
      <w:r>
        <w:t>inquiry and to report urgently to the Committee. Where warranted and with the</w:t>
      </w:r>
      <w:r w:rsidR="00852715">
        <w:t xml:space="preserve"> </w:t>
      </w:r>
      <w:r>
        <w:t>consent of the State Party, the inquiry may include a visit to its territory.</w:t>
      </w:r>
    </w:p>
    <w:p w:rsidR="00F936C2" w:rsidRDefault="00F936C2" w:rsidP="00FD479D">
      <w:pPr>
        <w:numPr>
          <w:ilvl w:val="0"/>
          <w:numId w:val="4"/>
        </w:numPr>
      </w:pPr>
      <w:r>
        <w:t>After examining the findings of such an inquiry, the Committee shall</w:t>
      </w:r>
      <w:r w:rsidR="00852715">
        <w:t xml:space="preserve"> </w:t>
      </w:r>
      <w:r>
        <w:t>transmit these findings to the State Party concerned together with any</w:t>
      </w:r>
      <w:r w:rsidR="00852715">
        <w:t xml:space="preserve"> </w:t>
      </w:r>
      <w:r>
        <w:t>comments and recommendations.</w:t>
      </w:r>
    </w:p>
    <w:p w:rsidR="00F936C2" w:rsidRDefault="00F936C2" w:rsidP="00FD479D">
      <w:pPr>
        <w:numPr>
          <w:ilvl w:val="0"/>
          <w:numId w:val="4"/>
        </w:numPr>
      </w:pPr>
      <w:r>
        <w:t>The State Party concerned shall, within six months of receiving the</w:t>
      </w:r>
      <w:r w:rsidR="00852715">
        <w:t xml:space="preserve"> </w:t>
      </w:r>
      <w:r>
        <w:t>findings, comments and recommendations transmitted by the Committee,</w:t>
      </w:r>
      <w:r w:rsidR="00852715">
        <w:t xml:space="preserve"> </w:t>
      </w:r>
      <w:r>
        <w:t>submit its observations to the Committee.</w:t>
      </w:r>
    </w:p>
    <w:p w:rsidR="00F936C2" w:rsidRDefault="00F936C2" w:rsidP="00FD479D">
      <w:pPr>
        <w:numPr>
          <w:ilvl w:val="0"/>
          <w:numId w:val="4"/>
        </w:numPr>
      </w:pPr>
      <w:r>
        <w:t>Such an inquiry shall be conducted confidentially and the cooperation of</w:t>
      </w:r>
      <w:r w:rsidR="00852715">
        <w:t xml:space="preserve"> </w:t>
      </w:r>
      <w:r>
        <w:t xml:space="preserve">the State Party shall be sought at </w:t>
      </w:r>
      <w:r w:rsidR="00852715">
        <w:t xml:space="preserve">all stages of the proceedings. </w:t>
      </w:r>
    </w:p>
    <w:p w:rsidR="00F936C2" w:rsidRDefault="00F936C2" w:rsidP="00FD479D">
      <w:pPr>
        <w:pStyle w:val="Heading1"/>
        <w:spacing w:after="120"/>
      </w:pPr>
      <w:bookmarkStart w:id="6" w:name="_Toc478634070"/>
      <w:r>
        <w:t>Article 7</w:t>
      </w:r>
      <w:bookmarkEnd w:id="6"/>
    </w:p>
    <w:p w:rsidR="00F936C2" w:rsidRDefault="00F936C2" w:rsidP="00FD479D">
      <w:pPr>
        <w:numPr>
          <w:ilvl w:val="0"/>
          <w:numId w:val="5"/>
        </w:numPr>
      </w:pPr>
      <w:r>
        <w:t>The Committee may invite the State Party concerned to include in its</w:t>
      </w:r>
      <w:r w:rsidR="00852715">
        <w:t xml:space="preserve"> </w:t>
      </w:r>
      <w:r>
        <w:t>report under article 35 of the Convention details of any measures taken in</w:t>
      </w:r>
      <w:r w:rsidR="00852715">
        <w:t xml:space="preserve"> </w:t>
      </w:r>
      <w:r>
        <w:t>response to an inquiry conducted under article 6 of the present Protocol.</w:t>
      </w:r>
    </w:p>
    <w:p w:rsidR="00F936C2" w:rsidRDefault="00F936C2" w:rsidP="00FD479D">
      <w:pPr>
        <w:numPr>
          <w:ilvl w:val="0"/>
          <w:numId w:val="5"/>
        </w:numPr>
      </w:pPr>
      <w:r>
        <w:t>The Committee may, if necessary, after the end of the period of six</w:t>
      </w:r>
      <w:r w:rsidR="00852715">
        <w:t xml:space="preserve"> </w:t>
      </w:r>
      <w:r>
        <w:t>months referred to in article 6, paragraph 4, invite the State Party concerned to</w:t>
      </w:r>
      <w:r w:rsidR="00852715">
        <w:t xml:space="preserve"> </w:t>
      </w:r>
      <w:r>
        <w:t>inform it of the measures taken in response to such an inquiry.</w:t>
      </w:r>
    </w:p>
    <w:p w:rsidR="00F936C2" w:rsidRDefault="00F936C2" w:rsidP="00FD479D">
      <w:pPr>
        <w:pStyle w:val="Heading1"/>
        <w:spacing w:after="120"/>
      </w:pPr>
      <w:bookmarkStart w:id="7" w:name="_Toc478634071"/>
      <w:r>
        <w:t>Article 8</w:t>
      </w:r>
      <w:bookmarkEnd w:id="7"/>
    </w:p>
    <w:p w:rsidR="00F936C2" w:rsidRDefault="00F936C2" w:rsidP="00FD479D">
      <w:r>
        <w:t xml:space="preserve"> Each State Party may, at the time of signature or ratification of the</w:t>
      </w:r>
      <w:r w:rsidR="00852715">
        <w:t xml:space="preserve"> </w:t>
      </w:r>
      <w:r>
        <w:t>present Protocol or accession thereto, declare that it does not recognize the</w:t>
      </w:r>
      <w:r w:rsidR="00852715">
        <w:t xml:space="preserve"> </w:t>
      </w:r>
      <w:r>
        <w:t>competence of the Committee provided for in articles 6 and 7.</w:t>
      </w:r>
    </w:p>
    <w:p w:rsidR="00F936C2" w:rsidRDefault="00F936C2" w:rsidP="00FD479D">
      <w:pPr>
        <w:pStyle w:val="Heading1"/>
        <w:spacing w:after="120"/>
      </w:pPr>
      <w:bookmarkStart w:id="8" w:name="_Toc478634072"/>
      <w:r>
        <w:t>Article 9</w:t>
      </w:r>
      <w:bookmarkEnd w:id="8"/>
    </w:p>
    <w:p w:rsidR="00F936C2" w:rsidRDefault="00F936C2" w:rsidP="00FD479D">
      <w:r>
        <w:t>The Secretary-General of the United Nations shall be the depositary of</w:t>
      </w:r>
      <w:r w:rsidR="00852715">
        <w:t xml:space="preserve"> </w:t>
      </w:r>
      <w:r>
        <w:t>the present Protocol.</w:t>
      </w:r>
    </w:p>
    <w:p w:rsidR="00F936C2" w:rsidRDefault="00F936C2" w:rsidP="00FD479D">
      <w:pPr>
        <w:pStyle w:val="Heading1"/>
        <w:spacing w:after="120"/>
      </w:pPr>
      <w:bookmarkStart w:id="9" w:name="_Toc478634073"/>
      <w:r>
        <w:lastRenderedPageBreak/>
        <w:t>Article 10</w:t>
      </w:r>
      <w:bookmarkEnd w:id="9"/>
    </w:p>
    <w:p w:rsidR="00F936C2" w:rsidRDefault="00F936C2" w:rsidP="00FD479D">
      <w:r>
        <w:t>The present Protocol shall be open for si</w:t>
      </w:r>
      <w:r w:rsidR="00852715">
        <w:t xml:space="preserve">gnature by signatory States and </w:t>
      </w:r>
      <w:r>
        <w:t>regional integration organizations of the Convention at United Nations</w:t>
      </w:r>
      <w:r w:rsidR="00852715">
        <w:t xml:space="preserve"> </w:t>
      </w:r>
      <w:r>
        <w:t>Headquarters in New York as of 30 March 2007.</w:t>
      </w:r>
    </w:p>
    <w:p w:rsidR="00F936C2" w:rsidRDefault="00F936C2" w:rsidP="00FD479D">
      <w:pPr>
        <w:pStyle w:val="Heading1"/>
        <w:spacing w:after="120"/>
      </w:pPr>
      <w:bookmarkStart w:id="10" w:name="_Toc478634074"/>
      <w:r>
        <w:t>Article 11</w:t>
      </w:r>
      <w:bookmarkEnd w:id="10"/>
    </w:p>
    <w:p w:rsidR="00F936C2" w:rsidRDefault="00F936C2" w:rsidP="00FD479D">
      <w:r>
        <w:t xml:space="preserve"> The present Protocol shall be subject to ratification by signatory States</w:t>
      </w:r>
      <w:r w:rsidR="00852715">
        <w:t xml:space="preserve"> </w:t>
      </w:r>
      <w:r>
        <w:t>of the present Protocol which have ratified or acceded to the Convention. It</w:t>
      </w:r>
      <w:r w:rsidR="00852715">
        <w:t xml:space="preserve"> </w:t>
      </w:r>
      <w:r>
        <w:t>shall be subject to formal confirmation by signatory regional integration</w:t>
      </w:r>
      <w:r w:rsidR="00852715">
        <w:t xml:space="preserve"> </w:t>
      </w:r>
      <w:r>
        <w:t>organizations of the present Protocol which have formally confirmed or</w:t>
      </w:r>
      <w:r w:rsidR="00852715">
        <w:t xml:space="preserve"> </w:t>
      </w:r>
      <w:r>
        <w:t>acceded to the Convention. It shall be open for accession by any State or</w:t>
      </w:r>
      <w:r w:rsidR="00852715">
        <w:t xml:space="preserve"> </w:t>
      </w:r>
      <w:r>
        <w:t>regional integration organization which has ratified, formally confirmed or</w:t>
      </w:r>
      <w:r w:rsidR="00852715">
        <w:t xml:space="preserve"> </w:t>
      </w:r>
      <w:r>
        <w:t>acceded to the Convention and which has not signed the Protocol.</w:t>
      </w:r>
    </w:p>
    <w:p w:rsidR="00F936C2" w:rsidRDefault="00F936C2" w:rsidP="00FD479D">
      <w:pPr>
        <w:pStyle w:val="Heading1"/>
        <w:spacing w:after="120"/>
      </w:pPr>
      <w:bookmarkStart w:id="11" w:name="_Toc478634075"/>
      <w:r>
        <w:t>Article 12</w:t>
      </w:r>
      <w:bookmarkEnd w:id="11"/>
    </w:p>
    <w:p w:rsidR="00F936C2" w:rsidRDefault="00F936C2" w:rsidP="00FD479D">
      <w:pPr>
        <w:numPr>
          <w:ilvl w:val="0"/>
          <w:numId w:val="6"/>
        </w:numPr>
      </w:pPr>
      <w:r>
        <w:t>“Regional integration organization” shall mean an organization</w:t>
      </w:r>
      <w:r w:rsidR="00852715">
        <w:t xml:space="preserve"> </w:t>
      </w:r>
      <w:r>
        <w:t>constituted by sovereign States of a given region, to which its member States</w:t>
      </w:r>
      <w:r w:rsidR="00852715">
        <w:t xml:space="preserve"> </w:t>
      </w:r>
      <w:r>
        <w:t>have transferred competence in respect of matters governed by the Convention</w:t>
      </w:r>
      <w:r w:rsidR="00852715">
        <w:t xml:space="preserve"> </w:t>
      </w:r>
      <w:r>
        <w:t>and the present Protocol. Such organizations shall declare, in their instruments</w:t>
      </w:r>
      <w:r w:rsidR="00852715">
        <w:t xml:space="preserve"> </w:t>
      </w:r>
      <w:r>
        <w:t>of formal confirmation or accession, the extent of their competence with</w:t>
      </w:r>
      <w:r w:rsidR="00852715">
        <w:t xml:space="preserve"> </w:t>
      </w:r>
      <w:r>
        <w:t>respect to matters governed by the Conven</w:t>
      </w:r>
      <w:r w:rsidR="00852715">
        <w:t xml:space="preserve">tion and the present Protocol. </w:t>
      </w:r>
      <w:r>
        <w:t>Subsequently, they shall inform the depositary of any substantial modification</w:t>
      </w:r>
      <w:r w:rsidR="00852715">
        <w:t xml:space="preserve"> </w:t>
      </w:r>
      <w:r>
        <w:t>in the extent of their competence.</w:t>
      </w:r>
    </w:p>
    <w:p w:rsidR="00F936C2" w:rsidRDefault="00F936C2" w:rsidP="00FD479D">
      <w:pPr>
        <w:numPr>
          <w:ilvl w:val="0"/>
          <w:numId w:val="6"/>
        </w:numPr>
      </w:pPr>
      <w:r>
        <w:t>References to “States Parties” in the present Protocol shall apply to such</w:t>
      </w:r>
      <w:r w:rsidR="00852715">
        <w:t xml:space="preserve"> </w:t>
      </w:r>
      <w:r>
        <w:t>organizations within the limits of their competence.</w:t>
      </w:r>
    </w:p>
    <w:p w:rsidR="00F936C2" w:rsidRDefault="00F936C2" w:rsidP="00FD479D">
      <w:pPr>
        <w:numPr>
          <w:ilvl w:val="0"/>
          <w:numId w:val="6"/>
        </w:numPr>
      </w:pPr>
      <w:r>
        <w:t>For the purposes of article 13, paragraph 1, and article 15, paragraph 2,</w:t>
      </w:r>
      <w:r w:rsidR="00852715">
        <w:t xml:space="preserve"> </w:t>
      </w:r>
      <w:r>
        <w:t>of the present Protocol, any instrument deposited by a regional integration</w:t>
      </w:r>
      <w:r w:rsidR="00852715">
        <w:t xml:space="preserve"> </w:t>
      </w:r>
      <w:r>
        <w:t>organization shall not be counted.</w:t>
      </w:r>
    </w:p>
    <w:p w:rsidR="00F936C2" w:rsidRDefault="00F936C2" w:rsidP="00FD479D">
      <w:pPr>
        <w:numPr>
          <w:ilvl w:val="0"/>
          <w:numId w:val="6"/>
        </w:numPr>
      </w:pPr>
      <w:r>
        <w:t>Regional integration organizations, in matters within their competence,</w:t>
      </w:r>
      <w:r w:rsidR="00852715">
        <w:t xml:space="preserve"> </w:t>
      </w:r>
      <w:r>
        <w:t xml:space="preserve">may exercise their right to vote in the meeting of </w:t>
      </w:r>
      <w:r w:rsidR="00852715">
        <w:t xml:space="preserve">States Parties, with a number </w:t>
      </w:r>
      <w:r>
        <w:t>of votes equal to the number of their member States that are Parties to the</w:t>
      </w:r>
      <w:r w:rsidR="00852715">
        <w:t xml:space="preserve"> </w:t>
      </w:r>
      <w:r>
        <w:t>present Protocol. Such an organization shall not exercise its right to vote if any</w:t>
      </w:r>
      <w:r w:rsidR="00852715">
        <w:t xml:space="preserve"> </w:t>
      </w:r>
      <w:r>
        <w:t>of its member States exercises its right, and vice versa.</w:t>
      </w:r>
    </w:p>
    <w:p w:rsidR="00F936C2" w:rsidRDefault="00F936C2" w:rsidP="00FD479D">
      <w:pPr>
        <w:pStyle w:val="Heading1"/>
        <w:spacing w:after="120"/>
      </w:pPr>
      <w:bookmarkStart w:id="12" w:name="_Toc478634076"/>
      <w:r>
        <w:t>Article 13</w:t>
      </w:r>
      <w:bookmarkEnd w:id="12"/>
    </w:p>
    <w:p w:rsidR="00F936C2" w:rsidRDefault="00F936C2" w:rsidP="00FD479D">
      <w:pPr>
        <w:numPr>
          <w:ilvl w:val="0"/>
          <w:numId w:val="7"/>
        </w:numPr>
      </w:pPr>
      <w:r>
        <w:t>Subject to the entry into force of the Convention, the present Protocol</w:t>
      </w:r>
      <w:r w:rsidR="00852715">
        <w:t xml:space="preserve"> </w:t>
      </w:r>
      <w:r>
        <w:t>shall enter into force on the thirtieth day after the deposit of the tenth</w:t>
      </w:r>
      <w:r w:rsidR="00852715">
        <w:t xml:space="preserve"> </w:t>
      </w:r>
      <w:r>
        <w:t>instrument of ratification or accession.</w:t>
      </w:r>
    </w:p>
    <w:p w:rsidR="00F936C2" w:rsidRDefault="00F936C2" w:rsidP="00FD479D">
      <w:pPr>
        <w:numPr>
          <w:ilvl w:val="0"/>
          <w:numId w:val="7"/>
        </w:numPr>
      </w:pPr>
      <w:r>
        <w:t>For each State or regional integration organization ratifying, formally</w:t>
      </w:r>
      <w:r w:rsidR="006A6B8D">
        <w:t xml:space="preserve"> </w:t>
      </w:r>
      <w:r>
        <w:t>confirming or acceding to the present Protocol after the deposit of the tenth</w:t>
      </w:r>
      <w:r w:rsidR="006A6B8D">
        <w:t xml:space="preserve"> </w:t>
      </w:r>
      <w:r>
        <w:t>such instrument, the Protocol shall enter into force on the thirtieth day after the</w:t>
      </w:r>
      <w:r w:rsidR="006A6B8D">
        <w:t xml:space="preserve"> </w:t>
      </w:r>
      <w:r>
        <w:t>deposit of its own such instrument.</w:t>
      </w:r>
    </w:p>
    <w:p w:rsidR="00F936C2" w:rsidRDefault="00F936C2" w:rsidP="00FD479D">
      <w:pPr>
        <w:pStyle w:val="Heading1"/>
        <w:spacing w:after="120"/>
      </w:pPr>
      <w:bookmarkStart w:id="13" w:name="_Toc478634077"/>
      <w:r>
        <w:t>Article 14</w:t>
      </w:r>
      <w:bookmarkEnd w:id="13"/>
    </w:p>
    <w:p w:rsidR="00F936C2" w:rsidRDefault="00F936C2" w:rsidP="00FD479D">
      <w:pPr>
        <w:numPr>
          <w:ilvl w:val="0"/>
          <w:numId w:val="8"/>
        </w:numPr>
      </w:pPr>
      <w:r>
        <w:t>Reservations incompatible with the object and purpose of the present</w:t>
      </w:r>
      <w:r w:rsidR="006A6B8D">
        <w:t xml:space="preserve"> </w:t>
      </w:r>
      <w:r>
        <w:t>Protocol shall not be permitted.</w:t>
      </w:r>
    </w:p>
    <w:p w:rsidR="00F936C2" w:rsidRDefault="00F936C2" w:rsidP="00FD479D">
      <w:pPr>
        <w:numPr>
          <w:ilvl w:val="0"/>
          <w:numId w:val="8"/>
        </w:numPr>
      </w:pPr>
      <w:r>
        <w:t>Reservations may be withdrawn at any time.</w:t>
      </w:r>
    </w:p>
    <w:p w:rsidR="00F936C2" w:rsidRDefault="00F936C2" w:rsidP="00FD479D">
      <w:pPr>
        <w:pStyle w:val="Heading1"/>
        <w:spacing w:after="120"/>
      </w:pPr>
      <w:bookmarkStart w:id="14" w:name="_Toc478634078"/>
      <w:r>
        <w:lastRenderedPageBreak/>
        <w:t>Article 15</w:t>
      </w:r>
      <w:bookmarkEnd w:id="14"/>
    </w:p>
    <w:p w:rsidR="00F936C2" w:rsidRDefault="00F936C2" w:rsidP="00FD479D">
      <w:pPr>
        <w:numPr>
          <w:ilvl w:val="0"/>
          <w:numId w:val="9"/>
        </w:numPr>
      </w:pPr>
      <w:r>
        <w:t>Any State Party may propose an amendment to the present Protocol and</w:t>
      </w:r>
      <w:r w:rsidR="006A6B8D">
        <w:t xml:space="preserve"> </w:t>
      </w:r>
      <w:r>
        <w:t>submit it to the Secretary-General of the United Nations. The Secretary</w:t>
      </w:r>
      <w:r w:rsidR="006A6B8D">
        <w:t>-</w:t>
      </w:r>
      <w:r>
        <w:t>General</w:t>
      </w:r>
      <w:r w:rsidR="006A6B8D">
        <w:t xml:space="preserve"> </w:t>
      </w:r>
      <w:r>
        <w:t>shall communicate any proposed amendments to States Parties, with a</w:t>
      </w:r>
      <w:r w:rsidR="006A6B8D">
        <w:t xml:space="preserve"> </w:t>
      </w:r>
      <w:r>
        <w:t>request to be notified whether they favour a meeting of States Parties for the</w:t>
      </w:r>
      <w:r w:rsidR="006A6B8D">
        <w:t xml:space="preserve"> </w:t>
      </w:r>
      <w:r>
        <w:t>purpose of considering and deciding upon th</w:t>
      </w:r>
      <w:r w:rsidR="006A6B8D">
        <w:t xml:space="preserve">e proposals. In the event that, </w:t>
      </w:r>
      <w:r>
        <w:t>within four months from the date of such communication, at least one third of</w:t>
      </w:r>
      <w:r w:rsidR="006A6B8D">
        <w:t xml:space="preserve"> </w:t>
      </w:r>
      <w:r>
        <w:t>the States Parties favour such a meeting, the Secretary-General shall convene</w:t>
      </w:r>
      <w:r w:rsidR="006A6B8D">
        <w:t xml:space="preserve"> </w:t>
      </w:r>
      <w:r>
        <w:t>the meeting under the auspices of the Unite</w:t>
      </w:r>
      <w:bookmarkStart w:id="15" w:name="_GoBack"/>
      <w:bookmarkEnd w:id="15"/>
      <w:r>
        <w:t>d Nations. Any amendment adopted</w:t>
      </w:r>
      <w:r w:rsidR="006A6B8D">
        <w:t xml:space="preserve"> </w:t>
      </w:r>
      <w:r>
        <w:t>by a majority of two thirds of the States Parti</w:t>
      </w:r>
      <w:r w:rsidR="006A6B8D">
        <w:t xml:space="preserve">es present and voting shall be </w:t>
      </w:r>
      <w:r>
        <w:t>submitted by the Secretary-General to the General Assembly of the United</w:t>
      </w:r>
      <w:r w:rsidR="006A6B8D">
        <w:t xml:space="preserve"> </w:t>
      </w:r>
      <w:r>
        <w:t>Nations for approval and thereafter to all States Parties for acceptance.</w:t>
      </w:r>
    </w:p>
    <w:p w:rsidR="00F936C2" w:rsidRDefault="00F936C2" w:rsidP="00FD479D">
      <w:pPr>
        <w:numPr>
          <w:ilvl w:val="0"/>
          <w:numId w:val="9"/>
        </w:numPr>
      </w:pPr>
      <w:r>
        <w:t>An amendment adopted and approved in accordance with paragraph 1 of</w:t>
      </w:r>
      <w:r w:rsidR="006A6B8D">
        <w:t xml:space="preserve"> </w:t>
      </w:r>
      <w:r>
        <w:t>this article shall enter into force on the thirtieth day after the number of</w:t>
      </w:r>
      <w:r w:rsidR="006A6B8D">
        <w:t xml:space="preserve"> </w:t>
      </w:r>
      <w:r>
        <w:t>instruments of acceptance deposited reaches two thirds of the number of States</w:t>
      </w:r>
      <w:r w:rsidR="006A6B8D">
        <w:t xml:space="preserve"> </w:t>
      </w:r>
      <w:r>
        <w:t>Parties at the date of adoption of the amendment. Thereafter, the amendment</w:t>
      </w:r>
      <w:r w:rsidR="006A6B8D">
        <w:t xml:space="preserve"> </w:t>
      </w:r>
      <w:r>
        <w:t xml:space="preserve">shall enter into force for any State Party on </w:t>
      </w:r>
      <w:r w:rsidR="006A6B8D">
        <w:t xml:space="preserve">the thirtieth day following the </w:t>
      </w:r>
      <w:r>
        <w:t>deposit of its own instrument of acceptance. An amendment shall be binding</w:t>
      </w:r>
      <w:r w:rsidR="006A6B8D">
        <w:t xml:space="preserve"> </w:t>
      </w:r>
      <w:r>
        <w:t>only on those States Parties which have accepted it.</w:t>
      </w:r>
    </w:p>
    <w:p w:rsidR="00F936C2" w:rsidRDefault="00F936C2" w:rsidP="00FD479D">
      <w:pPr>
        <w:pStyle w:val="Heading1"/>
        <w:spacing w:after="120"/>
      </w:pPr>
      <w:bookmarkStart w:id="16" w:name="_Toc478634079"/>
      <w:r>
        <w:t>Article 16</w:t>
      </w:r>
      <w:bookmarkEnd w:id="16"/>
    </w:p>
    <w:p w:rsidR="00F936C2" w:rsidRDefault="00F936C2" w:rsidP="00FD479D">
      <w:r>
        <w:t>A State Party may denounce the present Protocol by written notification</w:t>
      </w:r>
      <w:r w:rsidR="006A6B8D">
        <w:t xml:space="preserve"> </w:t>
      </w:r>
      <w:r>
        <w:t>to the Secretary-General of the United Nations. The denunciation shall become</w:t>
      </w:r>
      <w:r w:rsidR="006A6B8D">
        <w:t xml:space="preserve"> </w:t>
      </w:r>
      <w:r>
        <w:t>effective one year after the date of receipt of the notification by the Secretary</w:t>
      </w:r>
      <w:r w:rsidR="006A6B8D">
        <w:t>-</w:t>
      </w:r>
      <w:r>
        <w:t>General.</w:t>
      </w:r>
    </w:p>
    <w:p w:rsidR="00F936C2" w:rsidRDefault="00F936C2" w:rsidP="00FD479D">
      <w:pPr>
        <w:pStyle w:val="Heading1"/>
        <w:spacing w:after="120"/>
      </w:pPr>
      <w:bookmarkStart w:id="17" w:name="_Toc478634080"/>
      <w:r>
        <w:t>Article 17</w:t>
      </w:r>
      <w:bookmarkEnd w:id="17"/>
    </w:p>
    <w:p w:rsidR="00F936C2" w:rsidRDefault="00F936C2" w:rsidP="00FD479D">
      <w:r>
        <w:t>The text of the present Protocol shall be</w:t>
      </w:r>
      <w:r w:rsidR="006A6B8D">
        <w:t xml:space="preserve"> made available in accessible </w:t>
      </w:r>
      <w:r>
        <w:t>formats.</w:t>
      </w:r>
    </w:p>
    <w:p w:rsidR="00F936C2" w:rsidRDefault="00F936C2" w:rsidP="00FD479D">
      <w:pPr>
        <w:pStyle w:val="Heading1"/>
        <w:spacing w:after="120"/>
      </w:pPr>
      <w:bookmarkStart w:id="18" w:name="_Toc478634081"/>
      <w:r>
        <w:t>Article 18</w:t>
      </w:r>
      <w:bookmarkEnd w:id="18"/>
    </w:p>
    <w:p w:rsidR="00F936C2" w:rsidRDefault="00F936C2" w:rsidP="00FD479D">
      <w:r>
        <w:t>The Arabic, Chinese, English, French, Russian and Spanish texts of the</w:t>
      </w:r>
      <w:r w:rsidR="006A6B8D">
        <w:t xml:space="preserve"> </w:t>
      </w:r>
      <w:r>
        <w:t>present Protocol shall be equally authentic.</w:t>
      </w:r>
    </w:p>
    <w:p w:rsidR="002943B8" w:rsidRDefault="00F936C2" w:rsidP="00FD479D">
      <w:r>
        <w:t>IN WITNESS THEREOF the undersigned plenipotentiaries, being duly</w:t>
      </w:r>
      <w:r w:rsidR="00852715">
        <w:t xml:space="preserve"> </w:t>
      </w:r>
      <w:r>
        <w:t>authorized thereto by their respective Governments, have signed the present</w:t>
      </w:r>
      <w:r w:rsidR="00852715">
        <w:t xml:space="preserve"> </w:t>
      </w:r>
      <w:r>
        <w:t>Protocol.</w:t>
      </w:r>
    </w:p>
    <w:sectPr w:rsidR="002943B8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8D" w:rsidRDefault="00301D8D" w:rsidP="00F61B4F">
      <w:pPr>
        <w:spacing w:before="0" w:after="0" w:line="240" w:lineRule="auto"/>
      </w:pPr>
      <w:r>
        <w:separator/>
      </w:r>
    </w:p>
  </w:endnote>
  <w:endnote w:type="continuationSeparator" w:id="0">
    <w:p w:rsidR="00301D8D" w:rsidRDefault="00301D8D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29" w:rsidRDefault="00617D29" w:rsidP="00F61B4F">
    <w:pPr>
      <w:pStyle w:val="Footer"/>
      <w:tabs>
        <w:tab w:val="clear" w:pos="9360"/>
        <w:tab w:val="right" w:pos="8931"/>
      </w:tabs>
      <w:jc w:val="right"/>
    </w:pPr>
  </w:p>
  <w:p w:rsidR="00617D29" w:rsidRPr="00F61B4F" w:rsidRDefault="00617D29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6C1412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6C1412">
      <w:rPr>
        <w:rFonts w:cs="Arial"/>
        <w:noProof/>
        <w:color w:val="7F7F7F"/>
        <w:sz w:val="16"/>
        <w:szCs w:val="16"/>
      </w:rPr>
      <w:t>5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29" w:rsidRDefault="00617D29" w:rsidP="00F61B4F">
    <w:pPr>
      <w:pStyle w:val="Footer"/>
      <w:tabs>
        <w:tab w:val="clear" w:pos="9360"/>
        <w:tab w:val="right" w:pos="8931"/>
      </w:tabs>
      <w:jc w:val="right"/>
    </w:pPr>
  </w:p>
  <w:p w:rsidR="00617D29" w:rsidRPr="00F61B4F" w:rsidRDefault="00617D29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8D" w:rsidRDefault="00301D8D" w:rsidP="00F61B4F">
      <w:pPr>
        <w:spacing w:before="0" w:after="0" w:line="240" w:lineRule="auto"/>
      </w:pPr>
      <w:r>
        <w:separator/>
      </w:r>
    </w:p>
  </w:footnote>
  <w:footnote w:type="continuationSeparator" w:id="0">
    <w:p w:rsidR="00301D8D" w:rsidRDefault="00301D8D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29" w:rsidRPr="002943B8" w:rsidRDefault="006D4FBB" w:rsidP="002943B8">
    <w:pPr>
      <w:pStyle w:val="Header"/>
      <w:pBdr>
        <w:bottom w:val="single" w:sz="4" w:space="1" w:color="auto"/>
      </w:pBdr>
    </w:pPr>
    <w:r>
      <w:rPr>
        <w:rFonts w:cs="Arial"/>
        <w:caps/>
        <w:color w:val="808080"/>
        <w:sz w:val="16"/>
        <w:szCs w:val="16"/>
      </w:rPr>
      <w:t>2006 optional protocol to the convention on the rights of persons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8DC"/>
    <w:multiLevelType w:val="hybridMultilevel"/>
    <w:tmpl w:val="A4FE2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420B0"/>
    <w:multiLevelType w:val="hybridMultilevel"/>
    <w:tmpl w:val="7FB253DA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43AAB"/>
    <w:multiLevelType w:val="hybridMultilevel"/>
    <w:tmpl w:val="0AE43FCE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02757"/>
    <w:multiLevelType w:val="hybridMultilevel"/>
    <w:tmpl w:val="D3DE932A"/>
    <w:lvl w:ilvl="0" w:tplc="3A7619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35E64"/>
    <w:multiLevelType w:val="hybridMultilevel"/>
    <w:tmpl w:val="14FECE82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D2C3A"/>
    <w:multiLevelType w:val="hybridMultilevel"/>
    <w:tmpl w:val="6F42B202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A530B"/>
    <w:multiLevelType w:val="hybridMultilevel"/>
    <w:tmpl w:val="29EA4CB6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B7A8F"/>
    <w:multiLevelType w:val="hybridMultilevel"/>
    <w:tmpl w:val="F2C2A2DE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D73DE"/>
    <w:multiLevelType w:val="hybridMultilevel"/>
    <w:tmpl w:val="5B0AEF10"/>
    <w:lvl w:ilvl="0" w:tplc="64B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1F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02E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77D1F"/>
    <w:rsid w:val="0018065C"/>
    <w:rsid w:val="00183009"/>
    <w:rsid w:val="001837BF"/>
    <w:rsid w:val="00191FB7"/>
    <w:rsid w:val="00194639"/>
    <w:rsid w:val="0019674F"/>
    <w:rsid w:val="001A31BD"/>
    <w:rsid w:val="001B572F"/>
    <w:rsid w:val="001C4458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3B8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1D8D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3157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17D29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714FF"/>
    <w:rsid w:val="006770C5"/>
    <w:rsid w:val="006819D0"/>
    <w:rsid w:val="006829B2"/>
    <w:rsid w:val="00686294"/>
    <w:rsid w:val="006872B4"/>
    <w:rsid w:val="006878B4"/>
    <w:rsid w:val="00695153"/>
    <w:rsid w:val="006A181F"/>
    <w:rsid w:val="006A368A"/>
    <w:rsid w:val="006A5BC7"/>
    <w:rsid w:val="006A6B8D"/>
    <w:rsid w:val="006B0864"/>
    <w:rsid w:val="006B6335"/>
    <w:rsid w:val="006C1412"/>
    <w:rsid w:val="006C2FAC"/>
    <w:rsid w:val="006C6203"/>
    <w:rsid w:val="006C6B56"/>
    <w:rsid w:val="006C6EFB"/>
    <w:rsid w:val="006D1637"/>
    <w:rsid w:val="006D2062"/>
    <w:rsid w:val="006D35BA"/>
    <w:rsid w:val="006D4FBB"/>
    <w:rsid w:val="006D61E5"/>
    <w:rsid w:val="006D6826"/>
    <w:rsid w:val="006D6EAA"/>
    <w:rsid w:val="006D6FA4"/>
    <w:rsid w:val="006E03F3"/>
    <w:rsid w:val="006E4F21"/>
    <w:rsid w:val="006E6F86"/>
    <w:rsid w:val="006F231A"/>
    <w:rsid w:val="006F3479"/>
    <w:rsid w:val="00707B16"/>
    <w:rsid w:val="00711FF8"/>
    <w:rsid w:val="00721C1C"/>
    <w:rsid w:val="007231B2"/>
    <w:rsid w:val="0072576B"/>
    <w:rsid w:val="007320B0"/>
    <w:rsid w:val="0073568E"/>
    <w:rsid w:val="007364D1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42A11"/>
    <w:rsid w:val="00852715"/>
    <w:rsid w:val="0086274F"/>
    <w:rsid w:val="00863AA4"/>
    <w:rsid w:val="00865EBA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3A81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D5870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41A"/>
    <w:rsid w:val="00A27F6D"/>
    <w:rsid w:val="00A302FE"/>
    <w:rsid w:val="00A32891"/>
    <w:rsid w:val="00A3329A"/>
    <w:rsid w:val="00A346A9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AF620F"/>
    <w:rsid w:val="00B01951"/>
    <w:rsid w:val="00B05254"/>
    <w:rsid w:val="00B05F3A"/>
    <w:rsid w:val="00B0640C"/>
    <w:rsid w:val="00B114B5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0C3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47B"/>
    <w:rsid w:val="00C12E92"/>
    <w:rsid w:val="00C1575D"/>
    <w:rsid w:val="00C1674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C9C"/>
    <w:rsid w:val="00ED1D3B"/>
    <w:rsid w:val="00ED61BD"/>
    <w:rsid w:val="00ED6DF2"/>
    <w:rsid w:val="00EE207B"/>
    <w:rsid w:val="00EE5D61"/>
    <w:rsid w:val="00EF63CD"/>
    <w:rsid w:val="00F00F59"/>
    <w:rsid w:val="00F01D85"/>
    <w:rsid w:val="00F03D3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936C2"/>
    <w:rsid w:val="00FA08BD"/>
    <w:rsid w:val="00FA0BDA"/>
    <w:rsid w:val="00FA1EB2"/>
    <w:rsid w:val="00FA4AD8"/>
    <w:rsid w:val="00FA4CBA"/>
    <w:rsid w:val="00FA7B32"/>
    <w:rsid w:val="00FB2316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479D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DAF9B-B4E8-4891-B1BD-DF0ACE63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7364D1"/>
  </w:style>
  <w:style w:type="character" w:customStyle="1" w:styleId="FootnoteTextChar">
    <w:name w:val="Footnote Text Char"/>
    <w:link w:val="FootnoteText"/>
    <w:uiPriority w:val="99"/>
    <w:semiHidden/>
    <w:rsid w:val="007364D1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736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XPS\Dropbox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C74E-7022-424B-8378-3A5030F5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C:\Users\XPS\Dropbox\FORMATTING TEAM\FORMATTING TEAM TEMPLATE 2.dotx</Template>
  <TotalTime>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Links>
    <vt:vector size="120" baseType="variant"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_Toc478634081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_Toc478634080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_Toc478634079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_Toc478634078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_Toc478634077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_Toc478634076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_Toc478634075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_Toc478634074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_Toc478634073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_Toc478634072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_Toc478634071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_Toc478634070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_Toc478634069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_Toc478634068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_Toc478634067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_Toc478634066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_Toc478634065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_Toc478634064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Microsoft Office User</cp:lastModifiedBy>
  <cp:revision>3</cp:revision>
  <cp:lastPrinted>2017-03-30T02:46:00Z</cp:lastPrinted>
  <dcterms:created xsi:type="dcterms:W3CDTF">2018-05-21T08:59:00Z</dcterms:created>
  <dcterms:modified xsi:type="dcterms:W3CDTF">2021-07-23T03:33:00Z</dcterms:modified>
</cp:coreProperties>
</file>