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36" w:rsidRPr="008C7F26" w:rsidRDefault="00720F36" w:rsidP="005C0CDC">
      <w:pPr>
        <w:pStyle w:val="CILTitle"/>
        <w:rPr>
          <w:lang w:val="en-SG"/>
        </w:rPr>
      </w:pPr>
      <w:r w:rsidRPr="008C7F26">
        <w:rPr>
          <w:lang w:val="en-SG"/>
        </w:rPr>
        <w:t>2007 Protocol 1</w:t>
      </w:r>
      <w:r w:rsidR="0013025B">
        <w:rPr>
          <w:lang w:val="en-SG"/>
        </w:rPr>
        <w:t xml:space="preserve"> –</w:t>
      </w:r>
      <w:r w:rsidR="008C7F26">
        <w:rPr>
          <w:lang w:val="en-SG"/>
        </w:rPr>
        <w:t xml:space="preserve"> </w:t>
      </w:r>
      <w:r w:rsidRPr="008C7F26">
        <w:rPr>
          <w:lang w:val="en-SG"/>
        </w:rPr>
        <w:t>Designation of Transit Transport Routes and Facilities</w:t>
      </w:r>
    </w:p>
    <w:p w:rsidR="00720F36" w:rsidRPr="008C7F26" w:rsidRDefault="00720F36" w:rsidP="00720F36">
      <w:pPr>
        <w:pStyle w:val="CILSubtitle"/>
        <w:rPr>
          <w:lang w:val="en-SG"/>
        </w:rPr>
      </w:pPr>
      <w:r w:rsidRPr="008C7F26">
        <w:rPr>
          <w:lang w:val="en-SG"/>
        </w:rPr>
        <w:t>Adopted in Bangkok, Thailand on 8 February 2007</w:t>
      </w:r>
    </w:p>
    <w:p w:rsidR="00720F36" w:rsidRPr="008C7F26" w:rsidRDefault="00720F36" w:rsidP="00720F36">
      <w:pPr>
        <w:rPr>
          <w:lang w:val="en-SG"/>
        </w:rPr>
      </w:pPr>
    </w:p>
    <w:p w:rsidR="00720F36" w:rsidRPr="008C7F26" w:rsidRDefault="00720F36" w:rsidP="00720F36">
      <w:pPr>
        <w:rPr>
          <w:lang w:val="en-SG"/>
        </w:rPr>
      </w:pPr>
      <w:r w:rsidRPr="008C7F26">
        <w:rPr>
          <w:lang w:val="en-SG"/>
        </w:rPr>
        <w:t>The Governments of Brunei Darussalam, the Kingdom of Cambodia, the Republic of Indonesia, the Lao People’s Democratic Republic, Malaysia, Union of Myanmar, the Republic of the Philippines, the Republic of Singapore, the Kingdom of Thailand and the Socialist Republic of Viet Nam, Member States of the Association of Southeast Asian Nations (hereinafter referred to as “Contracting Parties”);</w:t>
      </w:r>
    </w:p>
    <w:p w:rsidR="00720F36" w:rsidRPr="008C7F26" w:rsidRDefault="00720F36" w:rsidP="00720F36">
      <w:pPr>
        <w:rPr>
          <w:lang w:val="en-SG"/>
        </w:rPr>
      </w:pPr>
      <w:r w:rsidRPr="0013025B">
        <w:rPr>
          <w:b/>
          <w:lang w:val="en-SG"/>
        </w:rPr>
        <w:t>RECALLING</w:t>
      </w:r>
      <w:r w:rsidRPr="008C7F26">
        <w:rPr>
          <w:lang w:val="en-SG"/>
        </w:rPr>
        <w:t xml:space="preserve"> the ASEAN Framework Agreement on the Facilitation of Goods in Transit signed on </w:t>
      </w:r>
      <w:r w:rsidR="008C7F26">
        <w:rPr>
          <w:lang w:val="en-SG"/>
        </w:rPr>
        <w:br/>
      </w:r>
      <w:r w:rsidRPr="008C7F26">
        <w:rPr>
          <w:lang w:val="en-SG"/>
        </w:rPr>
        <w:t>16 December 1998 in Ha Noi, Viet Nam (hereinafter referred to as “the Agreement”);</w:t>
      </w:r>
    </w:p>
    <w:p w:rsidR="00720F36" w:rsidRPr="008C7F26" w:rsidRDefault="00720F36" w:rsidP="00720F36">
      <w:pPr>
        <w:rPr>
          <w:lang w:val="en-SG"/>
        </w:rPr>
      </w:pPr>
      <w:r w:rsidRPr="0013025B">
        <w:rPr>
          <w:b/>
          <w:lang w:val="en-SG"/>
        </w:rPr>
        <w:t>RECOGNISING</w:t>
      </w:r>
      <w:r w:rsidRPr="008C7F26">
        <w:rPr>
          <w:lang w:val="en-SG"/>
        </w:rPr>
        <w:t xml:space="preserve"> that Articles 6 and 25 thereof provide for the conclusion of implementing Protocols which shall form integral parts of the Agreement;</w:t>
      </w:r>
    </w:p>
    <w:p w:rsidR="00720F36" w:rsidRPr="008C7F26" w:rsidRDefault="00720F36" w:rsidP="00720F36">
      <w:pPr>
        <w:rPr>
          <w:lang w:val="en-SG"/>
        </w:rPr>
      </w:pPr>
      <w:r w:rsidRPr="0013025B">
        <w:rPr>
          <w:b/>
          <w:lang w:val="en-SG"/>
        </w:rPr>
        <w:t>RECOGNISING</w:t>
      </w:r>
      <w:r w:rsidRPr="008C7F26">
        <w:rPr>
          <w:lang w:val="en-SG"/>
        </w:rPr>
        <w:t xml:space="preserve"> also paragraph 3 of Article I of the Framework Agreement on Enhancing ASEAN Economic Cooperation signed on 28 </w:t>
      </w:r>
      <w:r w:rsidR="008C7F26">
        <w:rPr>
          <w:lang w:val="en-SG"/>
        </w:rPr>
        <w:t>January 1992 in Singapore, that</w:t>
      </w:r>
      <w:r w:rsidRPr="008C7F26">
        <w:rPr>
          <w:lang w:val="en-SG"/>
        </w:rPr>
        <w:t>, in the implementation of economic arrangements, two or more Member States may proceed first if other Member States are not ready to implement these arrangements; and</w:t>
      </w:r>
    </w:p>
    <w:p w:rsidR="00720F36" w:rsidRPr="008C7F26" w:rsidRDefault="00720F36" w:rsidP="00720F36">
      <w:pPr>
        <w:rPr>
          <w:lang w:val="en-SG"/>
        </w:rPr>
      </w:pPr>
      <w:r w:rsidRPr="0013025B">
        <w:rPr>
          <w:b/>
          <w:lang w:val="en-SG"/>
        </w:rPr>
        <w:t>DESIRING</w:t>
      </w:r>
      <w:r w:rsidRPr="008C7F26">
        <w:rPr>
          <w:lang w:val="en-SG"/>
        </w:rPr>
        <w:t xml:space="preserve"> to encourage and facilitate transit transport operations among the Contracting Parties;</w:t>
      </w:r>
    </w:p>
    <w:p w:rsidR="00720F36" w:rsidRPr="0013025B" w:rsidRDefault="00720F36" w:rsidP="00720F36">
      <w:pPr>
        <w:rPr>
          <w:b/>
          <w:lang w:val="en-SG"/>
        </w:rPr>
      </w:pPr>
      <w:r w:rsidRPr="0013025B">
        <w:rPr>
          <w:b/>
          <w:lang w:val="en-SG"/>
        </w:rPr>
        <w:t>HAVE AGREED AS FOLLOWS:</w:t>
      </w:r>
    </w:p>
    <w:p w:rsidR="00720F36" w:rsidRPr="008C7F26" w:rsidRDefault="00720F36" w:rsidP="00720F36">
      <w:pPr>
        <w:pStyle w:val="Heading1"/>
        <w:rPr>
          <w:lang w:val="en-SG"/>
        </w:rPr>
      </w:pPr>
      <w:r w:rsidRPr="008C7F26">
        <w:rPr>
          <w:lang w:val="en-SG"/>
        </w:rPr>
        <w:t xml:space="preserve"> </w:t>
      </w:r>
      <w:bookmarkStart w:id="0" w:name="_Toc470198101"/>
      <w:r w:rsidRPr="008C7F26">
        <w:rPr>
          <w:lang w:val="en-SG"/>
        </w:rPr>
        <w:t>Article 1 – Scope of Application</w:t>
      </w:r>
      <w:bookmarkEnd w:id="0"/>
    </w:p>
    <w:p w:rsidR="00720F36" w:rsidRPr="008C7F26" w:rsidRDefault="00720F36" w:rsidP="00720F36">
      <w:pPr>
        <w:rPr>
          <w:lang w:val="en-SG"/>
        </w:rPr>
      </w:pPr>
      <w:r w:rsidRPr="008C7F26">
        <w:rPr>
          <w:lang w:val="en-SG"/>
        </w:rPr>
        <w:t>Pursuant to Article 6.1 of the Agreement, the Contracting Parties hereby agree to apply the provisions of this Protocol to the road or highway transport routes as duly designated for the purpose of transit transport of goods in ASEAN.</w:t>
      </w:r>
    </w:p>
    <w:p w:rsidR="00720F36" w:rsidRPr="008C7F26" w:rsidRDefault="00720F36" w:rsidP="00720F36">
      <w:pPr>
        <w:pStyle w:val="Heading1"/>
        <w:rPr>
          <w:lang w:val="en-SG"/>
        </w:rPr>
      </w:pPr>
      <w:bookmarkStart w:id="1" w:name="_Toc470198102"/>
      <w:r w:rsidRPr="008C7F26">
        <w:rPr>
          <w:lang w:val="en-SG"/>
        </w:rPr>
        <w:t>Article 2 – Designation of Road or Highway Transit Transport Routes</w:t>
      </w:r>
      <w:bookmarkEnd w:id="1"/>
    </w:p>
    <w:p w:rsidR="0013025B" w:rsidRDefault="00720F36" w:rsidP="00720F36">
      <w:pPr>
        <w:pStyle w:val="ListParagraph"/>
        <w:numPr>
          <w:ilvl w:val="0"/>
          <w:numId w:val="40"/>
        </w:numPr>
        <w:rPr>
          <w:lang w:val="en-SG"/>
        </w:rPr>
      </w:pPr>
      <w:r w:rsidRPr="0013025B">
        <w:rPr>
          <w:lang w:val="en-SG"/>
        </w:rPr>
        <w:t xml:space="preserve">The Contracting Parties hereby agree to formalise the initial respective road or highway routes, as basis for the designation of transit transport routes for purpose of this Protocol, which are listed in the Annex to this Protocol. </w:t>
      </w:r>
    </w:p>
    <w:p w:rsidR="0013025B" w:rsidRDefault="0013025B" w:rsidP="0013025B">
      <w:pPr>
        <w:pStyle w:val="ListParagraph"/>
        <w:rPr>
          <w:lang w:val="en-SG"/>
        </w:rPr>
      </w:pPr>
    </w:p>
    <w:p w:rsidR="0013025B" w:rsidRDefault="00720F36" w:rsidP="00720F36">
      <w:pPr>
        <w:pStyle w:val="ListParagraph"/>
        <w:numPr>
          <w:ilvl w:val="0"/>
          <w:numId w:val="40"/>
        </w:numPr>
        <w:rPr>
          <w:lang w:val="en-SG"/>
        </w:rPr>
      </w:pPr>
      <w:r w:rsidRPr="0013025B">
        <w:rPr>
          <w:lang w:val="en-SG"/>
        </w:rPr>
        <w:t>The Contracting Parties shall affirm their designated road or highway transit transport routes at the time of the deposit of their Instruments of Ratification or Acceptance with the Secretary-General of ASEAN. The affirmation shall be with the mutual agreement of the immediate neighbouring Contracting Party or Parties.</w:t>
      </w:r>
    </w:p>
    <w:p w:rsidR="0013025B" w:rsidRPr="0013025B" w:rsidRDefault="0013025B" w:rsidP="0013025B">
      <w:pPr>
        <w:pStyle w:val="ListParagraph"/>
        <w:rPr>
          <w:lang w:val="en-SG"/>
        </w:rPr>
      </w:pPr>
    </w:p>
    <w:p w:rsidR="0013025B" w:rsidRDefault="00720F36" w:rsidP="00720F36">
      <w:pPr>
        <w:pStyle w:val="ListParagraph"/>
        <w:numPr>
          <w:ilvl w:val="0"/>
          <w:numId w:val="40"/>
        </w:numPr>
        <w:rPr>
          <w:lang w:val="en-SG"/>
        </w:rPr>
      </w:pPr>
      <w:r w:rsidRPr="0013025B">
        <w:rPr>
          <w:lang w:val="en-SG"/>
        </w:rPr>
        <w:t>The Contracting Parties may initiate proposals for the modification and/ or expansion of the regional transit transport network from time to time. Any proposed modifications/changes by one Contracting Party shall be with the mutual agreement of the immediate neighbouring Contracting Party or Parties. Subsequent amendments shall be deposited with the Secretary-General of ASEAN.</w:t>
      </w:r>
    </w:p>
    <w:p w:rsidR="0013025B" w:rsidRPr="0013025B" w:rsidRDefault="0013025B" w:rsidP="0013025B">
      <w:pPr>
        <w:pStyle w:val="ListParagraph"/>
        <w:rPr>
          <w:lang w:val="en-SG"/>
        </w:rPr>
      </w:pPr>
    </w:p>
    <w:p w:rsidR="00720F36" w:rsidRPr="0013025B" w:rsidRDefault="00720F36" w:rsidP="00720F36">
      <w:pPr>
        <w:pStyle w:val="ListParagraph"/>
        <w:numPr>
          <w:ilvl w:val="0"/>
          <w:numId w:val="40"/>
        </w:numPr>
        <w:rPr>
          <w:lang w:val="en-SG"/>
        </w:rPr>
      </w:pPr>
      <w:r w:rsidRPr="0013025B">
        <w:rPr>
          <w:lang w:val="en-SG"/>
        </w:rPr>
        <w:lastRenderedPageBreak/>
        <w:t>The designated road or highway transit transport routes established shall be without prejudice to any ongoing territorial claims between the Contracting Parties.</w:t>
      </w:r>
    </w:p>
    <w:p w:rsidR="00720F36" w:rsidRPr="008C7F26" w:rsidRDefault="00720F36" w:rsidP="00720F36">
      <w:pPr>
        <w:pStyle w:val="Heading1"/>
        <w:rPr>
          <w:lang w:val="en-SG"/>
        </w:rPr>
      </w:pPr>
      <w:r w:rsidRPr="008C7F26">
        <w:rPr>
          <w:lang w:val="en-SG"/>
        </w:rPr>
        <w:t xml:space="preserve"> </w:t>
      </w:r>
      <w:bookmarkStart w:id="2" w:name="_Toc470198103"/>
      <w:r w:rsidRPr="008C7F26">
        <w:rPr>
          <w:lang w:val="en-SG"/>
        </w:rPr>
        <w:t>Article 3 – Obligations</w:t>
      </w:r>
      <w:bookmarkEnd w:id="2"/>
    </w:p>
    <w:p w:rsidR="0013025B" w:rsidRDefault="00720F36" w:rsidP="00720F36">
      <w:pPr>
        <w:pStyle w:val="ListParagraph"/>
        <w:numPr>
          <w:ilvl w:val="0"/>
          <w:numId w:val="41"/>
        </w:numPr>
        <w:rPr>
          <w:lang w:val="en-SG"/>
        </w:rPr>
      </w:pPr>
      <w:r w:rsidRPr="0013025B">
        <w:rPr>
          <w:lang w:val="en-SG"/>
        </w:rPr>
        <w:t>The Contracting Parties, subject to their relevant national laws and regulations, hereby agree to authorise the unhindered access and movement of means of transport as specified in Protocol 4 of the Agreement, including persons and goods, in the duly designated road or highway transit transport routes under this Protocol.</w:t>
      </w:r>
    </w:p>
    <w:p w:rsidR="0013025B" w:rsidRDefault="0013025B" w:rsidP="0013025B">
      <w:pPr>
        <w:pStyle w:val="ListParagraph"/>
        <w:rPr>
          <w:lang w:val="en-SG"/>
        </w:rPr>
      </w:pPr>
    </w:p>
    <w:p w:rsidR="0013025B" w:rsidRDefault="00720F36" w:rsidP="00720F36">
      <w:pPr>
        <w:pStyle w:val="ListParagraph"/>
        <w:numPr>
          <w:ilvl w:val="0"/>
          <w:numId w:val="41"/>
        </w:numPr>
        <w:rPr>
          <w:lang w:val="en-SG"/>
        </w:rPr>
      </w:pPr>
      <w:r w:rsidRPr="0013025B">
        <w:rPr>
          <w:lang w:val="en-SG"/>
        </w:rPr>
        <w:t>The Contracting Parties hereby agree to adopt the minimum set of technical design standards and requirements under the Ministerial Understanding on the Development of the ASEAN Highway Network Project signed on 15 September 1999 in Hanoi, Vietnam.</w:t>
      </w:r>
    </w:p>
    <w:p w:rsidR="0013025B" w:rsidRPr="0013025B" w:rsidRDefault="0013025B" w:rsidP="0013025B">
      <w:pPr>
        <w:pStyle w:val="ListParagraph"/>
        <w:rPr>
          <w:lang w:val="en-SG"/>
        </w:rPr>
      </w:pPr>
    </w:p>
    <w:p w:rsidR="0013025B" w:rsidRDefault="00720F36" w:rsidP="00720F36">
      <w:pPr>
        <w:pStyle w:val="ListParagraph"/>
        <w:numPr>
          <w:ilvl w:val="0"/>
          <w:numId w:val="41"/>
        </w:numPr>
        <w:rPr>
          <w:lang w:val="en-SG"/>
        </w:rPr>
      </w:pPr>
      <w:bookmarkStart w:id="3" w:name="_GoBack"/>
      <w:bookmarkEnd w:id="3"/>
      <w:r w:rsidRPr="0013025B">
        <w:rPr>
          <w:lang w:val="en-SG"/>
        </w:rPr>
        <w:t>The Contracting Parties shall endeavour to provide vehicle rest areas on their designated road or highway transit transport routes at appropriate intervals.</w:t>
      </w:r>
    </w:p>
    <w:p w:rsidR="0013025B" w:rsidRPr="0013025B" w:rsidRDefault="0013025B" w:rsidP="0013025B">
      <w:pPr>
        <w:pStyle w:val="ListParagraph"/>
        <w:rPr>
          <w:lang w:val="en-SG"/>
        </w:rPr>
      </w:pPr>
    </w:p>
    <w:p w:rsidR="00720F36" w:rsidRPr="0013025B" w:rsidRDefault="00720F36" w:rsidP="00720F36">
      <w:pPr>
        <w:pStyle w:val="ListParagraph"/>
        <w:numPr>
          <w:ilvl w:val="0"/>
          <w:numId w:val="41"/>
        </w:numPr>
        <w:rPr>
          <w:lang w:val="en-SG"/>
        </w:rPr>
      </w:pPr>
      <w:r w:rsidRPr="0013025B">
        <w:rPr>
          <w:lang w:val="en-SG"/>
        </w:rPr>
        <w:t xml:space="preserve">The Contracting Parties shall endeavour to provide adequate parking space for containers and for road vehicles awaiting goods clearance at duly designated frontier posts at border points as may </w:t>
      </w:r>
      <w:r w:rsidR="008C7F26" w:rsidRPr="0013025B">
        <w:rPr>
          <w:i/>
          <w:lang w:val="en-SG"/>
        </w:rPr>
        <w:t xml:space="preserve">(sic) </w:t>
      </w:r>
      <w:r w:rsidRPr="0013025B">
        <w:rPr>
          <w:lang w:val="en-SG"/>
        </w:rPr>
        <w:t>specified in Protocol 2 of the Agreement.</w:t>
      </w:r>
    </w:p>
    <w:p w:rsidR="00720F36" w:rsidRPr="008C7F26" w:rsidRDefault="00720F36" w:rsidP="00720F36">
      <w:pPr>
        <w:pStyle w:val="Heading1"/>
        <w:rPr>
          <w:lang w:val="en-SG"/>
        </w:rPr>
      </w:pPr>
      <w:bookmarkStart w:id="4" w:name="_Toc470198104"/>
      <w:r w:rsidRPr="008C7F26">
        <w:rPr>
          <w:lang w:val="en-SG"/>
        </w:rPr>
        <w:t>Article 4 – Institutional Arrangements</w:t>
      </w:r>
      <w:bookmarkEnd w:id="4"/>
    </w:p>
    <w:p w:rsidR="0013025B" w:rsidRDefault="00720F36" w:rsidP="00720F36">
      <w:pPr>
        <w:pStyle w:val="ListParagraph"/>
        <w:numPr>
          <w:ilvl w:val="0"/>
          <w:numId w:val="42"/>
        </w:numPr>
        <w:rPr>
          <w:lang w:val="en-SG"/>
        </w:rPr>
      </w:pPr>
      <w:r w:rsidRPr="0013025B">
        <w:rPr>
          <w:lang w:val="en-SG"/>
        </w:rPr>
        <w:t>The ASEAN Senior Transport Officials Meeting shall be the responsible body for the monitoring, review, coordination and supervision of all aspects relating to the effective implementation of this Protocol.</w:t>
      </w:r>
    </w:p>
    <w:p w:rsidR="0013025B" w:rsidRDefault="0013025B" w:rsidP="0013025B">
      <w:pPr>
        <w:pStyle w:val="ListParagraph"/>
        <w:rPr>
          <w:lang w:val="en-SG"/>
        </w:rPr>
      </w:pPr>
    </w:p>
    <w:p w:rsidR="0013025B" w:rsidRDefault="00720F36" w:rsidP="00720F36">
      <w:pPr>
        <w:pStyle w:val="ListParagraph"/>
        <w:numPr>
          <w:ilvl w:val="0"/>
          <w:numId w:val="42"/>
        </w:numPr>
        <w:rPr>
          <w:lang w:val="en-SG"/>
        </w:rPr>
      </w:pPr>
      <w:r w:rsidRPr="0013025B">
        <w:rPr>
          <w:lang w:val="en-SG"/>
        </w:rPr>
        <w:t>The ASEAN Senior Transport Officials Meeting shall submit, through the ASEAN Secretariat, regular reports of the progress of implementation of this Protocol to the Transit Transport Coordinating Board established pursuant to Article 29.2 of the Agreement, for further action.</w:t>
      </w:r>
    </w:p>
    <w:p w:rsidR="0013025B" w:rsidRPr="0013025B" w:rsidRDefault="0013025B" w:rsidP="0013025B">
      <w:pPr>
        <w:pStyle w:val="ListParagraph"/>
        <w:rPr>
          <w:lang w:val="en-SG"/>
        </w:rPr>
      </w:pPr>
    </w:p>
    <w:p w:rsidR="00720F36" w:rsidRPr="0013025B" w:rsidRDefault="00720F36" w:rsidP="00720F36">
      <w:pPr>
        <w:pStyle w:val="ListParagraph"/>
        <w:numPr>
          <w:ilvl w:val="0"/>
          <w:numId w:val="42"/>
        </w:numPr>
        <w:rPr>
          <w:lang w:val="en-SG"/>
        </w:rPr>
      </w:pPr>
      <w:r w:rsidRPr="0013025B">
        <w:rPr>
          <w:lang w:val="en-SG"/>
        </w:rPr>
        <w:t>The ASEAN Secretariat shall provide the necessary technical support and assistance to the ASEAN Senior Transport Officials Meeting in its functions and responsibilities under this Protocol.</w:t>
      </w:r>
    </w:p>
    <w:p w:rsidR="00720F36" w:rsidRPr="008C7F26" w:rsidRDefault="00720F36" w:rsidP="00720F36">
      <w:pPr>
        <w:pStyle w:val="Heading1"/>
        <w:rPr>
          <w:lang w:val="en-SG"/>
        </w:rPr>
      </w:pPr>
      <w:bookmarkStart w:id="5" w:name="_Toc470198105"/>
      <w:r w:rsidRPr="008C7F26">
        <w:rPr>
          <w:lang w:val="en-SG"/>
        </w:rPr>
        <w:t>Article 5 – Final Provisions</w:t>
      </w:r>
      <w:bookmarkEnd w:id="5"/>
    </w:p>
    <w:p w:rsidR="0013025B" w:rsidRDefault="00720F36" w:rsidP="00720F36">
      <w:pPr>
        <w:pStyle w:val="ListParagraph"/>
        <w:numPr>
          <w:ilvl w:val="0"/>
          <w:numId w:val="43"/>
        </w:numPr>
        <w:rPr>
          <w:lang w:val="en-SG"/>
        </w:rPr>
      </w:pPr>
      <w:r w:rsidRPr="0013025B">
        <w:rPr>
          <w:lang w:val="en-SG"/>
        </w:rPr>
        <w:t>This Protocol shall be deposited with the Secretary-General of ASEAN who shall promptly furnish a certified copy th</w:t>
      </w:r>
      <w:r w:rsidR="0013025B">
        <w:rPr>
          <w:lang w:val="en-SG"/>
        </w:rPr>
        <w:t>ereof to each Contracting Party.</w:t>
      </w:r>
    </w:p>
    <w:p w:rsidR="0013025B" w:rsidRDefault="0013025B" w:rsidP="0013025B">
      <w:pPr>
        <w:pStyle w:val="ListParagraph"/>
        <w:rPr>
          <w:lang w:val="en-SG"/>
        </w:rPr>
      </w:pPr>
    </w:p>
    <w:p w:rsidR="0013025B" w:rsidRDefault="00720F36" w:rsidP="00720F36">
      <w:pPr>
        <w:pStyle w:val="ListParagraph"/>
        <w:numPr>
          <w:ilvl w:val="0"/>
          <w:numId w:val="43"/>
        </w:numPr>
        <w:rPr>
          <w:lang w:val="en-SG"/>
        </w:rPr>
      </w:pPr>
      <w:r w:rsidRPr="0013025B">
        <w:rPr>
          <w:lang w:val="en-SG"/>
        </w:rPr>
        <w:t>This Protocol shall form an integral part of the Agreement.</w:t>
      </w:r>
    </w:p>
    <w:p w:rsidR="0013025B" w:rsidRPr="0013025B" w:rsidRDefault="0013025B" w:rsidP="0013025B">
      <w:pPr>
        <w:pStyle w:val="ListParagraph"/>
        <w:rPr>
          <w:lang w:val="en-SG"/>
        </w:rPr>
      </w:pPr>
    </w:p>
    <w:p w:rsidR="0013025B" w:rsidRDefault="00720F36" w:rsidP="00720F36">
      <w:pPr>
        <w:pStyle w:val="ListParagraph"/>
        <w:numPr>
          <w:ilvl w:val="0"/>
          <w:numId w:val="43"/>
        </w:numPr>
        <w:rPr>
          <w:lang w:val="en-SG"/>
        </w:rPr>
      </w:pPr>
      <w:r w:rsidRPr="0013025B">
        <w:rPr>
          <w:lang w:val="en-SG"/>
        </w:rPr>
        <w:t>This Protocol is subject to ratification or acceptance by the Contracting Parties. The Instruments of Ratification or Acceptance, including the affirmation of their designated road or highway transit transport routes, shall be deposited with the Secretary–General of ASEAN who shall promptly inform each Contracting Party of such deposit. The affirmation or designation, as the case may be, of the transit transport route(s) and subsequent changes or modifications to such route(s) shall be accompanied by supporting documents showing the mutual agreement of the immediate neighbouring Contracting Party or Parties.</w:t>
      </w:r>
    </w:p>
    <w:p w:rsidR="0013025B" w:rsidRPr="0013025B" w:rsidRDefault="0013025B" w:rsidP="0013025B">
      <w:pPr>
        <w:pStyle w:val="ListParagraph"/>
        <w:rPr>
          <w:lang w:val="en-SG"/>
        </w:rPr>
      </w:pPr>
    </w:p>
    <w:p w:rsidR="0013025B" w:rsidRDefault="00720F36" w:rsidP="0013025B">
      <w:pPr>
        <w:pStyle w:val="ListParagraph"/>
        <w:numPr>
          <w:ilvl w:val="0"/>
          <w:numId w:val="43"/>
        </w:numPr>
        <w:rPr>
          <w:lang w:val="en-SG"/>
        </w:rPr>
      </w:pPr>
      <w:r w:rsidRPr="0013025B">
        <w:rPr>
          <w:lang w:val="en-SG"/>
        </w:rPr>
        <w:t xml:space="preserve">This Protocol shall enter into force on the sixtieth day after the deposit of the sixth Instrument of Ratification or Acceptance, and shall become effective only among the Contracting Parties </w:t>
      </w:r>
      <w:r w:rsidRPr="0013025B">
        <w:rPr>
          <w:lang w:val="en-SG"/>
        </w:rPr>
        <w:lastRenderedPageBreak/>
        <w:t>that have ratified or accepted it. For each Contracting Party ratifying or accepting to the Protocol after the deposit of the sixth Instrument of Ratification or Acceptance, the Protocol shall enter into force on the sixtieth day after the deposit of such Contracting Party of its Instrument of Ratification or Acceptance.</w:t>
      </w:r>
    </w:p>
    <w:p w:rsidR="0013025B" w:rsidRPr="0013025B" w:rsidRDefault="0013025B" w:rsidP="0013025B">
      <w:pPr>
        <w:pStyle w:val="ListParagraph"/>
        <w:rPr>
          <w:lang w:val="en-SG"/>
        </w:rPr>
      </w:pPr>
    </w:p>
    <w:p w:rsidR="00720F36" w:rsidRPr="0013025B" w:rsidRDefault="00720F36" w:rsidP="0013025B">
      <w:pPr>
        <w:pStyle w:val="ListParagraph"/>
        <w:numPr>
          <w:ilvl w:val="0"/>
          <w:numId w:val="43"/>
        </w:numPr>
        <w:rPr>
          <w:lang w:val="en-SG"/>
        </w:rPr>
      </w:pPr>
      <w:r w:rsidRPr="0013025B">
        <w:rPr>
          <w:lang w:val="en-SG"/>
        </w:rPr>
        <w:t>Any amendment to the provisions of this Protocol shall be effected by consent of all the Contracting Parties.</w:t>
      </w:r>
    </w:p>
    <w:p w:rsidR="00720F36" w:rsidRPr="008C7F26" w:rsidRDefault="00720F36" w:rsidP="008C7F26">
      <w:pPr>
        <w:spacing w:before="120"/>
        <w:rPr>
          <w:lang w:val="en-SG"/>
        </w:rPr>
      </w:pPr>
      <w:r w:rsidRPr="0013025B">
        <w:rPr>
          <w:b/>
          <w:lang w:val="en-SG"/>
        </w:rPr>
        <w:t>IN WITNESS WHEREOF</w:t>
      </w:r>
      <w:r w:rsidRPr="008C7F26">
        <w:rPr>
          <w:lang w:val="en-SG"/>
        </w:rPr>
        <w:t>, the undersigned, being duly authorised to sign by their respective Governments, have signed Protocol 1 – Designation of Transit Transport Routes and Facilities to implement the ASEAN Framework Agreement on the Facilitation of Goods in Transit.</w:t>
      </w:r>
    </w:p>
    <w:p w:rsidR="0013025B" w:rsidRDefault="00720F36" w:rsidP="008C7F26">
      <w:pPr>
        <w:spacing w:before="120"/>
        <w:rPr>
          <w:lang w:val="en-SG"/>
        </w:rPr>
      </w:pPr>
      <w:r w:rsidRPr="0013025B">
        <w:rPr>
          <w:b/>
          <w:lang w:val="en-SG"/>
        </w:rPr>
        <w:t>DONE</w:t>
      </w:r>
      <w:r w:rsidRPr="008C7F26">
        <w:rPr>
          <w:lang w:val="en-SG"/>
        </w:rPr>
        <w:t xml:space="preserve"> at Bangkok, Thailand, this Eighth Day of February in the Year Two Thousand and Seven, in a single original copy in the English language.</w:t>
      </w:r>
    </w:p>
    <w:p w:rsidR="0013025B" w:rsidRPr="008C7F26" w:rsidRDefault="0013025B" w:rsidP="008C7F26">
      <w:pPr>
        <w:spacing w:before="120"/>
        <w:rPr>
          <w:lang w:val="en-SG"/>
        </w:rPr>
      </w:pPr>
    </w:p>
    <w:p w:rsidR="00720F36" w:rsidRPr="008C7F26" w:rsidRDefault="00720F36" w:rsidP="008C7F26">
      <w:pPr>
        <w:spacing w:before="0" w:after="0"/>
        <w:jc w:val="center"/>
        <w:rPr>
          <w:lang w:val="en-SG"/>
        </w:rPr>
      </w:pPr>
      <w:r w:rsidRPr="008C7F26">
        <w:rPr>
          <w:lang w:val="en-SG"/>
        </w:rPr>
        <w:t>For Brunei Darussalam:</w:t>
      </w:r>
    </w:p>
    <w:p w:rsidR="00720F36" w:rsidRPr="008C7F26" w:rsidRDefault="00720F36" w:rsidP="008C7F26">
      <w:pPr>
        <w:spacing w:before="0" w:after="0"/>
        <w:jc w:val="center"/>
        <w:rPr>
          <w:b/>
          <w:lang w:val="en-SG"/>
        </w:rPr>
      </w:pPr>
      <w:r w:rsidRPr="008C7F26">
        <w:rPr>
          <w:b/>
          <w:lang w:val="en-SG"/>
        </w:rPr>
        <w:t>PEHIN DATO ABU BAKAR APONG</w:t>
      </w:r>
    </w:p>
    <w:p w:rsidR="00720F36" w:rsidRPr="008C7F26" w:rsidRDefault="00720F36" w:rsidP="008C7F26">
      <w:pPr>
        <w:spacing w:before="0" w:after="0"/>
        <w:jc w:val="center"/>
        <w:rPr>
          <w:lang w:val="en-SG"/>
        </w:rPr>
      </w:pPr>
      <w:r w:rsidRPr="008C7F26">
        <w:rPr>
          <w:lang w:val="en-SG"/>
        </w:rPr>
        <w:t>Minister of Communications</w:t>
      </w:r>
    </w:p>
    <w:p w:rsidR="00720F36" w:rsidRPr="008C7F26" w:rsidRDefault="00720F36" w:rsidP="008C7F26">
      <w:pPr>
        <w:spacing w:before="0" w:after="0"/>
        <w:jc w:val="center"/>
        <w:rPr>
          <w:lang w:val="en-SG"/>
        </w:rPr>
      </w:pPr>
    </w:p>
    <w:p w:rsidR="00720F36" w:rsidRPr="008C7F26" w:rsidRDefault="00720F36" w:rsidP="008C7F26">
      <w:pPr>
        <w:spacing w:before="0" w:after="0"/>
        <w:jc w:val="center"/>
        <w:rPr>
          <w:lang w:val="en-SG"/>
        </w:rPr>
      </w:pPr>
      <w:r w:rsidRPr="008C7F26">
        <w:rPr>
          <w:lang w:val="en-SG"/>
        </w:rPr>
        <w:t>For the Kingdom of Cambodia:</w:t>
      </w:r>
    </w:p>
    <w:p w:rsidR="00720F36" w:rsidRPr="008C7F26" w:rsidRDefault="00720F36" w:rsidP="008C7F26">
      <w:pPr>
        <w:spacing w:before="0" w:after="0"/>
        <w:jc w:val="center"/>
        <w:rPr>
          <w:b/>
          <w:lang w:val="en-SG"/>
        </w:rPr>
      </w:pPr>
      <w:r w:rsidRPr="008C7F26">
        <w:rPr>
          <w:b/>
          <w:lang w:val="en-SG"/>
        </w:rPr>
        <w:t>SUN CHANTHOL</w:t>
      </w:r>
    </w:p>
    <w:p w:rsidR="00720F36" w:rsidRPr="008C7F26" w:rsidRDefault="00720F36" w:rsidP="008C7F26">
      <w:pPr>
        <w:spacing w:before="0" w:after="0"/>
        <w:jc w:val="center"/>
        <w:rPr>
          <w:lang w:val="en-SG"/>
        </w:rPr>
      </w:pPr>
      <w:r w:rsidRPr="008C7F26">
        <w:rPr>
          <w:lang w:val="en-SG"/>
        </w:rPr>
        <w:t>Minister of Public Works and Transport</w:t>
      </w:r>
    </w:p>
    <w:p w:rsidR="00720F36" w:rsidRPr="008C7F26" w:rsidRDefault="00720F36" w:rsidP="008C7F26">
      <w:pPr>
        <w:spacing w:before="0" w:after="0"/>
        <w:jc w:val="center"/>
        <w:rPr>
          <w:lang w:val="en-SG"/>
        </w:rPr>
      </w:pPr>
    </w:p>
    <w:p w:rsidR="00720F36" w:rsidRPr="008C7F26" w:rsidRDefault="00720F36" w:rsidP="008C7F26">
      <w:pPr>
        <w:spacing w:before="0" w:after="0"/>
        <w:jc w:val="center"/>
        <w:rPr>
          <w:lang w:val="en-SG"/>
        </w:rPr>
      </w:pPr>
      <w:r w:rsidRPr="008C7F26">
        <w:rPr>
          <w:lang w:val="en-SG"/>
        </w:rPr>
        <w:t>For the Republic of Indonesia:</w:t>
      </w:r>
    </w:p>
    <w:p w:rsidR="00720F36" w:rsidRPr="008C7F26" w:rsidRDefault="00720F36" w:rsidP="008C7F26">
      <w:pPr>
        <w:spacing w:before="0" w:after="0"/>
        <w:jc w:val="center"/>
        <w:rPr>
          <w:b/>
          <w:lang w:val="en-SG"/>
        </w:rPr>
      </w:pPr>
      <w:r w:rsidRPr="008C7F26">
        <w:rPr>
          <w:b/>
          <w:lang w:val="en-SG"/>
        </w:rPr>
        <w:t>WENDY ARITENANG</w:t>
      </w:r>
    </w:p>
    <w:p w:rsidR="00720F36" w:rsidRPr="008C7F26" w:rsidRDefault="00720F36" w:rsidP="008C7F26">
      <w:pPr>
        <w:spacing w:before="0" w:after="0"/>
        <w:jc w:val="center"/>
        <w:rPr>
          <w:lang w:val="en-SG"/>
        </w:rPr>
      </w:pPr>
      <w:r w:rsidRPr="008C7F26">
        <w:rPr>
          <w:lang w:val="en-SG"/>
        </w:rPr>
        <w:t>Secretary General</w:t>
      </w:r>
    </w:p>
    <w:p w:rsidR="00720F36" w:rsidRPr="008C7F26" w:rsidRDefault="00720F36" w:rsidP="008C7F26">
      <w:pPr>
        <w:spacing w:before="0" w:after="0"/>
        <w:jc w:val="center"/>
        <w:rPr>
          <w:lang w:val="en-SG"/>
        </w:rPr>
      </w:pPr>
      <w:r w:rsidRPr="008C7F26">
        <w:rPr>
          <w:lang w:val="en-SG"/>
        </w:rPr>
        <w:t>Ministry of Transportation</w:t>
      </w:r>
    </w:p>
    <w:p w:rsidR="00720F36" w:rsidRPr="008C7F26" w:rsidRDefault="00720F36" w:rsidP="008C7F26">
      <w:pPr>
        <w:spacing w:before="0" w:after="0"/>
        <w:jc w:val="center"/>
        <w:rPr>
          <w:lang w:val="en-SG"/>
        </w:rPr>
      </w:pPr>
    </w:p>
    <w:p w:rsidR="00720F36" w:rsidRPr="008C7F26" w:rsidRDefault="00720F36" w:rsidP="008C7F26">
      <w:pPr>
        <w:spacing w:before="0" w:after="0"/>
        <w:jc w:val="center"/>
        <w:rPr>
          <w:lang w:val="en-SG"/>
        </w:rPr>
      </w:pPr>
      <w:r w:rsidRPr="008C7F26">
        <w:rPr>
          <w:lang w:val="en-SG"/>
        </w:rPr>
        <w:t>For the Lao People’s Democratic Republic:</w:t>
      </w:r>
    </w:p>
    <w:p w:rsidR="00720F36" w:rsidRPr="008C7F26" w:rsidRDefault="00720F36" w:rsidP="008C7F26">
      <w:pPr>
        <w:spacing w:before="0" w:after="0"/>
        <w:jc w:val="center"/>
        <w:rPr>
          <w:b/>
          <w:lang w:val="en-SG"/>
        </w:rPr>
      </w:pPr>
      <w:r w:rsidRPr="008C7F26">
        <w:rPr>
          <w:b/>
          <w:lang w:val="en-SG"/>
        </w:rPr>
        <w:t>SOMMAD PHOLSENA</w:t>
      </w:r>
    </w:p>
    <w:p w:rsidR="00720F36" w:rsidRPr="008C7F26" w:rsidRDefault="00720F36" w:rsidP="008C7F26">
      <w:pPr>
        <w:spacing w:before="0" w:after="0"/>
        <w:jc w:val="center"/>
        <w:rPr>
          <w:lang w:val="en-SG"/>
        </w:rPr>
      </w:pPr>
      <w:r w:rsidRPr="008C7F26">
        <w:rPr>
          <w:lang w:val="en-SG"/>
        </w:rPr>
        <w:t>Minister of Communication, Transport, Post and Construction</w:t>
      </w:r>
    </w:p>
    <w:p w:rsidR="00720F36" w:rsidRPr="008C7F26" w:rsidRDefault="00720F36" w:rsidP="008C7F26">
      <w:pPr>
        <w:spacing w:before="0" w:after="0"/>
        <w:jc w:val="center"/>
        <w:rPr>
          <w:lang w:val="en-SG"/>
        </w:rPr>
      </w:pPr>
    </w:p>
    <w:p w:rsidR="00720F36" w:rsidRPr="008C7F26" w:rsidRDefault="00720F36" w:rsidP="008C7F26">
      <w:pPr>
        <w:spacing w:before="0" w:after="0"/>
        <w:jc w:val="center"/>
        <w:rPr>
          <w:lang w:val="en-SG"/>
        </w:rPr>
      </w:pPr>
      <w:r w:rsidRPr="008C7F26">
        <w:rPr>
          <w:lang w:val="en-SG"/>
        </w:rPr>
        <w:t>For Malaysia:</w:t>
      </w:r>
    </w:p>
    <w:p w:rsidR="00720F36" w:rsidRPr="008C7F26" w:rsidRDefault="00720F36" w:rsidP="008C7F26">
      <w:pPr>
        <w:spacing w:before="0" w:after="0"/>
        <w:jc w:val="center"/>
        <w:rPr>
          <w:b/>
          <w:lang w:val="en-SG"/>
        </w:rPr>
      </w:pPr>
      <w:r w:rsidRPr="008C7F26">
        <w:rPr>
          <w:b/>
          <w:lang w:val="en-SG"/>
        </w:rPr>
        <w:t>DATO’ SRI CHAN KONG CHOY</w:t>
      </w:r>
    </w:p>
    <w:p w:rsidR="00720F36" w:rsidRPr="008C7F26" w:rsidRDefault="00720F36" w:rsidP="008C7F26">
      <w:pPr>
        <w:spacing w:before="0" w:after="0"/>
        <w:jc w:val="center"/>
        <w:rPr>
          <w:lang w:val="en-SG"/>
        </w:rPr>
      </w:pPr>
      <w:r w:rsidRPr="008C7F26">
        <w:rPr>
          <w:lang w:val="en-SG"/>
        </w:rPr>
        <w:t>Minister of Transport</w:t>
      </w:r>
    </w:p>
    <w:p w:rsidR="008C7F26" w:rsidRDefault="008C7F26" w:rsidP="008C7F26">
      <w:pPr>
        <w:spacing w:before="0" w:after="0"/>
        <w:jc w:val="center"/>
        <w:rPr>
          <w:lang w:val="en-SG"/>
        </w:rPr>
      </w:pPr>
    </w:p>
    <w:p w:rsidR="00720F36" w:rsidRPr="008C7F26" w:rsidRDefault="00720F36" w:rsidP="008C7F26">
      <w:pPr>
        <w:spacing w:before="0" w:after="0"/>
        <w:jc w:val="center"/>
        <w:rPr>
          <w:lang w:val="en-SG"/>
        </w:rPr>
      </w:pPr>
      <w:r w:rsidRPr="008C7F26">
        <w:rPr>
          <w:lang w:val="en-SG"/>
        </w:rPr>
        <w:t>For the Union of Myanmar:</w:t>
      </w:r>
    </w:p>
    <w:p w:rsidR="00720F36" w:rsidRPr="008C7F26" w:rsidRDefault="00720F36" w:rsidP="008C7F26">
      <w:pPr>
        <w:spacing w:before="0" w:after="0"/>
        <w:jc w:val="center"/>
        <w:rPr>
          <w:b/>
          <w:lang w:val="en-SG"/>
        </w:rPr>
      </w:pPr>
      <w:r w:rsidRPr="008C7F26">
        <w:rPr>
          <w:b/>
          <w:lang w:val="en-SG"/>
        </w:rPr>
        <w:t>MAJOR GENERAL THEIN SWE</w:t>
      </w:r>
    </w:p>
    <w:p w:rsidR="00720F36" w:rsidRPr="008C7F26" w:rsidRDefault="00720F36" w:rsidP="008C7F26">
      <w:pPr>
        <w:spacing w:before="0" w:after="0"/>
        <w:jc w:val="center"/>
        <w:rPr>
          <w:lang w:val="en-SG"/>
        </w:rPr>
      </w:pPr>
      <w:r w:rsidRPr="008C7F26">
        <w:rPr>
          <w:lang w:val="en-SG"/>
        </w:rPr>
        <w:t>Minister for Transport</w:t>
      </w:r>
    </w:p>
    <w:p w:rsidR="00720F36" w:rsidRPr="008C7F26" w:rsidRDefault="00720F36" w:rsidP="008C7F26">
      <w:pPr>
        <w:spacing w:before="0" w:after="0"/>
        <w:jc w:val="center"/>
        <w:rPr>
          <w:lang w:val="en-SG"/>
        </w:rPr>
      </w:pPr>
    </w:p>
    <w:p w:rsidR="00720F36" w:rsidRPr="008C7F26" w:rsidRDefault="00720F36" w:rsidP="008C7F26">
      <w:pPr>
        <w:spacing w:before="0" w:after="0"/>
        <w:jc w:val="center"/>
        <w:rPr>
          <w:lang w:val="en-SG"/>
        </w:rPr>
      </w:pPr>
      <w:r w:rsidRPr="008C7F26">
        <w:rPr>
          <w:lang w:val="en-SG"/>
        </w:rPr>
        <w:t>For the Republic of the Philippines:</w:t>
      </w:r>
    </w:p>
    <w:p w:rsidR="00720F36" w:rsidRPr="008C7F26" w:rsidRDefault="00720F36" w:rsidP="008C7F26">
      <w:pPr>
        <w:spacing w:before="0" w:after="0"/>
        <w:jc w:val="center"/>
        <w:rPr>
          <w:b/>
          <w:lang w:val="en-SG"/>
        </w:rPr>
      </w:pPr>
      <w:r w:rsidRPr="008C7F26">
        <w:rPr>
          <w:b/>
          <w:lang w:val="en-SG"/>
        </w:rPr>
        <w:t>ANNELI R. LONTOC</w:t>
      </w:r>
    </w:p>
    <w:p w:rsidR="00720F36" w:rsidRPr="008C7F26" w:rsidRDefault="00720F36" w:rsidP="008C7F26">
      <w:pPr>
        <w:spacing w:before="0" w:after="0"/>
        <w:jc w:val="center"/>
        <w:rPr>
          <w:lang w:val="en-SG"/>
        </w:rPr>
      </w:pPr>
      <w:r w:rsidRPr="008C7F26">
        <w:rPr>
          <w:lang w:val="en-SG"/>
        </w:rPr>
        <w:t>Undersecretary for Road Transport</w:t>
      </w:r>
    </w:p>
    <w:p w:rsidR="00720F36" w:rsidRPr="008C7F26" w:rsidRDefault="00720F36" w:rsidP="008C7F26">
      <w:pPr>
        <w:spacing w:before="0" w:after="0"/>
        <w:jc w:val="center"/>
        <w:rPr>
          <w:lang w:val="en-SG"/>
        </w:rPr>
      </w:pPr>
      <w:r w:rsidRPr="008C7F26">
        <w:rPr>
          <w:lang w:val="en-SG"/>
        </w:rPr>
        <w:t>Department of Transportation and Communications</w:t>
      </w:r>
    </w:p>
    <w:p w:rsidR="00720F36" w:rsidRPr="008C7F26" w:rsidRDefault="00720F36" w:rsidP="008C7F26">
      <w:pPr>
        <w:spacing w:before="0" w:after="0"/>
        <w:jc w:val="center"/>
        <w:rPr>
          <w:lang w:val="en-SG"/>
        </w:rPr>
      </w:pPr>
    </w:p>
    <w:p w:rsidR="00720F36" w:rsidRPr="008C7F26" w:rsidRDefault="00720F36" w:rsidP="008C7F26">
      <w:pPr>
        <w:spacing w:before="0" w:after="0"/>
        <w:jc w:val="center"/>
        <w:rPr>
          <w:lang w:val="en-SG"/>
        </w:rPr>
      </w:pPr>
      <w:r w:rsidRPr="008C7F26">
        <w:rPr>
          <w:lang w:val="en-SG"/>
        </w:rPr>
        <w:t>For the Republic of Singapore:</w:t>
      </w:r>
    </w:p>
    <w:p w:rsidR="00720F36" w:rsidRPr="008C7F26" w:rsidRDefault="00720F36" w:rsidP="008C7F26">
      <w:pPr>
        <w:spacing w:before="0" w:after="0"/>
        <w:jc w:val="center"/>
        <w:rPr>
          <w:b/>
          <w:lang w:val="en-SG"/>
        </w:rPr>
      </w:pPr>
      <w:r w:rsidRPr="008C7F26">
        <w:rPr>
          <w:b/>
          <w:lang w:val="en-SG"/>
        </w:rPr>
        <w:t>RAYMOND LIM</w:t>
      </w:r>
    </w:p>
    <w:p w:rsidR="00720F36" w:rsidRPr="008C7F26" w:rsidRDefault="00720F36" w:rsidP="008C7F26">
      <w:pPr>
        <w:spacing w:before="0" w:after="0"/>
        <w:jc w:val="center"/>
        <w:rPr>
          <w:lang w:val="en-SG"/>
        </w:rPr>
      </w:pPr>
      <w:r w:rsidRPr="008C7F26">
        <w:rPr>
          <w:lang w:val="en-SG"/>
        </w:rPr>
        <w:t>Minister for Transport</w:t>
      </w:r>
    </w:p>
    <w:p w:rsidR="00720F36" w:rsidRPr="008C7F26" w:rsidRDefault="00720F36" w:rsidP="008C7F26">
      <w:pPr>
        <w:spacing w:before="0" w:after="0"/>
        <w:jc w:val="center"/>
        <w:rPr>
          <w:lang w:val="en-SG"/>
        </w:rPr>
      </w:pPr>
    </w:p>
    <w:p w:rsidR="00720F36" w:rsidRPr="008C7F26" w:rsidRDefault="00720F36" w:rsidP="008C7F26">
      <w:pPr>
        <w:spacing w:before="0" w:after="0"/>
        <w:jc w:val="center"/>
        <w:rPr>
          <w:lang w:val="en-SG"/>
        </w:rPr>
      </w:pPr>
      <w:r w:rsidRPr="008C7F26">
        <w:rPr>
          <w:lang w:val="en-SG"/>
        </w:rPr>
        <w:t>For the Kingdom of Thailand:</w:t>
      </w:r>
    </w:p>
    <w:p w:rsidR="00720F36" w:rsidRPr="008C7F26" w:rsidRDefault="00720F36" w:rsidP="008C7F26">
      <w:pPr>
        <w:spacing w:before="0" w:after="0"/>
        <w:jc w:val="center"/>
        <w:rPr>
          <w:b/>
          <w:lang w:val="en-SG"/>
        </w:rPr>
      </w:pPr>
      <w:r w:rsidRPr="008C7F26">
        <w:rPr>
          <w:b/>
          <w:lang w:val="en-SG"/>
        </w:rPr>
        <w:t>ADMIRAL THIRA HAO-CHAROEN</w:t>
      </w:r>
    </w:p>
    <w:p w:rsidR="00720F36" w:rsidRPr="008C7F26" w:rsidRDefault="00720F36" w:rsidP="008C7F26">
      <w:pPr>
        <w:spacing w:before="0" w:after="0"/>
        <w:jc w:val="center"/>
        <w:rPr>
          <w:lang w:val="en-SG"/>
        </w:rPr>
      </w:pPr>
      <w:r w:rsidRPr="008C7F26">
        <w:rPr>
          <w:lang w:val="en-SG"/>
        </w:rPr>
        <w:t>Minister for Transport</w:t>
      </w:r>
    </w:p>
    <w:p w:rsidR="00720F36" w:rsidRPr="008C7F26" w:rsidRDefault="00720F36" w:rsidP="008C7F26">
      <w:pPr>
        <w:spacing w:before="0" w:after="0"/>
        <w:jc w:val="center"/>
        <w:rPr>
          <w:lang w:val="en-SG"/>
        </w:rPr>
      </w:pPr>
    </w:p>
    <w:p w:rsidR="00720F36" w:rsidRPr="008C7F26" w:rsidRDefault="00720F36" w:rsidP="008C7F26">
      <w:pPr>
        <w:spacing w:before="0" w:after="0"/>
        <w:jc w:val="center"/>
        <w:rPr>
          <w:lang w:val="en-SG"/>
        </w:rPr>
      </w:pPr>
      <w:r w:rsidRPr="008C7F26">
        <w:rPr>
          <w:lang w:val="en-SG"/>
        </w:rPr>
        <w:lastRenderedPageBreak/>
        <w:t>For the Socialist Republic of Viet Nam:</w:t>
      </w:r>
    </w:p>
    <w:p w:rsidR="00720F36" w:rsidRPr="008C7F26" w:rsidRDefault="00720F36" w:rsidP="008C7F26">
      <w:pPr>
        <w:spacing w:before="0" w:after="0"/>
        <w:jc w:val="center"/>
        <w:rPr>
          <w:b/>
          <w:lang w:val="en-SG"/>
        </w:rPr>
      </w:pPr>
      <w:r w:rsidRPr="008C7F26">
        <w:rPr>
          <w:b/>
          <w:lang w:val="en-SG"/>
        </w:rPr>
        <w:t>HO NGHIA DUNG</w:t>
      </w:r>
    </w:p>
    <w:p w:rsidR="00F61B4F" w:rsidRPr="008C7F26" w:rsidRDefault="00720F36" w:rsidP="008C7F26">
      <w:pPr>
        <w:spacing w:before="0" w:after="0"/>
        <w:jc w:val="center"/>
        <w:rPr>
          <w:lang w:val="en-SG"/>
        </w:rPr>
      </w:pPr>
      <w:r w:rsidRPr="008C7F26">
        <w:rPr>
          <w:lang w:val="en-SG"/>
        </w:rPr>
        <w:t>Minister of Transport</w:t>
      </w:r>
    </w:p>
    <w:sectPr w:rsidR="00F61B4F" w:rsidRPr="008C7F26"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C4" w:rsidRDefault="00A70FC4" w:rsidP="00F61B4F">
      <w:pPr>
        <w:spacing w:before="0" w:after="0" w:line="240" w:lineRule="auto"/>
      </w:pPr>
      <w:r>
        <w:separator/>
      </w:r>
    </w:p>
  </w:endnote>
  <w:endnote w:type="continuationSeparator" w:id="0">
    <w:p w:rsidR="00A70FC4" w:rsidRDefault="00A70FC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D7" w:rsidRDefault="000E0ED7" w:rsidP="00F61B4F">
    <w:pPr>
      <w:pStyle w:val="Footer"/>
      <w:tabs>
        <w:tab w:val="clear" w:pos="9360"/>
        <w:tab w:val="right" w:pos="8931"/>
      </w:tabs>
      <w:jc w:val="right"/>
    </w:pPr>
  </w:p>
  <w:p w:rsidR="000E0ED7" w:rsidRPr="00F61B4F" w:rsidRDefault="000E0ED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8530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85308">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D7" w:rsidRDefault="000E0ED7" w:rsidP="00F61B4F">
    <w:pPr>
      <w:pStyle w:val="Footer"/>
      <w:tabs>
        <w:tab w:val="clear" w:pos="9360"/>
        <w:tab w:val="right" w:pos="8931"/>
      </w:tabs>
      <w:jc w:val="right"/>
    </w:pPr>
  </w:p>
  <w:p w:rsidR="000E0ED7" w:rsidRPr="00F61B4F" w:rsidRDefault="000E0ED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C4" w:rsidRDefault="00A70FC4" w:rsidP="00F61B4F">
      <w:pPr>
        <w:spacing w:before="0" w:after="0" w:line="240" w:lineRule="auto"/>
      </w:pPr>
      <w:r>
        <w:separator/>
      </w:r>
    </w:p>
  </w:footnote>
  <w:footnote w:type="continuationSeparator" w:id="0">
    <w:p w:rsidR="00A70FC4" w:rsidRDefault="00A70FC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D7" w:rsidRPr="00720F36" w:rsidRDefault="0062455C" w:rsidP="00720F36">
    <w:pPr>
      <w:pStyle w:val="Header"/>
      <w:pBdr>
        <w:bottom w:val="single" w:sz="4" w:space="1" w:color="auto"/>
      </w:pBdr>
    </w:pPr>
    <w:r>
      <w:rPr>
        <w:rFonts w:cs="Arial"/>
        <w:caps/>
        <w:color w:val="808080"/>
        <w:sz w:val="16"/>
        <w:szCs w:val="16"/>
      </w:rPr>
      <w:t xml:space="preserve">2007 Protocol 1 – </w:t>
    </w:r>
    <w:r w:rsidR="00720F36" w:rsidRPr="00720F36">
      <w:rPr>
        <w:rFonts w:cs="Arial"/>
        <w:caps/>
        <w:color w:val="808080"/>
        <w:sz w:val="16"/>
        <w:szCs w:val="16"/>
      </w:rPr>
      <w:t>Designation of Transit Transport Routes and Facilities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688"/>
    <w:multiLevelType w:val="hybridMultilevel"/>
    <w:tmpl w:val="0A62B9A8"/>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34D1"/>
    <w:multiLevelType w:val="hybridMultilevel"/>
    <w:tmpl w:val="C85C2F70"/>
    <w:lvl w:ilvl="0" w:tplc="D8FE05D4">
      <w:start w:val="8"/>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13E8E"/>
    <w:multiLevelType w:val="hybridMultilevel"/>
    <w:tmpl w:val="38D6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0415B"/>
    <w:multiLevelType w:val="hybridMultilevel"/>
    <w:tmpl w:val="BA9EC586"/>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857AB"/>
    <w:multiLevelType w:val="hybridMultilevel"/>
    <w:tmpl w:val="1DDA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01D86"/>
    <w:multiLevelType w:val="hybridMultilevel"/>
    <w:tmpl w:val="A902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47DA"/>
    <w:multiLevelType w:val="hybridMultilevel"/>
    <w:tmpl w:val="7238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C6863"/>
    <w:multiLevelType w:val="hybridMultilevel"/>
    <w:tmpl w:val="4AF88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5680F"/>
    <w:multiLevelType w:val="hybridMultilevel"/>
    <w:tmpl w:val="24A2A648"/>
    <w:lvl w:ilvl="0" w:tplc="8FC4E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042EC"/>
    <w:multiLevelType w:val="hybridMultilevel"/>
    <w:tmpl w:val="B0AC278A"/>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60625"/>
    <w:multiLevelType w:val="hybridMultilevel"/>
    <w:tmpl w:val="DD02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27076"/>
    <w:multiLevelType w:val="hybridMultilevel"/>
    <w:tmpl w:val="B7DE3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895"/>
    <w:multiLevelType w:val="hybridMultilevel"/>
    <w:tmpl w:val="366A11F0"/>
    <w:lvl w:ilvl="0" w:tplc="7CA403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B5B21"/>
    <w:multiLevelType w:val="hybridMultilevel"/>
    <w:tmpl w:val="45A6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F24F5"/>
    <w:multiLevelType w:val="hybridMultilevel"/>
    <w:tmpl w:val="0D1A192E"/>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F6B43"/>
    <w:multiLevelType w:val="hybridMultilevel"/>
    <w:tmpl w:val="91A85C34"/>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F7A39"/>
    <w:multiLevelType w:val="hybridMultilevel"/>
    <w:tmpl w:val="537A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46A62"/>
    <w:multiLevelType w:val="hybridMultilevel"/>
    <w:tmpl w:val="24E6D978"/>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C6984"/>
    <w:multiLevelType w:val="hybridMultilevel"/>
    <w:tmpl w:val="5182826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AC4ED0"/>
    <w:multiLevelType w:val="hybridMultilevel"/>
    <w:tmpl w:val="1374A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F6809"/>
    <w:multiLevelType w:val="hybridMultilevel"/>
    <w:tmpl w:val="42DE9B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444532"/>
    <w:multiLevelType w:val="hybridMultilevel"/>
    <w:tmpl w:val="2DCC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41945"/>
    <w:multiLevelType w:val="hybridMultilevel"/>
    <w:tmpl w:val="6364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339B4"/>
    <w:multiLevelType w:val="hybridMultilevel"/>
    <w:tmpl w:val="C872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E55C9"/>
    <w:multiLevelType w:val="hybridMultilevel"/>
    <w:tmpl w:val="1ED2B504"/>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03C39"/>
    <w:multiLevelType w:val="hybridMultilevel"/>
    <w:tmpl w:val="4DBA6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44464"/>
    <w:multiLevelType w:val="hybridMultilevel"/>
    <w:tmpl w:val="1128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C02CE"/>
    <w:multiLevelType w:val="hybridMultilevel"/>
    <w:tmpl w:val="AB2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C0259"/>
    <w:multiLevelType w:val="hybridMultilevel"/>
    <w:tmpl w:val="A1D62DEE"/>
    <w:lvl w:ilvl="0" w:tplc="4D60B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F1121"/>
    <w:multiLevelType w:val="hybridMultilevel"/>
    <w:tmpl w:val="B972D080"/>
    <w:lvl w:ilvl="0" w:tplc="8FC4EB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75ECD"/>
    <w:multiLevelType w:val="hybridMultilevel"/>
    <w:tmpl w:val="B294504C"/>
    <w:lvl w:ilvl="0" w:tplc="49DC0D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131740"/>
    <w:multiLevelType w:val="hybridMultilevel"/>
    <w:tmpl w:val="6424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E63FB"/>
    <w:multiLevelType w:val="hybridMultilevel"/>
    <w:tmpl w:val="9EFCC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B5B16"/>
    <w:multiLevelType w:val="hybridMultilevel"/>
    <w:tmpl w:val="57EE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17140"/>
    <w:multiLevelType w:val="hybridMultilevel"/>
    <w:tmpl w:val="38AC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8194E"/>
    <w:multiLevelType w:val="hybridMultilevel"/>
    <w:tmpl w:val="57E8D7A2"/>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24331"/>
    <w:multiLevelType w:val="hybridMultilevel"/>
    <w:tmpl w:val="E3A486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14956"/>
    <w:multiLevelType w:val="hybridMultilevel"/>
    <w:tmpl w:val="4544C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257F0"/>
    <w:multiLevelType w:val="hybridMultilevel"/>
    <w:tmpl w:val="CC1A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77E2D"/>
    <w:multiLevelType w:val="hybridMultilevel"/>
    <w:tmpl w:val="B1FC7E50"/>
    <w:lvl w:ilvl="0" w:tplc="4D60B44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A5D9E"/>
    <w:multiLevelType w:val="hybridMultilevel"/>
    <w:tmpl w:val="5B30D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13139"/>
    <w:multiLevelType w:val="hybridMultilevel"/>
    <w:tmpl w:val="690EC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74488"/>
    <w:multiLevelType w:val="hybridMultilevel"/>
    <w:tmpl w:val="975A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5"/>
  </w:num>
  <w:num w:numId="3">
    <w:abstractNumId w:val="24"/>
  </w:num>
  <w:num w:numId="4">
    <w:abstractNumId w:val="9"/>
  </w:num>
  <w:num w:numId="5">
    <w:abstractNumId w:val="30"/>
  </w:num>
  <w:num w:numId="6">
    <w:abstractNumId w:val="15"/>
  </w:num>
  <w:num w:numId="7">
    <w:abstractNumId w:val="3"/>
  </w:num>
  <w:num w:numId="8">
    <w:abstractNumId w:val="17"/>
  </w:num>
  <w:num w:numId="9">
    <w:abstractNumId w:val="14"/>
  </w:num>
  <w:num w:numId="10">
    <w:abstractNumId w:val="0"/>
  </w:num>
  <w:num w:numId="11">
    <w:abstractNumId w:val="26"/>
  </w:num>
  <w:num w:numId="12">
    <w:abstractNumId w:val="16"/>
  </w:num>
  <w:num w:numId="13">
    <w:abstractNumId w:val="8"/>
  </w:num>
  <w:num w:numId="14">
    <w:abstractNumId w:val="29"/>
  </w:num>
  <w:num w:numId="15">
    <w:abstractNumId w:val="18"/>
  </w:num>
  <w:num w:numId="16">
    <w:abstractNumId w:val="36"/>
  </w:num>
  <w:num w:numId="17">
    <w:abstractNumId w:val="20"/>
  </w:num>
  <w:num w:numId="18">
    <w:abstractNumId w:val="40"/>
  </w:num>
  <w:num w:numId="19">
    <w:abstractNumId w:val="28"/>
  </w:num>
  <w:num w:numId="20">
    <w:abstractNumId w:val="39"/>
  </w:num>
  <w:num w:numId="21">
    <w:abstractNumId w:val="33"/>
  </w:num>
  <w:num w:numId="22">
    <w:abstractNumId w:val="31"/>
  </w:num>
  <w:num w:numId="23">
    <w:abstractNumId w:val="5"/>
  </w:num>
  <w:num w:numId="24">
    <w:abstractNumId w:val="11"/>
  </w:num>
  <w:num w:numId="25">
    <w:abstractNumId w:val="25"/>
  </w:num>
  <w:num w:numId="26">
    <w:abstractNumId w:val="21"/>
  </w:num>
  <w:num w:numId="27">
    <w:abstractNumId w:val="4"/>
  </w:num>
  <w:num w:numId="28">
    <w:abstractNumId w:val="10"/>
  </w:num>
  <w:num w:numId="29">
    <w:abstractNumId w:val="37"/>
  </w:num>
  <w:num w:numId="30">
    <w:abstractNumId w:val="27"/>
  </w:num>
  <w:num w:numId="31">
    <w:abstractNumId w:val="12"/>
  </w:num>
  <w:num w:numId="32">
    <w:abstractNumId w:val="41"/>
  </w:num>
  <w:num w:numId="33">
    <w:abstractNumId w:val="13"/>
  </w:num>
  <w:num w:numId="34">
    <w:abstractNumId w:val="6"/>
  </w:num>
  <w:num w:numId="35">
    <w:abstractNumId w:val="1"/>
  </w:num>
  <w:num w:numId="36">
    <w:abstractNumId w:val="7"/>
  </w:num>
  <w:num w:numId="37">
    <w:abstractNumId w:val="38"/>
  </w:num>
  <w:num w:numId="38">
    <w:abstractNumId w:val="19"/>
  </w:num>
  <w:num w:numId="39">
    <w:abstractNumId w:val="34"/>
  </w:num>
  <w:num w:numId="40">
    <w:abstractNumId w:val="2"/>
  </w:num>
  <w:num w:numId="41">
    <w:abstractNumId w:val="23"/>
  </w:num>
  <w:num w:numId="42">
    <w:abstractNumId w:val="4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49"/>
    <w:rsid w:val="0000091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04"/>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0ED7"/>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5B"/>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3549"/>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303B"/>
    <w:rsid w:val="002423B7"/>
    <w:rsid w:val="00244645"/>
    <w:rsid w:val="00245638"/>
    <w:rsid w:val="0025051C"/>
    <w:rsid w:val="0025204F"/>
    <w:rsid w:val="002520E2"/>
    <w:rsid w:val="00256484"/>
    <w:rsid w:val="002566AC"/>
    <w:rsid w:val="00257575"/>
    <w:rsid w:val="00260086"/>
    <w:rsid w:val="00260DE8"/>
    <w:rsid w:val="00262BEE"/>
    <w:rsid w:val="002653B1"/>
    <w:rsid w:val="00270D85"/>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5308"/>
    <w:rsid w:val="005865AA"/>
    <w:rsid w:val="0058716E"/>
    <w:rsid w:val="00590C4E"/>
    <w:rsid w:val="0059630D"/>
    <w:rsid w:val="00597551"/>
    <w:rsid w:val="005A0C6D"/>
    <w:rsid w:val="005A384B"/>
    <w:rsid w:val="005A418E"/>
    <w:rsid w:val="005A67CE"/>
    <w:rsid w:val="005A6C1B"/>
    <w:rsid w:val="005B02E6"/>
    <w:rsid w:val="005B2D91"/>
    <w:rsid w:val="005C087C"/>
    <w:rsid w:val="005C0CDC"/>
    <w:rsid w:val="005C18C4"/>
    <w:rsid w:val="005C46EA"/>
    <w:rsid w:val="005C6ADE"/>
    <w:rsid w:val="005D3068"/>
    <w:rsid w:val="005D5714"/>
    <w:rsid w:val="005D59E8"/>
    <w:rsid w:val="005E0D13"/>
    <w:rsid w:val="005E264A"/>
    <w:rsid w:val="005E2E8D"/>
    <w:rsid w:val="005E6807"/>
    <w:rsid w:val="005F25E1"/>
    <w:rsid w:val="005F2B71"/>
    <w:rsid w:val="005F5FD1"/>
    <w:rsid w:val="006056CA"/>
    <w:rsid w:val="006077DA"/>
    <w:rsid w:val="00615E91"/>
    <w:rsid w:val="00617785"/>
    <w:rsid w:val="00620043"/>
    <w:rsid w:val="0062455C"/>
    <w:rsid w:val="00624B74"/>
    <w:rsid w:val="0062758C"/>
    <w:rsid w:val="00627B91"/>
    <w:rsid w:val="0064082A"/>
    <w:rsid w:val="00641B0D"/>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0F36"/>
    <w:rsid w:val="00721C1C"/>
    <w:rsid w:val="007231B2"/>
    <w:rsid w:val="0072576B"/>
    <w:rsid w:val="007257E0"/>
    <w:rsid w:val="007320B0"/>
    <w:rsid w:val="0073568E"/>
    <w:rsid w:val="00744927"/>
    <w:rsid w:val="00744A85"/>
    <w:rsid w:val="00751173"/>
    <w:rsid w:val="00751EA6"/>
    <w:rsid w:val="00755A12"/>
    <w:rsid w:val="0075632F"/>
    <w:rsid w:val="0075795E"/>
    <w:rsid w:val="00760BCF"/>
    <w:rsid w:val="00761521"/>
    <w:rsid w:val="00762A99"/>
    <w:rsid w:val="00776086"/>
    <w:rsid w:val="007915D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5CDA"/>
    <w:rsid w:val="008A2C17"/>
    <w:rsid w:val="008A3A39"/>
    <w:rsid w:val="008A5721"/>
    <w:rsid w:val="008B001D"/>
    <w:rsid w:val="008B0875"/>
    <w:rsid w:val="008B1645"/>
    <w:rsid w:val="008C33B3"/>
    <w:rsid w:val="008C3761"/>
    <w:rsid w:val="008C6A9C"/>
    <w:rsid w:val="008C7F26"/>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4665"/>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968"/>
    <w:rsid w:val="00A5006A"/>
    <w:rsid w:val="00A551D1"/>
    <w:rsid w:val="00A60DBB"/>
    <w:rsid w:val="00A60F35"/>
    <w:rsid w:val="00A61CFF"/>
    <w:rsid w:val="00A61FF5"/>
    <w:rsid w:val="00A62871"/>
    <w:rsid w:val="00A638C5"/>
    <w:rsid w:val="00A646B8"/>
    <w:rsid w:val="00A70FC4"/>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6FE4"/>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B35"/>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5B4B"/>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D6588"/>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7979"/>
  <w15:chartTrackingRefBased/>
  <w15:docId w15:val="{065D5CFB-42F9-4DB6-B04D-5F8B1FB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93549"/>
    <w:pPr>
      <w:ind w:left="720"/>
      <w:contextualSpacing/>
    </w:pPr>
  </w:style>
  <w:style w:type="paragraph" w:styleId="BalloonText">
    <w:name w:val="Balloon Text"/>
    <w:basedOn w:val="Normal"/>
    <w:link w:val="BalloonTextChar"/>
    <w:uiPriority w:val="99"/>
    <w:semiHidden/>
    <w:unhideWhenUsed/>
    <w:rsid w:val="0019354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9354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99340589">
      <w:bodyDiv w:val="1"/>
      <w:marLeft w:val="0"/>
      <w:marRight w:val="0"/>
      <w:marTop w:val="0"/>
      <w:marBottom w:val="0"/>
      <w:divBdr>
        <w:top w:val="none" w:sz="0" w:space="0" w:color="auto"/>
        <w:left w:val="none" w:sz="0" w:space="0" w:color="auto"/>
        <w:bottom w:val="none" w:sz="0" w:space="0" w:color="auto"/>
        <w:right w:val="none" w:sz="0" w:space="0" w:color="auto"/>
      </w:divBdr>
      <w:divsChild>
        <w:div w:id="396125125">
          <w:marLeft w:val="0"/>
          <w:marRight w:val="0"/>
          <w:marTop w:val="0"/>
          <w:marBottom w:val="0"/>
          <w:divBdr>
            <w:top w:val="none" w:sz="0" w:space="0" w:color="auto"/>
            <w:left w:val="none" w:sz="0" w:space="0" w:color="auto"/>
            <w:bottom w:val="none" w:sz="0" w:space="0" w:color="auto"/>
            <w:right w:val="none" w:sz="0" w:space="0" w:color="auto"/>
          </w:divBdr>
          <w:divsChild>
            <w:div w:id="76248132">
              <w:marLeft w:val="0"/>
              <w:marRight w:val="0"/>
              <w:marTop w:val="0"/>
              <w:marBottom w:val="0"/>
              <w:divBdr>
                <w:top w:val="none" w:sz="0" w:space="0" w:color="auto"/>
                <w:left w:val="none" w:sz="0" w:space="0" w:color="auto"/>
                <w:bottom w:val="none" w:sz="0" w:space="0" w:color="auto"/>
                <w:right w:val="none" w:sz="0" w:space="0" w:color="auto"/>
              </w:divBdr>
            </w:div>
            <w:div w:id="290866121">
              <w:marLeft w:val="0"/>
              <w:marRight w:val="0"/>
              <w:marTop w:val="0"/>
              <w:marBottom w:val="0"/>
              <w:divBdr>
                <w:top w:val="none" w:sz="0" w:space="0" w:color="auto"/>
                <w:left w:val="none" w:sz="0" w:space="0" w:color="auto"/>
                <w:bottom w:val="none" w:sz="0" w:space="0" w:color="auto"/>
                <w:right w:val="none" w:sz="0" w:space="0" w:color="auto"/>
              </w:divBdr>
            </w:div>
            <w:div w:id="293409399">
              <w:marLeft w:val="0"/>
              <w:marRight w:val="0"/>
              <w:marTop w:val="0"/>
              <w:marBottom w:val="0"/>
              <w:divBdr>
                <w:top w:val="none" w:sz="0" w:space="0" w:color="auto"/>
                <w:left w:val="none" w:sz="0" w:space="0" w:color="auto"/>
                <w:bottom w:val="none" w:sz="0" w:space="0" w:color="auto"/>
                <w:right w:val="none" w:sz="0" w:space="0" w:color="auto"/>
              </w:divBdr>
            </w:div>
            <w:div w:id="430469092">
              <w:marLeft w:val="0"/>
              <w:marRight w:val="0"/>
              <w:marTop w:val="0"/>
              <w:marBottom w:val="0"/>
              <w:divBdr>
                <w:top w:val="none" w:sz="0" w:space="0" w:color="auto"/>
                <w:left w:val="none" w:sz="0" w:space="0" w:color="auto"/>
                <w:bottom w:val="none" w:sz="0" w:space="0" w:color="auto"/>
                <w:right w:val="none" w:sz="0" w:space="0" w:color="auto"/>
              </w:divBdr>
            </w:div>
            <w:div w:id="532763936">
              <w:marLeft w:val="0"/>
              <w:marRight w:val="0"/>
              <w:marTop w:val="0"/>
              <w:marBottom w:val="0"/>
              <w:divBdr>
                <w:top w:val="none" w:sz="0" w:space="0" w:color="auto"/>
                <w:left w:val="none" w:sz="0" w:space="0" w:color="auto"/>
                <w:bottom w:val="none" w:sz="0" w:space="0" w:color="auto"/>
                <w:right w:val="none" w:sz="0" w:space="0" w:color="auto"/>
              </w:divBdr>
            </w:div>
            <w:div w:id="636834998">
              <w:marLeft w:val="0"/>
              <w:marRight w:val="0"/>
              <w:marTop w:val="0"/>
              <w:marBottom w:val="0"/>
              <w:divBdr>
                <w:top w:val="none" w:sz="0" w:space="0" w:color="auto"/>
                <w:left w:val="none" w:sz="0" w:space="0" w:color="auto"/>
                <w:bottom w:val="none" w:sz="0" w:space="0" w:color="auto"/>
                <w:right w:val="none" w:sz="0" w:space="0" w:color="auto"/>
              </w:divBdr>
            </w:div>
            <w:div w:id="686254970">
              <w:marLeft w:val="0"/>
              <w:marRight w:val="0"/>
              <w:marTop w:val="0"/>
              <w:marBottom w:val="0"/>
              <w:divBdr>
                <w:top w:val="none" w:sz="0" w:space="0" w:color="auto"/>
                <w:left w:val="none" w:sz="0" w:space="0" w:color="auto"/>
                <w:bottom w:val="none" w:sz="0" w:space="0" w:color="auto"/>
                <w:right w:val="none" w:sz="0" w:space="0" w:color="auto"/>
              </w:divBdr>
            </w:div>
            <w:div w:id="721949558">
              <w:marLeft w:val="0"/>
              <w:marRight w:val="0"/>
              <w:marTop w:val="0"/>
              <w:marBottom w:val="0"/>
              <w:divBdr>
                <w:top w:val="none" w:sz="0" w:space="0" w:color="auto"/>
                <w:left w:val="none" w:sz="0" w:space="0" w:color="auto"/>
                <w:bottom w:val="none" w:sz="0" w:space="0" w:color="auto"/>
                <w:right w:val="none" w:sz="0" w:space="0" w:color="auto"/>
              </w:divBdr>
            </w:div>
            <w:div w:id="1241059860">
              <w:marLeft w:val="0"/>
              <w:marRight w:val="0"/>
              <w:marTop w:val="0"/>
              <w:marBottom w:val="0"/>
              <w:divBdr>
                <w:top w:val="none" w:sz="0" w:space="0" w:color="auto"/>
                <w:left w:val="none" w:sz="0" w:space="0" w:color="auto"/>
                <w:bottom w:val="none" w:sz="0" w:space="0" w:color="auto"/>
                <w:right w:val="none" w:sz="0" w:space="0" w:color="auto"/>
              </w:divBdr>
            </w:div>
            <w:div w:id="1424449141">
              <w:marLeft w:val="0"/>
              <w:marRight w:val="0"/>
              <w:marTop w:val="0"/>
              <w:marBottom w:val="0"/>
              <w:divBdr>
                <w:top w:val="none" w:sz="0" w:space="0" w:color="auto"/>
                <w:left w:val="none" w:sz="0" w:space="0" w:color="auto"/>
                <w:bottom w:val="none" w:sz="0" w:space="0" w:color="auto"/>
                <w:right w:val="none" w:sz="0" w:space="0" w:color="auto"/>
              </w:divBdr>
            </w:div>
            <w:div w:id="1560942788">
              <w:marLeft w:val="0"/>
              <w:marRight w:val="0"/>
              <w:marTop w:val="0"/>
              <w:marBottom w:val="0"/>
              <w:divBdr>
                <w:top w:val="none" w:sz="0" w:space="0" w:color="auto"/>
                <w:left w:val="none" w:sz="0" w:space="0" w:color="auto"/>
                <w:bottom w:val="none" w:sz="0" w:space="0" w:color="auto"/>
                <w:right w:val="none" w:sz="0" w:space="0" w:color="auto"/>
              </w:divBdr>
            </w:div>
            <w:div w:id="1678998106">
              <w:marLeft w:val="0"/>
              <w:marRight w:val="0"/>
              <w:marTop w:val="0"/>
              <w:marBottom w:val="0"/>
              <w:divBdr>
                <w:top w:val="none" w:sz="0" w:space="0" w:color="auto"/>
                <w:left w:val="none" w:sz="0" w:space="0" w:color="auto"/>
                <w:bottom w:val="none" w:sz="0" w:space="0" w:color="auto"/>
                <w:right w:val="none" w:sz="0" w:space="0" w:color="auto"/>
              </w:divBdr>
            </w:div>
            <w:div w:id="1794060344">
              <w:marLeft w:val="0"/>
              <w:marRight w:val="0"/>
              <w:marTop w:val="0"/>
              <w:marBottom w:val="0"/>
              <w:divBdr>
                <w:top w:val="none" w:sz="0" w:space="0" w:color="auto"/>
                <w:left w:val="none" w:sz="0" w:space="0" w:color="auto"/>
                <w:bottom w:val="none" w:sz="0" w:space="0" w:color="auto"/>
                <w:right w:val="none" w:sz="0" w:space="0" w:color="auto"/>
              </w:divBdr>
            </w:div>
            <w:div w:id="1876577529">
              <w:marLeft w:val="0"/>
              <w:marRight w:val="0"/>
              <w:marTop w:val="0"/>
              <w:marBottom w:val="0"/>
              <w:divBdr>
                <w:top w:val="none" w:sz="0" w:space="0" w:color="auto"/>
                <w:left w:val="none" w:sz="0" w:space="0" w:color="auto"/>
                <w:bottom w:val="none" w:sz="0" w:space="0" w:color="auto"/>
                <w:right w:val="none" w:sz="0" w:space="0" w:color="auto"/>
              </w:divBdr>
            </w:div>
            <w:div w:id="2098214079">
              <w:marLeft w:val="0"/>
              <w:marRight w:val="0"/>
              <w:marTop w:val="0"/>
              <w:marBottom w:val="0"/>
              <w:divBdr>
                <w:top w:val="none" w:sz="0" w:space="0" w:color="auto"/>
                <w:left w:val="none" w:sz="0" w:space="0" w:color="auto"/>
                <w:bottom w:val="none" w:sz="0" w:space="0" w:color="auto"/>
                <w:right w:val="none" w:sz="0" w:space="0" w:color="auto"/>
              </w:divBdr>
            </w:div>
            <w:div w:id="21194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BDDD-032A-4C9F-80D7-3C7AD6CF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94</TotalTime>
  <Pages>1</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9</cp:revision>
  <cp:lastPrinted>2018-06-27T06:07:00Z</cp:lastPrinted>
  <dcterms:created xsi:type="dcterms:W3CDTF">2018-06-27T04:32:00Z</dcterms:created>
  <dcterms:modified xsi:type="dcterms:W3CDTF">2018-06-27T06:07:00Z</dcterms:modified>
</cp:coreProperties>
</file>