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65" w:rsidRPr="004107D2" w:rsidRDefault="00BA3C65" w:rsidP="00F97B12">
      <w:pPr>
        <w:pStyle w:val="CILTitle"/>
        <w:rPr>
          <w:sz w:val="20"/>
          <w:szCs w:val="20"/>
        </w:rPr>
      </w:pPr>
      <w:r w:rsidRPr="004107D2">
        <w:rPr>
          <w:sz w:val="20"/>
          <w:szCs w:val="20"/>
        </w:rPr>
        <w:t xml:space="preserve">2009 Terms of Reference of </w:t>
      </w:r>
      <w:r w:rsidR="00E515DB" w:rsidRPr="004107D2">
        <w:rPr>
          <w:sz w:val="20"/>
          <w:szCs w:val="20"/>
        </w:rPr>
        <w:t xml:space="preserve">the </w:t>
      </w:r>
      <w:r w:rsidRPr="004107D2">
        <w:rPr>
          <w:sz w:val="20"/>
          <w:szCs w:val="20"/>
        </w:rPr>
        <w:t>ASEAN Intergovernmental Commission on Human Rights</w:t>
      </w:r>
    </w:p>
    <w:p w:rsidR="00BA3C65" w:rsidRPr="004107D2" w:rsidRDefault="00BA3C65" w:rsidP="00F97B12">
      <w:pPr>
        <w:pStyle w:val="CILSubtitle"/>
        <w:spacing w:before="240" w:after="120"/>
      </w:pPr>
      <w:r w:rsidRPr="004107D2">
        <w:t>Adopted</w:t>
      </w:r>
      <w:r w:rsidR="000D30BC" w:rsidRPr="004107D2">
        <w:t xml:space="preserve"> in Phuket, Thailand, on 20</w:t>
      </w:r>
      <w:r w:rsidRPr="004107D2">
        <w:t xml:space="preserve"> July 2009 </w:t>
      </w:r>
    </w:p>
    <w:p w:rsidR="000F183E" w:rsidRPr="004107D2" w:rsidRDefault="000F183E" w:rsidP="00F97B12">
      <w:pPr>
        <w:pStyle w:val="CILSubtitle"/>
        <w:spacing w:before="240" w:after="120"/>
      </w:pPr>
    </w:p>
    <w:p w:rsidR="004107D2" w:rsidRPr="004107D2" w:rsidRDefault="00964D4B" w:rsidP="004107D2">
      <w:pPr>
        <w:pStyle w:val="TOC1"/>
        <w:rPr>
          <w:rFonts w:ascii="Arial" w:eastAsiaTheme="minorEastAsia" w:hAnsi="Arial" w:cs="Arial"/>
          <w:noProof/>
          <w:sz w:val="20"/>
          <w:szCs w:val="20"/>
        </w:rPr>
      </w:pPr>
      <w:r w:rsidRPr="004107D2">
        <w:rPr>
          <w:rFonts w:ascii="Arial" w:hAnsi="Arial" w:cs="Arial"/>
          <w:sz w:val="20"/>
          <w:szCs w:val="20"/>
        </w:rPr>
        <w:fldChar w:fldCharType="begin"/>
      </w:r>
      <w:r w:rsidRPr="004107D2">
        <w:rPr>
          <w:rFonts w:ascii="Arial" w:hAnsi="Arial" w:cs="Arial"/>
          <w:sz w:val="20"/>
          <w:szCs w:val="20"/>
        </w:rPr>
        <w:instrText xml:space="preserve"> TOC \o "1-1" \h \z \t "Heading 2,2,Heading 3,3" </w:instrText>
      </w:r>
      <w:r w:rsidRPr="004107D2">
        <w:rPr>
          <w:rFonts w:ascii="Arial" w:hAnsi="Arial" w:cs="Arial"/>
          <w:sz w:val="20"/>
          <w:szCs w:val="20"/>
        </w:rPr>
        <w:fldChar w:fldCharType="separate"/>
      </w:r>
      <w:hyperlink w:anchor="_Toc26878595" w:history="1">
        <w:r w:rsidR="004107D2" w:rsidRPr="004107D2">
          <w:rPr>
            <w:rStyle w:val="Hyperlink"/>
            <w:rFonts w:ascii="Arial" w:hAnsi="Arial" w:cs="Arial"/>
            <w:noProof/>
            <w:sz w:val="20"/>
            <w:szCs w:val="20"/>
          </w:rPr>
          <w:t>1.</w:t>
        </w:r>
        <w:r w:rsidR="004107D2" w:rsidRPr="004107D2">
          <w:rPr>
            <w:rFonts w:ascii="Arial" w:eastAsiaTheme="minorEastAsia" w:hAnsi="Arial" w:cs="Arial"/>
            <w:noProof/>
            <w:sz w:val="20"/>
            <w:szCs w:val="20"/>
          </w:rPr>
          <w:tab/>
        </w:r>
        <w:r w:rsidR="004107D2">
          <w:rPr>
            <w:rFonts w:ascii="Arial" w:eastAsiaTheme="minorEastAsia" w:hAnsi="Arial" w:cs="Arial"/>
            <w:noProof/>
            <w:sz w:val="20"/>
            <w:szCs w:val="20"/>
          </w:rPr>
          <w:t xml:space="preserve"> </w:t>
        </w:r>
        <w:r w:rsidR="004107D2" w:rsidRPr="004107D2">
          <w:rPr>
            <w:rStyle w:val="Hyperlink"/>
            <w:rFonts w:ascii="Arial" w:hAnsi="Arial" w:cs="Arial"/>
            <w:noProof/>
            <w:sz w:val="20"/>
            <w:szCs w:val="20"/>
          </w:rPr>
          <w:t>PURPOSES</w:t>
        </w:r>
        <w:r w:rsidR="004107D2" w:rsidRPr="004107D2">
          <w:rPr>
            <w:rFonts w:ascii="Arial" w:hAnsi="Arial" w:cs="Arial"/>
            <w:noProof/>
            <w:webHidden/>
            <w:sz w:val="20"/>
            <w:szCs w:val="20"/>
          </w:rPr>
          <w:tab/>
        </w:r>
        <w:r w:rsidR="004107D2" w:rsidRPr="004107D2">
          <w:rPr>
            <w:rFonts w:ascii="Arial" w:hAnsi="Arial" w:cs="Arial"/>
            <w:noProof/>
            <w:webHidden/>
            <w:sz w:val="20"/>
            <w:szCs w:val="20"/>
          </w:rPr>
          <w:fldChar w:fldCharType="begin"/>
        </w:r>
        <w:r w:rsidR="004107D2" w:rsidRPr="004107D2">
          <w:rPr>
            <w:rFonts w:ascii="Arial" w:hAnsi="Arial" w:cs="Arial"/>
            <w:noProof/>
            <w:webHidden/>
            <w:sz w:val="20"/>
            <w:szCs w:val="20"/>
          </w:rPr>
          <w:instrText xml:space="preserve"> PAGEREF _Toc26878595 \h </w:instrText>
        </w:r>
        <w:r w:rsidR="004107D2" w:rsidRPr="004107D2">
          <w:rPr>
            <w:rFonts w:ascii="Arial" w:hAnsi="Arial" w:cs="Arial"/>
            <w:noProof/>
            <w:webHidden/>
            <w:sz w:val="20"/>
            <w:szCs w:val="20"/>
          </w:rPr>
        </w:r>
        <w:r w:rsidR="004107D2" w:rsidRPr="004107D2">
          <w:rPr>
            <w:rFonts w:ascii="Arial" w:hAnsi="Arial" w:cs="Arial"/>
            <w:noProof/>
            <w:webHidden/>
            <w:sz w:val="20"/>
            <w:szCs w:val="20"/>
          </w:rPr>
          <w:fldChar w:fldCharType="separate"/>
        </w:r>
        <w:r w:rsidR="004107D2">
          <w:rPr>
            <w:rFonts w:ascii="Arial" w:hAnsi="Arial" w:cs="Arial"/>
            <w:noProof/>
            <w:webHidden/>
            <w:sz w:val="20"/>
            <w:szCs w:val="20"/>
          </w:rPr>
          <w:t>2</w:t>
        </w:r>
        <w:r w:rsidR="004107D2" w:rsidRPr="004107D2">
          <w:rPr>
            <w:rFonts w:ascii="Arial" w:hAnsi="Arial" w:cs="Arial"/>
            <w:noProof/>
            <w:webHidden/>
            <w:sz w:val="20"/>
            <w:szCs w:val="20"/>
          </w:rPr>
          <w:fldChar w:fldCharType="end"/>
        </w:r>
      </w:hyperlink>
    </w:p>
    <w:p w:rsidR="004107D2" w:rsidRPr="004107D2" w:rsidRDefault="004107D2" w:rsidP="004107D2">
      <w:pPr>
        <w:pStyle w:val="TOC1"/>
        <w:rPr>
          <w:rFonts w:ascii="Arial" w:eastAsiaTheme="minorEastAsia" w:hAnsi="Arial" w:cs="Arial"/>
          <w:noProof/>
          <w:sz w:val="20"/>
          <w:szCs w:val="20"/>
        </w:rPr>
      </w:pPr>
      <w:hyperlink w:anchor="_Toc26878596" w:history="1">
        <w:r w:rsidRPr="004107D2">
          <w:rPr>
            <w:rStyle w:val="Hyperlink"/>
            <w:rFonts w:ascii="Arial" w:hAnsi="Arial" w:cs="Arial"/>
            <w:noProof/>
            <w:sz w:val="20"/>
            <w:szCs w:val="20"/>
          </w:rPr>
          <w:t>2.</w:t>
        </w:r>
        <w:r w:rsidRPr="004107D2">
          <w:rPr>
            <w:rFonts w:ascii="Arial" w:eastAsiaTheme="minorEastAsia" w:hAnsi="Arial" w:cs="Arial"/>
            <w:noProof/>
            <w:sz w:val="20"/>
            <w:szCs w:val="20"/>
          </w:rPr>
          <w:tab/>
        </w:r>
        <w:r>
          <w:rPr>
            <w:rFonts w:ascii="Arial" w:eastAsiaTheme="minorEastAsia" w:hAnsi="Arial" w:cs="Arial"/>
            <w:noProof/>
            <w:sz w:val="20"/>
            <w:szCs w:val="20"/>
          </w:rPr>
          <w:t xml:space="preserve"> </w:t>
        </w:r>
        <w:r w:rsidRPr="004107D2">
          <w:rPr>
            <w:rStyle w:val="Hyperlink"/>
            <w:rFonts w:ascii="Arial" w:hAnsi="Arial" w:cs="Arial"/>
            <w:noProof/>
            <w:sz w:val="20"/>
            <w:szCs w:val="20"/>
          </w:rPr>
          <w:t>PRINCIPLES</w:t>
        </w:r>
        <w:r w:rsidRPr="004107D2">
          <w:rPr>
            <w:rFonts w:ascii="Arial" w:hAnsi="Arial" w:cs="Arial"/>
            <w:noProof/>
            <w:webHidden/>
            <w:sz w:val="20"/>
            <w:szCs w:val="20"/>
          </w:rPr>
          <w:tab/>
        </w:r>
        <w:r w:rsidRPr="004107D2">
          <w:rPr>
            <w:rFonts w:ascii="Arial" w:hAnsi="Arial" w:cs="Arial"/>
            <w:noProof/>
            <w:webHidden/>
            <w:sz w:val="20"/>
            <w:szCs w:val="20"/>
          </w:rPr>
          <w:fldChar w:fldCharType="begin"/>
        </w:r>
        <w:r w:rsidRPr="004107D2">
          <w:rPr>
            <w:rFonts w:ascii="Arial" w:hAnsi="Arial" w:cs="Arial"/>
            <w:noProof/>
            <w:webHidden/>
            <w:sz w:val="20"/>
            <w:szCs w:val="20"/>
          </w:rPr>
          <w:instrText xml:space="preserve"> PAGEREF _Toc26878596 \h </w:instrText>
        </w:r>
        <w:r w:rsidRPr="004107D2">
          <w:rPr>
            <w:rFonts w:ascii="Arial" w:hAnsi="Arial" w:cs="Arial"/>
            <w:noProof/>
            <w:webHidden/>
            <w:sz w:val="20"/>
            <w:szCs w:val="20"/>
          </w:rPr>
        </w:r>
        <w:r w:rsidRPr="004107D2">
          <w:rPr>
            <w:rFonts w:ascii="Arial" w:hAnsi="Arial" w:cs="Arial"/>
            <w:noProof/>
            <w:webHidden/>
            <w:sz w:val="20"/>
            <w:szCs w:val="20"/>
          </w:rPr>
          <w:fldChar w:fldCharType="separate"/>
        </w:r>
        <w:r>
          <w:rPr>
            <w:rFonts w:ascii="Arial" w:hAnsi="Arial" w:cs="Arial"/>
            <w:noProof/>
            <w:webHidden/>
            <w:sz w:val="20"/>
            <w:szCs w:val="20"/>
          </w:rPr>
          <w:t>2</w:t>
        </w:r>
        <w:r w:rsidRPr="004107D2">
          <w:rPr>
            <w:rFonts w:ascii="Arial" w:hAnsi="Arial" w:cs="Arial"/>
            <w:noProof/>
            <w:webHidden/>
            <w:sz w:val="20"/>
            <w:szCs w:val="20"/>
          </w:rPr>
          <w:fldChar w:fldCharType="end"/>
        </w:r>
      </w:hyperlink>
    </w:p>
    <w:p w:rsidR="004107D2" w:rsidRPr="004107D2" w:rsidRDefault="004107D2" w:rsidP="004107D2">
      <w:pPr>
        <w:pStyle w:val="TOC1"/>
        <w:rPr>
          <w:rFonts w:ascii="Arial" w:eastAsiaTheme="minorEastAsia" w:hAnsi="Arial" w:cs="Arial"/>
          <w:noProof/>
          <w:sz w:val="20"/>
          <w:szCs w:val="20"/>
        </w:rPr>
      </w:pPr>
      <w:hyperlink w:anchor="_Toc26878597" w:history="1">
        <w:r w:rsidRPr="004107D2">
          <w:rPr>
            <w:rStyle w:val="Hyperlink"/>
            <w:rFonts w:ascii="Arial" w:hAnsi="Arial" w:cs="Arial"/>
            <w:noProof/>
            <w:sz w:val="20"/>
            <w:szCs w:val="20"/>
          </w:rPr>
          <w:t>3.</w:t>
        </w:r>
        <w:r w:rsidRPr="004107D2">
          <w:rPr>
            <w:rFonts w:ascii="Arial" w:eastAsiaTheme="minorEastAsia" w:hAnsi="Arial" w:cs="Arial"/>
            <w:noProof/>
            <w:sz w:val="20"/>
            <w:szCs w:val="20"/>
          </w:rPr>
          <w:tab/>
        </w:r>
        <w:r>
          <w:rPr>
            <w:rFonts w:ascii="Arial" w:eastAsiaTheme="minorEastAsia" w:hAnsi="Arial" w:cs="Arial"/>
            <w:noProof/>
            <w:sz w:val="20"/>
            <w:szCs w:val="20"/>
          </w:rPr>
          <w:t xml:space="preserve"> </w:t>
        </w:r>
        <w:r w:rsidRPr="004107D2">
          <w:rPr>
            <w:rStyle w:val="Hyperlink"/>
            <w:rFonts w:ascii="Arial" w:hAnsi="Arial" w:cs="Arial"/>
            <w:noProof/>
            <w:sz w:val="20"/>
            <w:szCs w:val="20"/>
          </w:rPr>
          <w:t>CONSULTATIVE INTER-GOVERNMENTAL BODY</w:t>
        </w:r>
        <w:r w:rsidRPr="004107D2">
          <w:rPr>
            <w:rFonts w:ascii="Arial" w:hAnsi="Arial" w:cs="Arial"/>
            <w:noProof/>
            <w:webHidden/>
            <w:sz w:val="20"/>
            <w:szCs w:val="20"/>
          </w:rPr>
          <w:tab/>
        </w:r>
        <w:r w:rsidRPr="004107D2">
          <w:rPr>
            <w:rFonts w:ascii="Arial" w:hAnsi="Arial" w:cs="Arial"/>
            <w:noProof/>
            <w:webHidden/>
            <w:sz w:val="20"/>
            <w:szCs w:val="20"/>
          </w:rPr>
          <w:fldChar w:fldCharType="begin"/>
        </w:r>
        <w:r w:rsidRPr="004107D2">
          <w:rPr>
            <w:rFonts w:ascii="Arial" w:hAnsi="Arial" w:cs="Arial"/>
            <w:noProof/>
            <w:webHidden/>
            <w:sz w:val="20"/>
            <w:szCs w:val="20"/>
          </w:rPr>
          <w:instrText xml:space="preserve"> PAGEREF _Toc26878597 \h </w:instrText>
        </w:r>
        <w:r w:rsidRPr="004107D2">
          <w:rPr>
            <w:rFonts w:ascii="Arial" w:hAnsi="Arial" w:cs="Arial"/>
            <w:noProof/>
            <w:webHidden/>
            <w:sz w:val="20"/>
            <w:szCs w:val="20"/>
          </w:rPr>
        </w:r>
        <w:r w:rsidRPr="004107D2">
          <w:rPr>
            <w:rFonts w:ascii="Arial" w:hAnsi="Arial" w:cs="Arial"/>
            <w:noProof/>
            <w:webHidden/>
            <w:sz w:val="20"/>
            <w:szCs w:val="20"/>
          </w:rPr>
          <w:fldChar w:fldCharType="separate"/>
        </w:r>
        <w:r>
          <w:rPr>
            <w:rFonts w:ascii="Arial" w:hAnsi="Arial" w:cs="Arial"/>
            <w:noProof/>
            <w:webHidden/>
            <w:sz w:val="20"/>
            <w:szCs w:val="20"/>
          </w:rPr>
          <w:t>3</w:t>
        </w:r>
        <w:r w:rsidRPr="004107D2">
          <w:rPr>
            <w:rFonts w:ascii="Arial" w:hAnsi="Arial" w:cs="Arial"/>
            <w:noProof/>
            <w:webHidden/>
            <w:sz w:val="20"/>
            <w:szCs w:val="20"/>
          </w:rPr>
          <w:fldChar w:fldCharType="end"/>
        </w:r>
      </w:hyperlink>
    </w:p>
    <w:p w:rsidR="004107D2" w:rsidRPr="004107D2" w:rsidRDefault="004107D2" w:rsidP="004107D2">
      <w:pPr>
        <w:pStyle w:val="TOC1"/>
        <w:rPr>
          <w:rFonts w:ascii="Arial" w:eastAsiaTheme="minorEastAsia" w:hAnsi="Arial" w:cs="Arial"/>
          <w:noProof/>
          <w:sz w:val="20"/>
          <w:szCs w:val="20"/>
        </w:rPr>
      </w:pPr>
      <w:hyperlink w:anchor="_Toc26878598" w:history="1">
        <w:r w:rsidRPr="004107D2">
          <w:rPr>
            <w:rStyle w:val="Hyperlink"/>
            <w:rFonts w:ascii="Arial" w:hAnsi="Arial" w:cs="Arial"/>
            <w:noProof/>
            <w:sz w:val="20"/>
            <w:szCs w:val="20"/>
          </w:rPr>
          <w:t>4.</w:t>
        </w:r>
        <w:r w:rsidRPr="004107D2">
          <w:rPr>
            <w:rFonts w:ascii="Arial" w:eastAsiaTheme="minorEastAsia" w:hAnsi="Arial" w:cs="Arial"/>
            <w:noProof/>
            <w:sz w:val="20"/>
            <w:szCs w:val="20"/>
          </w:rPr>
          <w:tab/>
        </w:r>
        <w:r>
          <w:rPr>
            <w:rFonts w:ascii="Arial" w:eastAsiaTheme="minorEastAsia" w:hAnsi="Arial" w:cs="Arial"/>
            <w:noProof/>
            <w:sz w:val="20"/>
            <w:szCs w:val="20"/>
          </w:rPr>
          <w:t xml:space="preserve"> </w:t>
        </w:r>
        <w:r w:rsidRPr="004107D2">
          <w:rPr>
            <w:rStyle w:val="Hyperlink"/>
            <w:rFonts w:ascii="Arial" w:hAnsi="Arial" w:cs="Arial"/>
            <w:noProof/>
            <w:sz w:val="20"/>
            <w:szCs w:val="20"/>
          </w:rPr>
          <w:t>MANDATE AND FUNCTIONS</w:t>
        </w:r>
        <w:r w:rsidRPr="004107D2">
          <w:rPr>
            <w:rFonts w:ascii="Arial" w:hAnsi="Arial" w:cs="Arial"/>
            <w:noProof/>
            <w:webHidden/>
            <w:sz w:val="20"/>
            <w:szCs w:val="20"/>
          </w:rPr>
          <w:tab/>
        </w:r>
        <w:r w:rsidRPr="004107D2">
          <w:rPr>
            <w:rFonts w:ascii="Arial" w:hAnsi="Arial" w:cs="Arial"/>
            <w:noProof/>
            <w:webHidden/>
            <w:sz w:val="20"/>
            <w:szCs w:val="20"/>
          </w:rPr>
          <w:fldChar w:fldCharType="begin"/>
        </w:r>
        <w:r w:rsidRPr="004107D2">
          <w:rPr>
            <w:rFonts w:ascii="Arial" w:hAnsi="Arial" w:cs="Arial"/>
            <w:noProof/>
            <w:webHidden/>
            <w:sz w:val="20"/>
            <w:szCs w:val="20"/>
          </w:rPr>
          <w:instrText xml:space="preserve"> PAGEREF _Toc26878598 \h </w:instrText>
        </w:r>
        <w:r w:rsidRPr="004107D2">
          <w:rPr>
            <w:rFonts w:ascii="Arial" w:hAnsi="Arial" w:cs="Arial"/>
            <w:noProof/>
            <w:webHidden/>
            <w:sz w:val="20"/>
            <w:szCs w:val="20"/>
          </w:rPr>
        </w:r>
        <w:r w:rsidRPr="004107D2">
          <w:rPr>
            <w:rFonts w:ascii="Arial" w:hAnsi="Arial" w:cs="Arial"/>
            <w:noProof/>
            <w:webHidden/>
            <w:sz w:val="20"/>
            <w:szCs w:val="20"/>
          </w:rPr>
          <w:fldChar w:fldCharType="separate"/>
        </w:r>
        <w:r>
          <w:rPr>
            <w:rFonts w:ascii="Arial" w:hAnsi="Arial" w:cs="Arial"/>
            <w:noProof/>
            <w:webHidden/>
            <w:sz w:val="20"/>
            <w:szCs w:val="20"/>
          </w:rPr>
          <w:t>3</w:t>
        </w:r>
        <w:r w:rsidRPr="004107D2">
          <w:rPr>
            <w:rFonts w:ascii="Arial" w:hAnsi="Arial" w:cs="Arial"/>
            <w:noProof/>
            <w:webHidden/>
            <w:sz w:val="20"/>
            <w:szCs w:val="20"/>
          </w:rPr>
          <w:fldChar w:fldCharType="end"/>
        </w:r>
      </w:hyperlink>
    </w:p>
    <w:p w:rsidR="004107D2" w:rsidRPr="004107D2" w:rsidRDefault="004107D2" w:rsidP="004107D2">
      <w:pPr>
        <w:pStyle w:val="TOC1"/>
        <w:rPr>
          <w:rFonts w:ascii="Arial" w:eastAsiaTheme="minorEastAsia" w:hAnsi="Arial" w:cs="Arial"/>
          <w:noProof/>
          <w:sz w:val="20"/>
          <w:szCs w:val="20"/>
        </w:rPr>
      </w:pPr>
      <w:hyperlink w:anchor="_Toc26878599" w:history="1">
        <w:r w:rsidRPr="004107D2">
          <w:rPr>
            <w:rStyle w:val="Hyperlink"/>
            <w:rFonts w:ascii="Arial" w:hAnsi="Arial" w:cs="Arial"/>
            <w:noProof/>
            <w:sz w:val="20"/>
            <w:szCs w:val="20"/>
          </w:rPr>
          <w:t>5.</w:t>
        </w:r>
        <w:r w:rsidRPr="004107D2">
          <w:rPr>
            <w:rFonts w:ascii="Arial" w:eastAsiaTheme="minorEastAsia" w:hAnsi="Arial" w:cs="Arial"/>
            <w:noProof/>
            <w:sz w:val="20"/>
            <w:szCs w:val="20"/>
          </w:rPr>
          <w:tab/>
        </w:r>
        <w:r>
          <w:rPr>
            <w:rFonts w:ascii="Arial" w:eastAsiaTheme="minorEastAsia" w:hAnsi="Arial" w:cs="Arial"/>
            <w:noProof/>
            <w:sz w:val="20"/>
            <w:szCs w:val="20"/>
          </w:rPr>
          <w:t xml:space="preserve"> </w:t>
        </w:r>
        <w:r w:rsidRPr="004107D2">
          <w:rPr>
            <w:rStyle w:val="Hyperlink"/>
            <w:rFonts w:ascii="Arial" w:hAnsi="Arial" w:cs="Arial"/>
            <w:noProof/>
            <w:sz w:val="20"/>
            <w:szCs w:val="20"/>
          </w:rPr>
          <w:t>COMPOSITION</w:t>
        </w:r>
        <w:r w:rsidRPr="004107D2">
          <w:rPr>
            <w:rFonts w:ascii="Arial" w:hAnsi="Arial" w:cs="Arial"/>
            <w:noProof/>
            <w:webHidden/>
            <w:sz w:val="20"/>
            <w:szCs w:val="20"/>
          </w:rPr>
          <w:tab/>
        </w:r>
        <w:r w:rsidRPr="004107D2">
          <w:rPr>
            <w:rFonts w:ascii="Arial" w:hAnsi="Arial" w:cs="Arial"/>
            <w:noProof/>
            <w:webHidden/>
            <w:sz w:val="20"/>
            <w:szCs w:val="20"/>
          </w:rPr>
          <w:fldChar w:fldCharType="begin"/>
        </w:r>
        <w:r w:rsidRPr="004107D2">
          <w:rPr>
            <w:rFonts w:ascii="Arial" w:hAnsi="Arial" w:cs="Arial"/>
            <w:noProof/>
            <w:webHidden/>
            <w:sz w:val="20"/>
            <w:szCs w:val="20"/>
          </w:rPr>
          <w:instrText xml:space="preserve"> PAGEREF _Toc26878599 \h </w:instrText>
        </w:r>
        <w:r w:rsidRPr="004107D2">
          <w:rPr>
            <w:rFonts w:ascii="Arial" w:hAnsi="Arial" w:cs="Arial"/>
            <w:noProof/>
            <w:webHidden/>
            <w:sz w:val="20"/>
            <w:szCs w:val="20"/>
          </w:rPr>
        </w:r>
        <w:r w:rsidRPr="004107D2">
          <w:rPr>
            <w:rFonts w:ascii="Arial" w:hAnsi="Arial" w:cs="Arial"/>
            <w:noProof/>
            <w:webHidden/>
            <w:sz w:val="20"/>
            <w:szCs w:val="20"/>
          </w:rPr>
          <w:fldChar w:fldCharType="separate"/>
        </w:r>
        <w:r>
          <w:rPr>
            <w:rFonts w:ascii="Arial" w:hAnsi="Arial" w:cs="Arial"/>
            <w:noProof/>
            <w:webHidden/>
            <w:sz w:val="20"/>
            <w:szCs w:val="20"/>
          </w:rPr>
          <w:t>4</w:t>
        </w:r>
        <w:r w:rsidRPr="004107D2">
          <w:rPr>
            <w:rFonts w:ascii="Arial" w:hAnsi="Arial" w:cs="Arial"/>
            <w:noProof/>
            <w:webHidden/>
            <w:sz w:val="20"/>
            <w:szCs w:val="20"/>
          </w:rPr>
          <w:fldChar w:fldCharType="end"/>
        </w:r>
      </w:hyperlink>
    </w:p>
    <w:p w:rsidR="004107D2" w:rsidRPr="004107D2" w:rsidRDefault="004107D2" w:rsidP="004107D2">
      <w:pPr>
        <w:pStyle w:val="TOC2"/>
        <w:tabs>
          <w:tab w:val="right" w:leader="dot" w:pos="9017"/>
        </w:tabs>
        <w:rPr>
          <w:rFonts w:eastAsiaTheme="minorEastAsia"/>
          <w:bCs w:val="0"/>
          <w:caps w:val="0"/>
          <w:noProof/>
        </w:rPr>
      </w:pPr>
      <w:hyperlink w:anchor="_Toc26878600" w:history="1">
        <w:r w:rsidRPr="004107D2">
          <w:rPr>
            <w:noProof/>
          </w:rPr>
          <w:t>Membership</w:t>
        </w:r>
        <w:r w:rsidRPr="004107D2">
          <w:rPr>
            <w:noProof/>
            <w:webHidden/>
          </w:rPr>
          <w:tab/>
        </w:r>
        <w:r w:rsidRPr="004107D2">
          <w:rPr>
            <w:noProof/>
            <w:webHidden/>
          </w:rPr>
          <w:fldChar w:fldCharType="begin"/>
        </w:r>
        <w:r w:rsidRPr="004107D2">
          <w:rPr>
            <w:noProof/>
            <w:webHidden/>
          </w:rPr>
          <w:instrText xml:space="preserve"> PAGEREF _Toc26878600 \h </w:instrText>
        </w:r>
        <w:r w:rsidRPr="004107D2">
          <w:rPr>
            <w:noProof/>
            <w:webHidden/>
          </w:rPr>
        </w:r>
        <w:r w:rsidRPr="004107D2">
          <w:rPr>
            <w:noProof/>
            <w:webHidden/>
          </w:rPr>
          <w:fldChar w:fldCharType="separate"/>
        </w:r>
        <w:r>
          <w:rPr>
            <w:noProof/>
            <w:webHidden/>
          </w:rPr>
          <w:t>4</w:t>
        </w:r>
        <w:r w:rsidRPr="004107D2">
          <w:rPr>
            <w:noProof/>
            <w:webHidden/>
          </w:rPr>
          <w:fldChar w:fldCharType="end"/>
        </w:r>
      </w:hyperlink>
    </w:p>
    <w:p w:rsidR="004107D2" w:rsidRPr="004107D2" w:rsidRDefault="004107D2" w:rsidP="004107D2">
      <w:pPr>
        <w:pStyle w:val="TOC2"/>
        <w:tabs>
          <w:tab w:val="right" w:leader="dot" w:pos="9017"/>
        </w:tabs>
        <w:ind w:left="270"/>
        <w:rPr>
          <w:rFonts w:eastAsiaTheme="minorEastAsia"/>
          <w:bCs w:val="0"/>
          <w:caps w:val="0"/>
          <w:noProof/>
        </w:rPr>
      </w:pPr>
      <w:hyperlink w:anchor="_Toc26878601" w:history="1">
        <w:r w:rsidRPr="004107D2">
          <w:rPr>
            <w:rStyle w:val="Hyperlink"/>
            <w:noProof/>
          </w:rPr>
          <w:t>Qualifications</w:t>
        </w:r>
        <w:r w:rsidRPr="004107D2">
          <w:rPr>
            <w:noProof/>
            <w:webHidden/>
          </w:rPr>
          <w:tab/>
        </w:r>
        <w:r w:rsidRPr="004107D2">
          <w:rPr>
            <w:noProof/>
            <w:webHidden/>
          </w:rPr>
          <w:fldChar w:fldCharType="begin"/>
        </w:r>
        <w:r w:rsidRPr="004107D2">
          <w:rPr>
            <w:noProof/>
            <w:webHidden/>
          </w:rPr>
          <w:instrText xml:space="preserve"> PAGEREF _Toc26878601 \h </w:instrText>
        </w:r>
        <w:r w:rsidRPr="004107D2">
          <w:rPr>
            <w:noProof/>
            <w:webHidden/>
          </w:rPr>
        </w:r>
        <w:r w:rsidRPr="004107D2">
          <w:rPr>
            <w:noProof/>
            <w:webHidden/>
          </w:rPr>
          <w:fldChar w:fldCharType="separate"/>
        </w:r>
        <w:r>
          <w:rPr>
            <w:noProof/>
            <w:webHidden/>
          </w:rPr>
          <w:t>4</w:t>
        </w:r>
        <w:r w:rsidRPr="004107D2">
          <w:rPr>
            <w:noProof/>
            <w:webHidden/>
          </w:rPr>
          <w:fldChar w:fldCharType="end"/>
        </w:r>
      </w:hyperlink>
    </w:p>
    <w:p w:rsidR="004107D2" w:rsidRPr="004107D2" w:rsidRDefault="004107D2" w:rsidP="004107D2">
      <w:pPr>
        <w:pStyle w:val="TOC2"/>
        <w:tabs>
          <w:tab w:val="right" w:leader="dot" w:pos="9017"/>
        </w:tabs>
        <w:ind w:left="270"/>
        <w:rPr>
          <w:rFonts w:eastAsiaTheme="minorEastAsia"/>
          <w:bCs w:val="0"/>
          <w:caps w:val="0"/>
          <w:noProof/>
        </w:rPr>
      </w:pPr>
      <w:hyperlink w:anchor="_Toc26878602" w:history="1">
        <w:r w:rsidRPr="004107D2">
          <w:rPr>
            <w:rStyle w:val="Hyperlink"/>
            <w:noProof/>
          </w:rPr>
          <w:t>Term of Office</w:t>
        </w:r>
        <w:r w:rsidRPr="004107D2">
          <w:rPr>
            <w:noProof/>
            <w:webHidden/>
          </w:rPr>
          <w:tab/>
        </w:r>
        <w:r w:rsidRPr="004107D2">
          <w:rPr>
            <w:noProof/>
            <w:webHidden/>
          </w:rPr>
          <w:fldChar w:fldCharType="begin"/>
        </w:r>
        <w:r w:rsidRPr="004107D2">
          <w:rPr>
            <w:noProof/>
            <w:webHidden/>
          </w:rPr>
          <w:instrText xml:space="preserve"> PAGEREF _Toc26878602 \h </w:instrText>
        </w:r>
        <w:r w:rsidRPr="004107D2">
          <w:rPr>
            <w:noProof/>
            <w:webHidden/>
          </w:rPr>
        </w:r>
        <w:r w:rsidRPr="004107D2">
          <w:rPr>
            <w:noProof/>
            <w:webHidden/>
          </w:rPr>
          <w:fldChar w:fldCharType="separate"/>
        </w:r>
        <w:r>
          <w:rPr>
            <w:noProof/>
            <w:webHidden/>
          </w:rPr>
          <w:t>4</w:t>
        </w:r>
        <w:r w:rsidRPr="004107D2">
          <w:rPr>
            <w:noProof/>
            <w:webHidden/>
          </w:rPr>
          <w:fldChar w:fldCharType="end"/>
        </w:r>
      </w:hyperlink>
    </w:p>
    <w:p w:rsidR="004107D2" w:rsidRPr="004107D2" w:rsidRDefault="004107D2" w:rsidP="004107D2">
      <w:pPr>
        <w:pStyle w:val="TOC2"/>
        <w:tabs>
          <w:tab w:val="right" w:leader="dot" w:pos="9017"/>
        </w:tabs>
        <w:ind w:left="270"/>
        <w:rPr>
          <w:rFonts w:eastAsiaTheme="minorEastAsia"/>
          <w:bCs w:val="0"/>
          <w:caps w:val="0"/>
          <w:noProof/>
        </w:rPr>
      </w:pPr>
      <w:hyperlink w:anchor="_Toc26878603" w:history="1">
        <w:r w:rsidRPr="004107D2">
          <w:rPr>
            <w:rStyle w:val="Hyperlink"/>
            <w:noProof/>
          </w:rPr>
          <w:t>Responsibility</w:t>
        </w:r>
        <w:r w:rsidRPr="004107D2">
          <w:rPr>
            <w:noProof/>
            <w:webHidden/>
          </w:rPr>
          <w:tab/>
        </w:r>
        <w:r w:rsidRPr="004107D2">
          <w:rPr>
            <w:noProof/>
            <w:webHidden/>
          </w:rPr>
          <w:fldChar w:fldCharType="begin"/>
        </w:r>
        <w:r w:rsidRPr="004107D2">
          <w:rPr>
            <w:noProof/>
            <w:webHidden/>
          </w:rPr>
          <w:instrText xml:space="preserve"> PAGEREF _Toc26878603 \h </w:instrText>
        </w:r>
        <w:r w:rsidRPr="004107D2">
          <w:rPr>
            <w:noProof/>
            <w:webHidden/>
          </w:rPr>
        </w:r>
        <w:r w:rsidRPr="004107D2">
          <w:rPr>
            <w:noProof/>
            <w:webHidden/>
          </w:rPr>
          <w:fldChar w:fldCharType="separate"/>
        </w:r>
        <w:r>
          <w:rPr>
            <w:noProof/>
            <w:webHidden/>
          </w:rPr>
          <w:t>4</w:t>
        </w:r>
        <w:r w:rsidRPr="004107D2">
          <w:rPr>
            <w:noProof/>
            <w:webHidden/>
          </w:rPr>
          <w:fldChar w:fldCharType="end"/>
        </w:r>
      </w:hyperlink>
    </w:p>
    <w:p w:rsidR="004107D2" w:rsidRPr="004107D2" w:rsidRDefault="004107D2" w:rsidP="004107D2">
      <w:pPr>
        <w:pStyle w:val="TOC2"/>
        <w:tabs>
          <w:tab w:val="right" w:leader="dot" w:pos="9017"/>
        </w:tabs>
        <w:ind w:left="270"/>
        <w:rPr>
          <w:rFonts w:eastAsiaTheme="minorEastAsia"/>
          <w:bCs w:val="0"/>
          <w:caps w:val="0"/>
          <w:noProof/>
        </w:rPr>
      </w:pPr>
      <w:hyperlink w:anchor="_Toc26878604" w:history="1">
        <w:r w:rsidRPr="004107D2">
          <w:rPr>
            <w:rStyle w:val="Hyperlink"/>
            <w:noProof/>
          </w:rPr>
          <w:t>Chair of the AICHR</w:t>
        </w:r>
        <w:r w:rsidRPr="004107D2">
          <w:rPr>
            <w:noProof/>
            <w:webHidden/>
          </w:rPr>
          <w:tab/>
        </w:r>
        <w:r w:rsidRPr="004107D2">
          <w:rPr>
            <w:noProof/>
            <w:webHidden/>
          </w:rPr>
          <w:fldChar w:fldCharType="begin"/>
        </w:r>
        <w:r w:rsidRPr="004107D2">
          <w:rPr>
            <w:noProof/>
            <w:webHidden/>
          </w:rPr>
          <w:instrText xml:space="preserve"> PAGEREF _Toc26878604 \h </w:instrText>
        </w:r>
        <w:r w:rsidRPr="004107D2">
          <w:rPr>
            <w:noProof/>
            <w:webHidden/>
          </w:rPr>
        </w:r>
        <w:r w:rsidRPr="004107D2">
          <w:rPr>
            <w:noProof/>
            <w:webHidden/>
          </w:rPr>
          <w:fldChar w:fldCharType="separate"/>
        </w:r>
        <w:r>
          <w:rPr>
            <w:noProof/>
            <w:webHidden/>
          </w:rPr>
          <w:t>4</w:t>
        </w:r>
        <w:r w:rsidRPr="004107D2">
          <w:rPr>
            <w:noProof/>
            <w:webHidden/>
          </w:rPr>
          <w:fldChar w:fldCharType="end"/>
        </w:r>
      </w:hyperlink>
    </w:p>
    <w:p w:rsidR="004107D2" w:rsidRPr="004107D2" w:rsidRDefault="004107D2" w:rsidP="004107D2">
      <w:pPr>
        <w:pStyle w:val="TOC2"/>
        <w:tabs>
          <w:tab w:val="right" w:leader="dot" w:pos="9017"/>
        </w:tabs>
        <w:ind w:left="270"/>
        <w:rPr>
          <w:rFonts w:eastAsiaTheme="minorEastAsia"/>
          <w:bCs w:val="0"/>
          <w:caps w:val="0"/>
          <w:noProof/>
        </w:rPr>
      </w:pPr>
      <w:hyperlink w:anchor="_Toc26878605" w:history="1">
        <w:r w:rsidRPr="004107D2">
          <w:rPr>
            <w:rStyle w:val="Hyperlink"/>
            <w:noProof/>
          </w:rPr>
          <w:t>Immunities and Privileges</w:t>
        </w:r>
        <w:r w:rsidRPr="004107D2">
          <w:rPr>
            <w:noProof/>
            <w:webHidden/>
          </w:rPr>
          <w:tab/>
        </w:r>
        <w:r w:rsidRPr="004107D2">
          <w:rPr>
            <w:noProof/>
            <w:webHidden/>
          </w:rPr>
          <w:fldChar w:fldCharType="begin"/>
        </w:r>
        <w:r w:rsidRPr="004107D2">
          <w:rPr>
            <w:noProof/>
            <w:webHidden/>
          </w:rPr>
          <w:instrText xml:space="preserve"> PAGEREF _Toc26878605 \h </w:instrText>
        </w:r>
        <w:r w:rsidRPr="004107D2">
          <w:rPr>
            <w:noProof/>
            <w:webHidden/>
          </w:rPr>
        </w:r>
        <w:r w:rsidRPr="004107D2">
          <w:rPr>
            <w:noProof/>
            <w:webHidden/>
          </w:rPr>
          <w:fldChar w:fldCharType="separate"/>
        </w:r>
        <w:r>
          <w:rPr>
            <w:noProof/>
            <w:webHidden/>
          </w:rPr>
          <w:t>5</w:t>
        </w:r>
        <w:r w:rsidRPr="004107D2">
          <w:rPr>
            <w:noProof/>
            <w:webHidden/>
          </w:rPr>
          <w:fldChar w:fldCharType="end"/>
        </w:r>
      </w:hyperlink>
    </w:p>
    <w:p w:rsidR="004107D2" w:rsidRPr="004107D2" w:rsidRDefault="004107D2" w:rsidP="004107D2">
      <w:pPr>
        <w:pStyle w:val="TOC1"/>
        <w:rPr>
          <w:rFonts w:ascii="Arial" w:eastAsiaTheme="minorEastAsia" w:hAnsi="Arial" w:cs="Arial"/>
          <w:noProof/>
          <w:sz w:val="20"/>
          <w:szCs w:val="20"/>
        </w:rPr>
      </w:pPr>
      <w:hyperlink w:anchor="_Toc26878606" w:history="1">
        <w:r w:rsidRPr="004107D2">
          <w:rPr>
            <w:rStyle w:val="Hyperlink"/>
            <w:rFonts w:ascii="Arial" w:hAnsi="Arial" w:cs="Arial"/>
            <w:noProof/>
            <w:sz w:val="20"/>
            <w:szCs w:val="20"/>
          </w:rPr>
          <w:t>6.</w:t>
        </w:r>
        <w:r w:rsidRPr="004107D2">
          <w:rPr>
            <w:rFonts w:ascii="Arial" w:eastAsiaTheme="minorEastAsia" w:hAnsi="Arial" w:cs="Arial"/>
            <w:noProof/>
            <w:sz w:val="20"/>
            <w:szCs w:val="20"/>
          </w:rPr>
          <w:tab/>
        </w:r>
        <w:r>
          <w:rPr>
            <w:rFonts w:ascii="Arial" w:eastAsiaTheme="minorEastAsia" w:hAnsi="Arial" w:cs="Arial"/>
            <w:noProof/>
            <w:sz w:val="20"/>
            <w:szCs w:val="20"/>
          </w:rPr>
          <w:t xml:space="preserve"> </w:t>
        </w:r>
        <w:r w:rsidRPr="004107D2">
          <w:rPr>
            <w:rStyle w:val="Hyperlink"/>
            <w:rFonts w:ascii="Arial" w:hAnsi="Arial" w:cs="Arial"/>
            <w:noProof/>
            <w:sz w:val="20"/>
            <w:szCs w:val="20"/>
          </w:rPr>
          <w:t>MODALITIES</w:t>
        </w:r>
        <w:r w:rsidRPr="004107D2">
          <w:rPr>
            <w:rFonts w:ascii="Arial" w:hAnsi="Arial" w:cs="Arial"/>
            <w:noProof/>
            <w:webHidden/>
            <w:sz w:val="20"/>
            <w:szCs w:val="20"/>
          </w:rPr>
          <w:tab/>
        </w:r>
        <w:r w:rsidRPr="004107D2">
          <w:rPr>
            <w:rFonts w:ascii="Arial" w:hAnsi="Arial" w:cs="Arial"/>
            <w:noProof/>
            <w:webHidden/>
            <w:sz w:val="20"/>
            <w:szCs w:val="20"/>
          </w:rPr>
          <w:fldChar w:fldCharType="begin"/>
        </w:r>
        <w:r w:rsidRPr="004107D2">
          <w:rPr>
            <w:rFonts w:ascii="Arial" w:hAnsi="Arial" w:cs="Arial"/>
            <w:noProof/>
            <w:webHidden/>
            <w:sz w:val="20"/>
            <w:szCs w:val="20"/>
          </w:rPr>
          <w:instrText xml:space="preserve"> PAGEREF _Toc26878606 \h </w:instrText>
        </w:r>
        <w:r w:rsidRPr="004107D2">
          <w:rPr>
            <w:rFonts w:ascii="Arial" w:hAnsi="Arial" w:cs="Arial"/>
            <w:noProof/>
            <w:webHidden/>
            <w:sz w:val="20"/>
            <w:szCs w:val="20"/>
          </w:rPr>
        </w:r>
        <w:r w:rsidRPr="004107D2">
          <w:rPr>
            <w:rFonts w:ascii="Arial" w:hAnsi="Arial" w:cs="Arial"/>
            <w:noProof/>
            <w:webHidden/>
            <w:sz w:val="20"/>
            <w:szCs w:val="20"/>
          </w:rPr>
          <w:fldChar w:fldCharType="separate"/>
        </w:r>
        <w:r>
          <w:rPr>
            <w:rFonts w:ascii="Arial" w:hAnsi="Arial" w:cs="Arial"/>
            <w:noProof/>
            <w:webHidden/>
            <w:sz w:val="20"/>
            <w:szCs w:val="20"/>
          </w:rPr>
          <w:t>5</w:t>
        </w:r>
        <w:r w:rsidRPr="004107D2">
          <w:rPr>
            <w:rFonts w:ascii="Arial" w:hAnsi="Arial" w:cs="Arial"/>
            <w:noProof/>
            <w:webHidden/>
            <w:sz w:val="20"/>
            <w:szCs w:val="20"/>
          </w:rPr>
          <w:fldChar w:fldCharType="end"/>
        </w:r>
      </w:hyperlink>
    </w:p>
    <w:p w:rsidR="004107D2" w:rsidRPr="004107D2" w:rsidRDefault="004107D2">
      <w:pPr>
        <w:pStyle w:val="TOC2"/>
        <w:tabs>
          <w:tab w:val="right" w:leader="dot" w:pos="9017"/>
        </w:tabs>
        <w:rPr>
          <w:rFonts w:eastAsiaTheme="minorEastAsia"/>
          <w:bCs w:val="0"/>
          <w:caps w:val="0"/>
          <w:noProof/>
        </w:rPr>
      </w:pPr>
      <w:hyperlink w:anchor="_Toc26878607" w:history="1">
        <w:r w:rsidRPr="004107D2">
          <w:rPr>
            <w:rStyle w:val="Hyperlink"/>
            <w:noProof/>
          </w:rPr>
          <w:t>Decision-making</w:t>
        </w:r>
        <w:r w:rsidRPr="004107D2">
          <w:rPr>
            <w:noProof/>
            <w:webHidden/>
          </w:rPr>
          <w:tab/>
        </w:r>
        <w:r w:rsidRPr="004107D2">
          <w:rPr>
            <w:noProof/>
            <w:webHidden/>
          </w:rPr>
          <w:fldChar w:fldCharType="begin"/>
        </w:r>
        <w:r w:rsidRPr="004107D2">
          <w:rPr>
            <w:noProof/>
            <w:webHidden/>
          </w:rPr>
          <w:instrText xml:space="preserve"> PAGEREF _Toc26878607 \h </w:instrText>
        </w:r>
        <w:r w:rsidRPr="004107D2">
          <w:rPr>
            <w:noProof/>
            <w:webHidden/>
          </w:rPr>
        </w:r>
        <w:r w:rsidRPr="004107D2">
          <w:rPr>
            <w:noProof/>
            <w:webHidden/>
          </w:rPr>
          <w:fldChar w:fldCharType="separate"/>
        </w:r>
        <w:r>
          <w:rPr>
            <w:noProof/>
            <w:webHidden/>
          </w:rPr>
          <w:t>5</w:t>
        </w:r>
        <w:r w:rsidRPr="004107D2">
          <w:rPr>
            <w:noProof/>
            <w:webHidden/>
          </w:rPr>
          <w:fldChar w:fldCharType="end"/>
        </w:r>
      </w:hyperlink>
    </w:p>
    <w:p w:rsidR="004107D2" w:rsidRPr="004107D2" w:rsidRDefault="004107D2">
      <w:pPr>
        <w:pStyle w:val="TOC2"/>
        <w:tabs>
          <w:tab w:val="right" w:leader="dot" w:pos="9017"/>
        </w:tabs>
        <w:rPr>
          <w:rFonts w:eastAsiaTheme="minorEastAsia"/>
          <w:bCs w:val="0"/>
          <w:caps w:val="0"/>
          <w:noProof/>
        </w:rPr>
      </w:pPr>
      <w:hyperlink w:anchor="_Toc26878608" w:history="1">
        <w:r w:rsidRPr="004107D2">
          <w:rPr>
            <w:rStyle w:val="Hyperlink"/>
            <w:noProof/>
          </w:rPr>
          <w:t>Number of Meetings</w:t>
        </w:r>
        <w:r w:rsidRPr="004107D2">
          <w:rPr>
            <w:noProof/>
            <w:webHidden/>
          </w:rPr>
          <w:tab/>
        </w:r>
        <w:r w:rsidRPr="004107D2">
          <w:rPr>
            <w:noProof/>
            <w:webHidden/>
          </w:rPr>
          <w:fldChar w:fldCharType="begin"/>
        </w:r>
        <w:r w:rsidRPr="004107D2">
          <w:rPr>
            <w:noProof/>
            <w:webHidden/>
          </w:rPr>
          <w:instrText xml:space="preserve"> PAGEREF _Toc26878608 \h </w:instrText>
        </w:r>
        <w:r w:rsidRPr="004107D2">
          <w:rPr>
            <w:noProof/>
            <w:webHidden/>
          </w:rPr>
        </w:r>
        <w:r w:rsidRPr="004107D2">
          <w:rPr>
            <w:noProof/>
            <w:webHidden/>
          </w:rPr>
          <w:fldChar w:fldCharType="separate"/>
        </w:r>
        <w:r>
          <w:rPr>
            <w:noProof/>
            <w:webHidden/>
          </w:rPr>
          <w:t>5</w:t>
        </w:r>
        <w:r w:rsidRPr="004107D2">
          <w:rPr>
            <w:noProof/>
            <w:webHidden/>
          </w:rPr>
          <w:fldChar w:fldCharType="end"/>
        </w:r>
      </w:hyperlink>
    </w:p>
    <w:p w:rsidR="004107D2" w:rsidRPr="004107D2" w:rsidRDefault="004107D2">
      <w:pPr>
        <w:pStyle w:val="TOC2"/>
        <w:tabs>
          <w:tab w:val="right" w:leader="dot" w:pos="9017"/>
        </w:tabs>
        <w:rPr>
          <w:rFonts w:eastAsiaTheme="minorEastAsia"/>
          <w:bCs w:val="0"/>
          <w:caps w:val="0"/>
          <w:noProof/>
        </w:rPr>
      </w:pPr>
      <w:hyperlink w:anchor="_Toc26878609" w:history="1">
        <w:r w:rsidRPr="004107D2">
          <w:rPr>
            <w:rStyle w:val="Hyperlink"/>
            <w:noProof/>
          </w:rPr>
          <w:t>Line of Reporting</w:t>
        </w:r>
        <w:r w:rsidRPr="004107D2">
          <w:rPr>
            <w:noProof/>
            <w:webHidden/>
          </w:rPr>
          <w:tab/>
        </w:r>
        <w:r w:rsidRPr="004107D2">
          <w:rPr>
            <w:noProof/>
            <w:webHidden/>
          </w:rPr>
          <w:fldChar w:fldCharType="begin"/>
        </w:r>
        <w:r w:rsidRPr="004107D2">
          <w:rPr>
            <w:noProof/>
            <w:webHidden/>
          </w:rPr>
          <w:instrText xml:space="preserve"> PAGEREF _Toc26878609 \h </w:instrText>
        </w:r>
        <w:r w:rsidRPr="004107D2">
          <w:rPr>
            <w:noProof/>
            <w:webHidden/>
          </w:rPr>
        </w:r>
        <w:r w:rsidRPr="004107D2">
          <w:rPr>
            <w:noProof/>
            <w:webHidden/>
          </w:rPr>
          <w:fldChar w:fldCharType="separate"/>
        </w:r>
        <w:r>
          <w:rPr>
            <w:noProof/>
            <w:webHidden/>
          </w:rPr>
          <w:t>5</w:t>
        </w:r>
        <w:r w:rsidRPr="004107D2">
          <w:rPr>
            <w:noProof/>
            <w:webHidden/>
          </w:rPr>
          <w:fldChar w:fldCharType="end"/>
        </w:r>
      </w:hyperlink>
    </w:p>
    <w:p w:rsidR="004107D2" w:rsidRPr="004107D2" w:rsidRDefault="004107D2">
      <w:pPr>
        <w:pStyle w:val="TOC2"/>
        <w:tabs>
          <w:tab w:val="right" w:leader="dot" w:pos="9017"/>
        </w:tabs>
        <w:rPr>
          <w:rFonts w:eastAsiaTheme="minorEastAsia"/>
          <w:bCs w:val="0"/>
          <w:caps w:val="0"/>
          <w:noProof/>
        </w:rPr>
      </w:pPr>
      <w:hyperlink w:anchor="_Toc26878610" w:history="1">
        <w:r w:rsidRPr="004107D2">
          <w:rPr>
            <w:rStyle w:val="Hyperlink"/>
            <w:noProof/>
          </w:rPr>
          <w:t>Public Information</w:t>
        </w:r>
        <w:r w:rsidRPr="004107D2">
          <w:rPr>
            <w:noProof/>
            <w:webHidden/>
          </w:rPr>
          <w:tab/>
        </w:r>
        <w:r w:rsidRPr="004107D2">
          <w:rPr>
            <w:noProof/>
            <w:webHidden/>
          </w:rPr>
          <w:fldChar w:fldCharType="begin"/>
        </w:r>
        <w:r w:rsidRPr="004107D2">
          <w:rPr>
            <w:noProof/>
            <w:webHidden/>
          </w:rPr>
          <w:instrText xml:space="preserve"> PAGEREF _Toc26878610 \h </w:instrText>
        </w:r>
        <w:r w:rsidRPr="004107D2">
          <w:rPr>
            <w:noProof/>
            <w:webHidden/>
          </w:rPr>
        </w:r>
        <w:r w:rsidRPr="004107D2">
          <w:rPr>
            <w:noProof/>
            <w:webHidden/>
          </w:rPr>
          <w:fldChar w:fldCharType="separate"/>
        </w:r>
        <w:r>
          <w:rPr>
            <w:noProof/>
            <w:webHidden/>
          </w:rPr>
          <w:t>5</w:t>
        </w:r>
        <w:r w:rsidRPr="004107D2">
          <w:rPr>
            <w:noProof/>
            <w:webHidden/>
          </w:rPr>
          <w:fldChar w:fldCharType="end"/>
        </w:r>
      </w:hyperlink>
    </w:p>
    <w:p w:rsidR="004107D2" w:rsidRPr="004107D2" w:rsidRDefault="004107D2">
      <w:pPr>
        <w:pStyle w:val="TOC2"/>
        <w:tabs>
          <w:tab w:val="right" w:leader="dot" w:pos="9017"/>
        </w:tabs>
        <w:rPr>
          <w:rFonts w:eastAsiaTheme="minorEastAsia"/>
          <w:bCs w:val="0"/>
          <w:caps w:val="0"/>
          <w:noProof/>
        </w:rPr>
      </w:pPr>
      <w:hyperlink w:anchor="_Toc26878611" w:history="1">
        <w:r w:rsidRPr="004107D2">
          <w:rPr>
            <w:rStyle w:val="Hyperlink"/>
            <w:noProof/>
          </w:rPr>
          <w:t>Relationship with Other Human Rights Bodies within ASEAN</w:t>
        </w:r>
        <w:r w:rsidRPr="004107D2">
          <w:rPr>
            <w:noProof/>
            <w:webHidden/>
          </w:rPr>
          <w:tab/>
        </w:r>
        <w:r w:rsidRPr="004107D2">
          <w:rPr>
            <w:noProof/>
            <w:webHidden/>
          </w:rPr>
          <w:fldChar w:fldCharType="begin"/>
        </w:r>
        <w:r w:rsidRPr="004107D2">
          <w:rPr>
            <w:noProof/>
            <w:webHidden/>
          </w:rPr>
          <w:instrText xml:space="preserve"> PAGEREF _Toc26878611 \h </w:instrText>
        </w:r>
        <w:r w:rsidRPr="004107D2">
          <w:rPr>
            <w:noProof/>
            <w:webHidden/>
          </w:rPr>
        </w:r>
        <w:r w:rsidRPr="004107D2">
          <w:rPr>
            <w:noProof/>
            <w:webHidden/>
          </w:rPr>
          <w:fldChar w:fldCharType="separate"/>
        </w:r>
        <w:r>
          <w:rPr>
            <w:noProof/>
            <w:webHidden/>
          </w:rPr>
          <w:t>6</w:t>
        </w:r>
        <w:r w:rsidRPr="004107D2">
          <w:rPr>
            <w:noProof/>
            <w:webHidden/>
          </w:rPr>
          <w:fldChar w:fldCharType="end"/>
        </w:r>
      </w:hyperlink>
    </w:p>
    <w:p w:rsidR="004107D2" w:rsidRPr="004107D2" w:rsidRDefault="004107D2" w:rsidP="004107D2">
      <w:pPr>
        <w:pStyle w:val="TOC1"/>
        <w:rPr>
          <w:rFonts w:ascii="Arial" w:eastAsiaTheme="minorEastAsia" w:hAnsi="Arial" w:cs="Arial"/>
          <w:noProof/>
          <w:sz w:val="20"/>
          <w:szCs w:val="20"/>
        </w:rPr>
      </w:pPr>
      <w:hyperlink w:anchor="_Toc26878612" w:history="1">
        <w:r w:rsidRPr="004107D2">
          <w:rPr>
            <w:rStyle w:val="Hyperlink"/>
            <w:rFonts w:ascii="Arial" w:hAnsi="Arial" w:cs="Arial"/>
            <w:noProof/>
            <w:sz w:val="20"/>
            <w:szCs w:val="20"/>
          </w:rPr>
          <w:t>7.</w:t>
        </w:r>
        <w:r w:rsidRPr="004107D2">
          <w:rPr>
            <w:rFonts w:ascii="Arial" w:eastAsiaTheme="minorEastAsia" w:hAnsi="Arial" w:cs="Arial"/>
            <w:noProof/>
            <w:sz w:val="20"/>
            <w:szCs w:val="20"/>
          </w:rPr>
          <w:tab/>
        </w:r>
        <w:r>
          <w:rPr>
            <w:rFonts w:ascii="Arial" w:eastAsiaTheme="minorEastAsia" w:hAnsi="Arial" w:cs="Arial"/>
            <w:noProof/>
            <w:sz w:val="20"/>
            <w:szCs w:val="20"/>
          </w:rPr>
          <w:t xml:space="preserve"> </w:t>
        </w:r>
        <w:r w:rsidRPr="004107D2">
          <w:rPr>
            <w:rStyle w:val="Hyperlink"/>
            <w:rFonts w:ascii="Arial" w:hAnsi="Arial" w:cs="Arial"/>
            <w:noProof/>
            <w:sz w:val="20"/>
            <w:szCs w:val="20"/>
          </w:rPr>
          <w:t>ROLE OF THE SECRETARY-GENERAL AND ASEAN SECRETARIAT</w:t>
        </w:r>
        <w:r w:rsidRPr="004107D2">
          <w:rPr>
            <w:rFonts w:ascii="Arial" w:hAnsi="Arial" w:cs="Arial"/>
            <w:noProof/>
            <w:webHidden/>
            <w:sz w:val="20"/>
            <w:szCs w:val="20"/>
          </w:rPr>
          <w:tab/>
        </w:r>
        <w:r w:rsidRPr="004107D2">
          <w:rPr>
            <w:rFonts w:ascii="Arial" w:hAnsi="Arial" w:cs="Arial"/>
            <w:noProof/>
            <w:webHidden/>
            <w:sz w:val="20"/>
            <w:szCs w:val="20"/>
          </w:rPr>
          <w:fldChar w:fldCharType="begin"/>
        </w:r>
        <w:r w:rsidRPr="004107D2">
          <w:rPr>
            <w:rFonts w:ascii="Arial" w:hAnsi="Arial" w:cs="Arial"/>
            <w:noProof/>
            <w:webHidden/>
            <w:sz w:val="20"/>
            <w:szCs w:val="20"/>
          </w:rPr>
          <w:instrText xml:space="preserve"> PAGEREF _Toc26878612 \h </w:instrText>
        </w:r>
        <w:r w:rsidRPr="004107D2">
          <w:rPr>
            <w:rFonts w:ascii="Arial" w:hAnsi="Arial" w:cs="Arial"/>
            <w:noProof/>
            <w:webHidden/>
            <w:sz w:val="20"/>
            <w:szCs w:val="20"/>
          </w:rPr>
        </w:r>
        <w:r w:rsidRPr="004107D2">
          <w:rPr>
            <w:rFonts w:ascii="Arial" w:hAnsi="Arial" w:cs="Arial"/>
            <w:noProof/>
            <w:webHidden/>
            <w:sz w:val="20"/>
            <w:szCs w:val="20"/>
          </w:rPr>
          <w:fldChar w:fldCharType="separate"/>
        </w:r>
        <w:r>
          <w:rPr>
            <w:rFonts w:ascii="Arial" w:hAnsi="Arial" w:cs="Arial"/>
            <w:noProof/>
            <w:webHidden/>
            <w:sz w:val="20"/>
            <w:szCs w:val="20"/>
          </w:rPr>
          <w:t>6</w:t>
        </w:r>
        <w:r w:rsidRPr="004107D2">
          <w:rPr>
            <w:rFonts w:ascii="Arial" w:hAnsi="Arial" w:cs="Arial"/>
            <w:noProof/>
            <w:webHidden/>
            <w:sz w:val="20"/>
            <w:szCs w:val="20"/>
          </w:rPr>
          <w:fldChar w:fldCharType="end"/>
        </w:r>
      </w:hyperlink>
    </w:p>
    <w:p w:rsidR="004107D2" w:rsidRPr="004107D2" w:rsidRDefault="004107D2" w:rsidP="004107D2">
      <w:pPr>
        <w:pStyle w:val="TOC1"/>
        <w:rPr>
          <w:rFonts w:ascii="Arial" w:eastAsiaTheme="minorEastAsia" w:hAnsi="Arial" w:cs="Arial"/>
          <w:noProof/>
          <w:sz w:val="20"/>
          <w:szCs w:val="20"/>
        </w:rPr>
      </w:pPr>
      <w:hyperlink w:anchor="_Toc26878613" w:history="1">
        <w:r w:rsidRPr="004107D2">
          <w:rPr>
            <w:rStyle w:val="Hyperlink"/>
            <w:rFonts w:ascii="Arial" w:hAnsi="Arial" w:cs="Arial"/>
            <w:noProof/>
            <w:sz w:val="20"/>
            <w:szCs w:val="20"/>
          </w:rPr>
          <w:t>8.</w:t>
        </w:r>
        <w:r w:rsidRPr="004107D2">
          <w:rPr>
            <w:rFonts w:ascii="Arial" w:eastAsiaTheme="minorEastAsia" w:hAnsi="Arial" w:cs="Arial"/>
            <w:noProof/>
            <w:sz w:val="20"/>
            <w:szCs w:val="20"/>
          </w:rPr>
          <w:tab/>
        </w:r>
        <w:r>
          <w:rPr>
            <w:rFonts w:ascii="Arial" w:eastAsiaTheme="minorEastAsia" w:hAnsi="Arial" w:cs="Arial"/>
            <w:noProof/>
            <w:sz w:val="20"/>
            <w:szCs w:val="20"/>
          </w:rPr>
          <w:t xml:space="preserve"> </w:t>
        </w:r>
        <w:r w:rsidRPr="004107D2">
          <w:rPr>
            <w:rStyle w:val="Hyperlink"/>
            <w:rFonts w:ascii="Arial" w:hAnsi="Arial" w:cs="Arial"/>
            <w:noProof/>
            <w:sz w:val="20"/>
            <w:szCs w:val="20"/>
          </w:rPr>
          <w:t>WORK PLAN AND FUNDING</w:t>
        </w:r>
        <w:r w:rsidRPr="004107D2">
          <w:rPr>
            <w:rFonts w:ascii="Arial" w:hAnsi="Arial" w:cs="Arial"/>
            <w:noProof/>
            <w:webHidden/>
            <w:sz w:val="20"/>
            <w:szCs w:val="20"/>
          </w:rPr>
          <w:tab/>
        </w:r>
        <w:r w:rsidRPr="004107D2">
          <w:rPr>
            <w:rFonts w:ascii="Arial" w:hAnsi="Arial" w:cs="Arial"/>
            <w:noProof/>
            <w:webHidden/>
            <w:sz w:val="20"/>
            <w:szCs w:val="20"/>
          </w:rPr>
          <w:fldChar w:fldCharType="begin"/>
        </w:r>
        <w:r w:rsidRPr="004107D2">
          <w:rPr>
            <w:rFonts w:ascii="Arial" w:hAnsi="Arial" w:cs="Arial"/>
            <w:noProof/>
            <w:webHidden/>
            <w:sz w:val="20"/>
            <w:szCs w:val="20"/>
          </w:rPr>
          <w:instrText xml:space="preserve"> PAGEREF _Toc26878613 \h </w:instrText>
        </w:r>
        <w:r w:rsidRPr="004107D2">
          <w:rPr>
            <w:rFonts w:ascii="Arial" w:hAnsi="Arial" w:cs="Arial"/>
            <w:noProof/>
            <w:webHidden/>
            <w:sz w:val="20"/>
            <w:szCs w:val="20"/>
          </w:rPr>
        </w:r>
        <w:r w:rsidRPr="004107D2">
          <w:rPr>
            <w:rFonts w:ascii="Arial" w:hAnsi="Arial" w:cs="Arial"/>
            <w:noProof/>
            <w:webHidden/>
            <w:sz w:val="20"/>
            <w:szCs w:val="20"/>
          </w:rPr>
          <w:fldChar w:fldCharType="separate"/>
        </w:r>
        <w:r>
          <w:rPr>
            <w:rFonts w:ascii="Arial" w:hAnsi="Arial" w:cs="Arial"/>
            <w:noProof/>
            <w:webHidden/>
            <w:sz w:val="20"/>
            <w:szCs w:val="20"/>
          </w:rPr>
          <w:t>6</w:t>
        </w:r>
        <w:r w:rsidRPr="004107D2">
          <w:rPr>
            <w:rFonts w:ascii="Arial" w:hAnsi="Arial" w:cs="Arial"/>
            <w:noProof/>
            <w:webHidden/>
            <w:sz w:val="20"/>
            <w:szCs w:val="20"/>
          </w:rPr>
          <w:fldChar w:fldCharType="end"/>
        </w:r>
      </w:hyperlink>
    </w:p>
    <w:p w:rsidR="004107D2" w:rsidRPr="004107D2" w:rsidRDefault="004107D2" w:rsidP="004107D2">
      <w:pPr>
        <w:pStyle w:val="TOC1"/>
        <w:rPr>
          <w:rFonts w:ascii="Arial" w:eastAsiaTheme="minorEastAsia" w:hAnsi="Arial" w:cs="Arial"/>
          <w:noProof/>
          <w:sz w:val="20"/>
          <w:szCs w:val="20"/>
        </w:rPr>
      </w:pPr>
      <w:hyperlink w:anchor="_Toc26878614" w:history="1">
        <w:r w:rsidRPr="004107D2">
          <w:rPr>
            <w:rStyle w:val="Hyperlink"/>
            <w:rFonts w:ascii="Arial" w:hAnsi="Arial" w:cs="Arial"/>
            <w:noProof/>
            <w:sz w:val="20"/>
            <w:szCs w:val="20"/>
          </w:rPr>
          <w:t>9.</w:t>
        </w:r>
        <w:r w:rsidRPr="004107D2">
          <w:rPr>
            <w:rFonts w:ascii="Arial" w:eastAsiaTheme="minorEastAsia" w:hAnsi="Arial" w:cs="Arial"/>
            <w:noProof/>
            <w:sz w:val="20"/>
            <w:szCs w:val="20"/>
          </w:rPr>
          <w:tab/>
        </w:r>
        <w:r>
          <w:rPr>
            <w:rFonts w:ascii="Arial" w:eastAsiaTheme="minorEastAsia" w:hAnsi="Arial" w:cs="Arial"/>
            <w:noProof/>
            <w:sz w:val="20"/>
            <w:szCs w:val="20"/>
          </w:rPr>
          <w:t xml:space="preserve"> </w:t>
        </w:r>
        <w:r w:rsidRPr="004107D2">
          <w:rPr>
            <w:rStyle w:val="Hyperlink"/>
            <w:rFonts w:ascii="Arial" w:hAnsi="Arial" w:cs="Arial"/>
            <w:noProof/>
            <w:sz w:val="20"/>
            <w:szCs w:val="20"/>
          </w:rPr>
          <w:t>GENERAL AND FINAL PROVISIONS</w:t>
        </w:r>
        <w:r w:rsidRPr="004107D2">
          <w:rPr>
            <w:rFonts w:ascii="Arial" w:hAnsi="Arial" w:cs="Arial"/>
            <w:noProof/>
            <w:webHidden/>
            <w:sz w:val="20"/>
            <w:szCs w:val="20"/>
          </w:rPr>
          <w:tab/>
        </w:r>
        <w:r w:rsidRPr="004107D2">
          <w:rPr>
            <w:rFonts w:ascii="Arial" w:hAnsi="Arial" w:cs="Arial"/>
            <w:noProof/>
            <w:webHidden/>
            <w:sz w:val="20"/>
            <w:szCs w:val="20"/>
          </w:rPr>
          <w:fldChar w:fldCharType="begin"/>
        </w:r>
        <w:r w:rsidRPr="004107D2">
          <w:rPr>
            <w:rFonts w:ascii="Arial" w:hAnsi="Arial" w:cs="Arial"/>
            <w:noProof/>
            <w:webHidden/>
            <w:sz w:val="20"/>
            <w:szCs w:val="20"/>
          </w:rPr>
          <w:instrText xml:space="preserve"> PAGEREF _Toc26878614 \h </w:instrText>
        </w:r>
        <w:r w:rsidRPr="004107D2">
          <w:rPr>
            <w:rFonts w:ascii="Arial" w:hAnsi="Arial" w:cs="Arial"/>
            <w:noProof/>
            <w:webHidden/>
            <w:sz w:val="20"/>
            <w:szCs w:val="20"/>
          </w:rPr>
        </w:r>
        <w:r w:rsidRPr="004107D2">
          <w:rPr>
            <w:rFonts w:ascii="Arial" w:hAnsi="Arial" w:cs="Arial"/>
            <w:noProof/>
            <w:webHidden/>
            <w:sz w:val="20"/>
            <w:szCs w:val="20"/>
          </w:rPr>
          <w:fldChar w:fldCharType="separate"/>
        </w:r>
        <w:r>
          <w:rPr>
            <w:rFonts w:ascii="Arial" w:hAnsi="Arial" w:cs="Arial"/>
            <w:noProof/>
            <w:webHidden/>
            <w:sz w:val="20"/>
            <w:szCs w:val="20"/>
          </w:rPr>
          <w:t>7</w:t>
        </w:r>
        <w:r w:rsidRPr="004107D2">
          <w:rPr>
            <w:rFonts w:ascii="Arial" w:hAnsi="Arial" w:cs="Arial"/>
            <w:noProof/>
            <w:webHidden/>
            <w:sz w:val="20"/>
            <w:szCs w:val="20"/>
          </w:rPr>
          <w:fldChar w:fldCharType="end"/>
        </w:r>
      </w:hyperlink>
    </w:p>
    <w:p w:rsidR="004107D2" w:rsidRPr="004107D2" w:rsidRDefault="004107D2">
      <w:pPr>
        <w:pStyle w:val="TOC2"/>
        <w:tabs>
          <w:tab w:val="right" w:leader="dot" w:pos="9017"/>
        </w:tabs>
        <w:rPr>
          <w:rFonts w:eastAsiaTheme="minorEastAsia"/>
          <w:bCs w:val="0"/>
          <w:caps w:val="0"/>
          <w:noProof/>
        </w:rPr>
      </w:pPr>
      <w:hyperlink w:anchor="_Toc26878615" w:history="1">
        <w:r w:rsidRPr="004107D2">
          <w:rPr>
            <w:rStyle w:val="Hyperlink"/>
            <w:noProof/>
          </w:rPr>
          <w:t>Amendments</w:t>
        </w:r>
        <w:r w:rsidRPr="004107D2">
          <w:rPr>
            <w:noProof/>
            <w:webHidden/>
          </w:rPr>
          <w:tab/>
        </w:r>
        <w:r w:rsidRPr="004107D2">
          <w:rPr>
            <w:noProof/>
            <w:webHidden/>
          </w:rPr>
          <w:fldChar w:fldCharType="begin"/>
        </w:r>
        <w:r w:rsidRPr="004107D2">
          <w:rPr>
            <w:noProof/>
            <w:webHidden/>
          </w:rPr>
          <w:instrText xml:space="preserve"> PAGEREF _Toc26878615 \h </w:instrText>
        </w:r>
        <w:r w:rsidRPr="004107D2">
          <w:rPr>
            <w:noProof/>
            <w:webHidden/>
          </w:rPr>
        </w:r>
        <w:r w:rsidRPr="004107D2">
          <w:rPr>
            <w:noProof/>
            <w:webHidden/>
          </w:rPr>
          <w:fldChar w:fldCharType="separate"/>
        </w:r>
        <w:r>
          <w:rPr>
            <w:noProof/>
            <w:webHidden/>
          </w:rPr>
          <w:t>7</w:t>
        </w:r>
        <w:r w:rsidRPr="004107D2">
          <w:rPr>
            <w:noProof/>
            <w:webHidden/>
          </w:rPr>
          <w:fldChar w:fldCharType="end"/>
        </w:r>
      </w:hyperlink>
    </w:p>
    <w:p w:rsidR="004107D2" w:rsidRPr="004107D2" w:rsidRDefault="004107D2">
      <w:pPr>
        <w:pStyle w:val="TOC2"/>
        <w:tabs>
          <w:tab w:val="right" w:leader="dot" w:pos="9017"/>
        </w:tabs>
        <w:rPr>
          <w:rFonts w:eastAsiaTheme="minorEastAsia"/>
          <w:bCs w:val="0"/>
          <w:caps w:val="0"/>
          <w:noProof/>
        </w:rPr>
      </w:pPr>
      <w:hyperlink w:anchor="_Toc26878616" w:history="1">
        <w:r w:rsidRPr="004107D2">
          <w:rPr>
            <w:rStyle w:val="Hyperlink"/>
            <w:noProof/>
          </w:rPr>
          <w:t>Review</w:t>
        </w:r>
        <w:r w:rsidRPr="004107D2">
          <w:rPr>
            <w:noProof/>
            <w:webHidden/>
          </w:rPr>
          <w:tab/>
        </w:r>
        <w:r w:rsidRPr="004107D2">
          <w:rPr>
            <w:noProof/>
            <w:webHidden/>
          </w:rPr>
          <w:fldChar w:fldCharType="begin"/>
        </w:r>
        <w:r w:rsidRPr="004107D2">
          <w:rPr>
            <w:noProof/>
            <w:webHidden/>
          </w:rPr>
          <w:instrText xml:space="preserve"> PAGEREF _Toc26878616 \h </w:instrText>
        </w:r>
        <w:r w:rsidRPr="004107D2">
          <w:rPr>
            <w:noProof/>
            <w:webHidden/>
          </w:rPr>
        </w:r>
        <w:r w:rsidRPr="004107D2">
          <w:rPr>
            <w:noProof/>
            <w:webHidden/>
          </w:rPr>
          <w:fldChar w:fldCharType="separate"/>
        </w:r>
        <w:r>
          <w:rPr>
            <w:noProof/>
            <w:webHidden/>
          </w:rPr>
          <w:t>7</w:t>
        </w:r>
        <w:r w:rsidRPr="004107D2">
          <w:rPr>
            <w:noProof/>
            <w:webHidden/>
          </w:rPr>
          <w:fldChar w:fldCharType="end"/>
        </w:r>
      </w:hyperlink>
    </w:p>
    <w:p w:rsidR="004107D2" w:rsidRPr="004107D2" w:rsidRDefault="004107D2">
      <w:pPr>
        <w:pStyle w:val="TOC2"/>
        <w:tabs>
          <w:tab w:val="right" w:leader="dot" w:pos="9017"/>
        </w:tabs>
        <w:rPr>
          <w:rFonts w:eastAsiaTheme="minorEastAsia"/>
          <w:bCs w:val="0"/>
          <w:caps w:val="0"/>
          <w:noProof/>
        </w:rPr>
      </w:pPr>
      <w:hyperlink w:anchor="_Toc26878617" w:history="1">
        <w:r w:rsidRPr="004107D2">
          <w:rPr>
            <w:rStyle w:val="Hyperlink"/>
            <w:noProof/>
          </w:rPr>
          <w:t>Interpretation</w:t>
        </w:r>
        <w:r w:rsidRPr="004107D2">
          <w:rPr>
            <w:noProof/>
            <w:webHidden/>
          </w:rPr>
          <w:tab/>
        </w:r>
        <w:r w:rsidRPr="004107D2">
          <w:rPr>
            <w:noProof/>
            <w:webHidden/>
          </w:rPr>
          <w:fldChar w:fldCharType="begin"/>
        </w:r>
        <w:r w:rsidRPr="004107D2">
          <w:rPr>
            <w:noProof/>
            <w:webHidden/>
          </w:rPr>
          <w:instrText xml:space="preserve"> PAGEREF _Toc26878617 \h </w:instrText>
        </w:r>
        <w:r w:rsidRPr="004107D2">
          <w:rPr>
            <w:noProof/>
            <w:webHidden/>
          </w:rPr>
        </w:r>
        <w:r w:rsidRPr="004107D2">
          <w:rPr>
            <w:noProof/>
            <w:webHidden/>
          </w:rPr>
          <w:fldChar w:fldCharType="separate"/>
        </w:r>
        <w:r>
          <w:rPr>
            <w:noProof/>
            <w:webHidden/>
          </w:rPr>
          <w:t>7</w:t>
        </w:r>
        <w:r w:rsidRPr="004107D2">
          <w:rPr>
            <w:noProof/>
            <w:webHidden/>
          </w:rPr>
          <w:fldChar w:fldCharType="end"/>
        </w:r>
      </w:hyperlink>
    </w:p>
    <w:p w:rsidR="00964D4B" w:rsidRPr="004107D2" w:rsidRDefault="00964D4B" w:rsidP="00F97B12">
      <w:pPr>
        <w:spacing w:before="60" w:after="60"/>
        <w:rPr>
          <w:rFonts w:ascii="Arial" w:hAnsi="Arial" w:cs="Arial"/>
          <w:sz w:val="20"/>
          <w:szCs w:val="20"/>
        </w:rPr>
      </w:pPr>
      <w:r w:rsidRPr="004107D2">
        <w:rPr>
          <w:rFonts w:ascii="Arial" w:hAnsi="Arial" w:cs="Arial"/>
          <w:sz w:val="20"/>
          <w:szCs w:val="20"/>
        </w:rPr>
        <w:fldChar w:fldCharType="end"/>
      </w:r>
    </w:p>
    <w:p w:rsidR="00AD44B5" w:rsidRPr="004107D2" w:rsidRDefault="00BA3C65" w:rsidP="000F183E">
      <w:pPr>
        <w:pStyle w:val="CILTitle"/>
        <w:rPr>
          <w:sz w:val="20"/>
          <w:szCs w:val="20"/>
        </w:rPr>
      </w:pPr>
      <w:r w:rsidRPr="004107D2">
        <w:rPr>
          <w:sz w:val="20"/>
          <w:szCs w:val="20"/>
        </w:rPr>
        <w:br w:type="page"/>
      </w:r>
      <w:r w:rsidR="00AD44B5" w:rsidRPr="004107D2">
        <w:rPr>
          <w:sz w:val="20"/>
          <w:szCs w:val="20"/>
        </w:rPr>
        <w:lastRenderedPageBreak/>
        <w:t>2009 Terms of Reference of ASEAN Intergovernmental Commission on Human Rights</w:t>
      </w:r>
    </w:p>
    <w:p w:rsidR="00AD44B5" w:rsidRPr="004107D2" w:rsidRDefault="00AD44B5" w:rsidP="00F97B12">
      <w:pPr>
        <w:pStyle w:val="CILSubtitle"/>
        <w:spacing w:before="240" w:after="120"/>
      </w:pPr>
      <w:r w:rsidRPr="004107D2">
        <w:t>Adopted</w:t>
      </w:r>
      <w:r w:rsidR="000D30BC" w:rsidRPr="004107D2">
        <w:t xml:space="preserve"> in Phuket, Thailand, on 20</w:t>
      </w:r>
      <w:r w:rsidRPr="004107D2">
        <w:t xml:space="preserve"> July 2009 </w:t>
      </w:r>
    </w:p>
    <w:p w:rsidR="000F183E" w:rsidRPr="004107D2" w:rsidRDefault="000F183E" w:rsidP="00F97B12">
      <w:pPr>
        <w:spacing w:before="240" w:after="120"/>
        <w:jc w:val="both"/>
        <w:rPr>
          <w:rFonts w:ascii="Arial" w:hAnsi="Arial" w:cs="Arial"/>
          <w:color w:val="000000"/>
          <w:sz w:val="20"/>
          <w:szCs w:val="20"/>
        </w:rPr>
      </w:pPr>
    </w:p>
    <w:p w:rsidR="00BA3C65" w:rsidRPr="004107D2" w:rsidRDefault="00BA3C65" w:rsidP="00F97B12">
      <w:pPr>
        <w:spacing w:before="240" w:after="120"/>
        <w:jc w:val="both"/>
        <w:rPr>
          <w:rFonts w:ascii="Arial" w:hAnsi="Arial" w:cs="Arial"/>
          <w:color w:val="000000"/>
          <w:sz w:val="20"/>
          <w:szCs w:val="20"/>
        </w:rPr>
      </w:pPr>
      <w:r w:rsidRPr="004107D2">
        <w:rPr>
          <w:rFonts w:ascii="Arial" w:hAnsi="Arial" w:cs="Arial"/>
          <w:color w:val="000000"/>
          <w:sz w:val="20"/>
          <w:szCs w:val="20"/>
        </w:rPr>
        <w:t>Pursuant to Article 14 of the ASEAN Charter, the ASEAN Intergovernmental Commission on Human Rights (AICHR) shall operate in accordance with the following Terms of Reference (TOR):</w:t>
      </w:r>
    </w:p>
    <w:p w:rsidR="00BA3C65" w:rsidRPr="004107D2" w:rsidRDefault="00BA3C65" w:rsidP="00F45782">
      <w:pPr>
        <w:pStyle w:val="Heading1"/>
        <w:rPr>
          <w:rFonts w:cs="Arial"/>
          <w:sz w:val="20"/>
          <w:szCs w:val="20"/>
        </w:rPr>
      </w:pPr>
      <w:bookmarkStart w:id="0" w:name="_Ref243906675"/>
      <w:bookmarkStart w:id="1" w:name="_Toc243907450"/>
      <w:bookmarkStart w:id="2" w:name="_Toc463259291"/>
      <w:bookmarkStart w:id="3" w:name="_Toc26878595"/>
      <w:r w:rsidRPr="004107D2">
        <w:rPr>
          <w:rFonts w:cs="Arial"/>
          <w:sz w:val="20"/>
          <w:szCs w:val="20"/>
        </w:rPr>
        <w:t>PURPOSES</w:t>
      </w:r>
      <w:bookmarkEnd w:id="0"/>
      <w:bookmarkEnd w:id="1"/>
      <w:bookmarkEnd w:id="2"/>
      <w:bookmarkEnd w:id="3"/>
    </w:p>
    <w:p w:rsidR="00BA3C65" w:rsidRPr="004107D2" w:rsidRDefault="00BA3C65" w:rsidP="00F97B12">
      <w:pPr>
        <w:pStyle w:val="CM11"/>
        <w:spacing w:before="240" w:after="120" w:line="276" w:lineRule="auto"/>
        <w:jc w:val="both"/>
        <w:rPr>
          <w:color w:val="000000"/>
          <w:sz w:val="20"/>
          <w:szCs w:val="20"/>
        </w:rPr>
      </w:pPr>
      <w:r w:rsidRPr="004107D2">
        <w:rPr>
          <w:color w:val="000000"/>
          <w:sz w:val="20"/>
          <w:szCs w:val="20"/>
        </w:rPr>
        <w:t>The purposes of the AICHR are:</w:t>
      </w:r>
    </w:p>
    <w:p w:rsidR="00F45782" w:rsidRPr="004107D2" w:rsidRDefault="00BA3C65" w:rsidP="00F45782">
      <w:pPr>
        <w:pStyle w:val="CM12"/>
        <w:numPr>
          <w:ilvl w:val="1"/>
          <w:numId w:val="1"/>
        </w:numPr>
        <w:spacing w:before="240" w:after="120" w:line="276" w:lineRule="auto"/>
        <w:ind w:left="360"/>
        <w:jc w:val="both"/>
        <w:rPr>
          <w:color w:val="000000"/>
          <w:sz w:val="20"/>
          <w:szCs w:val="20"/>
        </w:rPr>
      </w:pPr>
      <w:r w:rsidRPr="004107D2">
        <w:rPr>
          <w:color w:val="000000"/>
          <w:sz w:val="20"/>
          <w:szCs w:val="20"/>
        </w:rPr>
        <w:t>to promote and protect human rights and fundamental freedoms of the peoples of ASEAN;</w:t>
      </w:r>
    </w:p>
    <w:p w:rsidR="00F45782" w:rsidRPr="004107D2" w:rsidRDefault="00BA3C65" w:rsidP="00F45782">
      <w:pPr>
        <w:pStyle w:val="CM12"/>
        <w:numPr>
          <w:ilvl w:val="1"/>
          <w:numId w:val="1"/>
        </w:numPr>
        <w:spacing w:before="240" w:after="120" w:line="276" w:lineRule="auto"/>
        <w:ind w:left="360"/>
        <w:jc w:val="both"/>
        <w:rPr>
          <w:color w:val="000000"/>
          <w:sz w:val="20"/>
          <w:szCs w:val="20"/>
        </w:rPr>
      </w:pPr>
      <w:r w:rsidRPr="004107D2">
        <w:rPr>
          <w:color w:val="000000"/>
          <w:sz w:val="20"/>
          <w:szCs w:val="20"/>
        </w:rPr>
        <w:t>to uphold the right of the peoples of ASEAN to live in peace, dignity and prosperity;</w:t>
      </w:r>
    </w:p>
    <w:p w:rsidR="00BA3C65" w:rsidRPr="004107D2" w:rsidRDefault="00BA3C65" w:rsidP="00F45782">
      <w:pPr>
        <w:pStyle w:val="CM12"/>
        <w:numPr>
          <w:ilvl w:val="1"/>
          <w:numId w:val="1"/>
        </w:numPr>
        <w:spacing w:before="240" w:after="120" w:line="276" w:lineRule="auto"/>
        <w:ind w:left="360"/>
        <w:jc w:val="both"/>
        <w:rPr>
          <w:color w:val="000000"/>
          <w:sz w:val="20"/>
          <w:szCs w:val="20"/>
        </w:rPr>
      </w:pPr>
      <w:r w:rsidRPr="004107D2">
        <w:rPr>
          <w:color w:val="000000"/>
          <w:sz w:val="20"/>
          <w:szCs w:val="20"/>
        </w:rPr>
        <w:t>to contribute to the realisation of the purposes of ASEAN as set out in the ASEAN Charter in order to promote stability and harmony in the region, friendship and cooperation among ASEAN Member States, as well as the well-being, livelihood, welfare and participation of ASEAN peoples in the ASEAN Community building process;</w:t>
      </w:r>
    </w:p>
    <w:p w:rsidR="00BA3C65" w:rsidRPr="004107D2" w:rsidRDefault="00BA3C65" w:rsidP="00F45782">
      <w:pPr>
        <w:pStyle w:val="CM2"/>
        <w:numPr>
          <w:ilvl w:val="1"/>
          <w:numId w:val="1"/>
        </w:numPr>
        <w:spacing w:before="240" w:after="120" w:line="276" w:lineRule="auto"/>
        <w:ind w:left="360"/>
        <w:jc w:val="both"/>
        <w:rPr>
          <w:color w:val="000000"/>
          <w:sz w:val="20"/>
          <w:szCs w:val="20"/>
        </w:rPr>
      </w:pPr>
      <w:r w:rsidRPr="004107D2">
        <w:rPr>
          <w:color w:val="000000"/>
          <w:sz w:val="20"/>
          <w:szCs w:val="20"/>
        </w:rPr>
        <w:t>to promote human rights within the regional context, bearing in mind national and regional particularities and mutual respect for different historical, cultural and religious backgrounds, and taking into account the balance between rights and responsibilities;</w:t>
      </w:r>
    </w:p>
    <w:p w:rsidR="00BA3C65" w:rsidRPr="004107D2" w:rsidRDefault="00BA3C65" w:rsidP="00F45782">
      <w:pPr>
        <w:pStyle w:val="CM12"/>
        <w:numPr>
          <w:ilvl w:val="1"/>
          <w:numId w:val="1"/>
        </w:numPr>
        <w:spacing w:before="240" w:after="120" w:line="276" w:lineRule="auto"/>
        <w:ind w:left="360"/>
        <w:jc w:val="both"/>
        <w:rPr>
          <w:color w:val="000000"/>
          <w:sz w:val="20"/>
          <w:szCs w:val="20"/>
        </w:rPr>
      </w:pPr>
      <w:r w:rsidRPr="004107D2">
        <w:rPr>
          <w:color w:val="000000"/>
          <w:sz w:val="20"/>
          <w:szCs w:val="20"/>
        </w:rPr>
        <w:t>to enhance regional cooperation with a view to complementing national and international efforts on the promotion and protection of human rights; and</w:t>
      </w:r>
    </w:p>
    <w:p w:rsidR="00BA3C65" w:rsidRPr="004107D2" w:rsidRDefault="00BA3C65" w:rsidP="00F45782">
      <w:pPr>
        <w:pStyle w:val="CM12"/>
        <w:numPr>
          <w:ilvl w:val="1"/>
          <w:numId w:val="1"/>
        </w:numPr>
        <w:spacing w:before="240" w:after="120" w:line="276" w:lineRule="auto"/>
        <w:ind w:left="360"/>
        <w:jc w:val="both"/>
        <w:rPr>
          <w:color w:val="000000"/>
          <w:sz w:val="20"/>
          <w:szCs w:val="20"/>
        </w:rPr>
      </w:pPr>
      <w:r w:rsidRPr="004107D2">
        <w:rPr>
          <w:sz w:val="20"/>
          <w:szCs w:val="20"/>
        </w:rPr>
        <w:t>to uphold international human rights standards as prescribed by the Universal Declaration of Human Rights, the Vienna Declaration and Programme of Action, and international human rights instruments to which ASEAN Member States are parties.</w:t>
      </w:r>
    </w:p>
    <w:p w:rsidR="00BA3C65" w:rsidRPr="004107D2" w:rsidRDefault="00BA3C65" w:rsidP="00F45782">
      <w:pPr>
        <w:pStyle w:val="Heading1"/>
        <w:rPr>
          <w:rFonts w:cs="Arial"/>
          <w:sz w:val="20"/>
          <w:szCs w:val="20"/>
        </w:rPr>
      </w:pPr>
      <w:bookmarkStart w:id="4" w:name="_Toc243907451"/>
      <w:bookmarkStart w:id="5" w:name="_Toc463259292"/>
      <w:bookmarkStart w:id="6" w:name="_Toc26878596"/>
      <w:r w:rsidRPr="004107D2">
        <w:rPr>
          <w:rFonts w:cs="Arial"/>
          <w:sz w:val="20"/>
          <w:szCs w:val="20"/>
        </w:rPr>
        <w:t>PRINCIPLES</w:t>
      </w:r>
      <w:bookmarkEnd w:id="4"/>
      <w:bookmarkEnd w:id="5"/>
      <w:bookmarkEnd w:id="6"/>
    </w:p>
    <w:p w:rsidR="00F45782" w:rsidRPr="004107D2" w:rsidRDefault="00BA3C65" w:rsidP="00F45782">
      <w:pPr>
        <w:pStyle w:val="CM12"/>
        <w:spacing w:before="240" w:after="120" w:line="276" w:lineRule="auto"/>
        <w:jc w:val="both"/>
        <w:rPr>
          <w:color w:val="000000"/>
          <w:sz w:val="20"/>
          <w:szCs w:val="20"/>
        </w:rPr>
      </w:pPr>
      <w:r w:rsidRPr="004107D2">
        <w:rPr>
          <w:color w:val="000000"/>
          <w:sz w:val="20"/>
          <w:szCs w:val="20"/>
        </w:rPr>
        <w:t>The AICHR shall be guided by the following principles:</w:t>
      </w:r>
    </w:p>
    <w:p w:rsidR="00BA3C65" w:rsidRPr="004107D2" w:rsidRDefault="00BA3C65" w:rsidP="00F45782">
      <w:pPr>
        <w:pStyle w:val="CM12"/>
        <w:numPr>
          <w:ilvl w:val="1"/>
          <w:numId w:val="26"/>
        </w:numPr>
        <w:spacing w:before="240" w:after="120" w:line="276" w:lineRule="auto"/>
        <w:ind w:left="360"/>
        <w:jc w:val="both"/>
        <w:rPr>
          <w:color w:val="000000"/>
          <w:sz w:val="20"/>
          <w:szCs w:val="20"/>
        </w:rPr>
      </w:pPr>
      <w:r w:rsidRPr="004107D2">
        <w:rPr>
          <w:color w:val="000000"/>
          <w:sz w:val="20"/>
          <w:szCs w:val="20"/>
        </w:rPr>
        <w:t>Respect for principles of ASEAN as embodied in Article 2 of the ASEAN Charter, in particular:</w:t>
      </w:r>
    </w:p>
    <w:p w:rsidR="00BA3C65" w:rsidRPr="004107D2" w:rsidRDefault="00BA3C65" w:rsidP="00F45782">
      <w:pPr>
        <w:pStyle w:val="CM11"/>
        <w:numPr>
          <w:ilvl w:val="0"/>
          <w:numId w:val="28"/>
        </w:numPr>
        <w:spacing w:before="240" w:after="120" w:line="276" w:lineRule="auto"/>
        <w:jc w:val="both"/>
        <w:rPr>
          <w:color w:val="000000"/>
          <w:sz w:val="20"/>
          <w:szCs w:val="20"/>
        </w:rPr>
      </w:pPr>
      <w:r w:rsidRPr="004107D2">
        <w:rPr>
          <w:color w:val="000000"/>
          <w:sz w:val="20"/>
          <w:szCs w:val="20"/>
        </w:rPr>
        <w:t>respect for the independence, sovereignty, equality, territorial integrity and national identity of all ASEAN Member States;</w:t>
      </w:r>
    </w:p>
    <w:p w:rsidR="00BA3C65" w:rsidRPr="004107D2" w:rsidRDefault="00BA3C65" w:rsidP="00F45782">
      <w:pPr>
        <w:pStyle w:val="CM11"/>
        <w:numPr>
          <w:ilvl w:val="0"/>
          <w:numId w:val="28"/>
        </w:numPr>
        <w:spacing w:before="240" w:after="120" w:line="276" w:lineRule="auto"/>
        <w:jc w:val="both"/>
        <w:rPr>
          <w:color w:val="000000"/>
          <w:sz w:val="20"/>
          <w:szCs w:val="20"/>
        </w:rPr>
      </w:pPr>
      <w:r w:rsidRPr="004107D2">
        <w:rPr>
          <w:color w:val="000000"/>
          <w:sz w:val="20"/>
          <w:szCs w:val="20"/>
        </w:rPr>
        <w:t>non-interference in the internal affairs of ASEAN Member States;</w:t>
      </w:r>
    </w:p>
    <w:p w:rsidR="00BA3C65" w:rsidRPr="004107D2" w:rsidRDefault="00BA3C65" w:rsidP="00F45782">
      <w:pPr>
        <w:pStyle w:val="CM11"/>
        <w:numPr>
          <w:ilvl w:val="0"/>
          <w:numId w:val="28"/>
        </w:numPr>
        <w:spacing w:before="240" w:after="120" w:line="276" w:lineRule="auto"/>
        <w:jc w:val="both"/>
        <w:rPr>
          <w:color w:val="000000"/>
          <w:sz w:val="20"/>
          <w:szCs w:val="20"/>
        </w:rPr>
      </w:pPr>
      <w:r w:rsidRPr="004107D2">
        <w:rPr>
          <w:color w:val="000000"/>
          <w:sz w:val="20"/>
          <w:szCs w:val="20"/>
        </w:rPr>
        <w:t>respect for the right of every Member State to lead its national existence free from external interference, subversion and coercion;</w:t>
      </w:r>
    </w:p>
    <w:p w:rsidR="00BA3C65" w:rsidRPr="004107D2" w:rsidRDefault="00BA3C65" w:rsidP="00F45782">
      <w:pPr>
        <w:pStyle w:val="CM11"/>
        <w:numPr>
          <w:ilvl w:val="0"/>
          <w:numId w:val="28"/>
        </w:numPr>
        <w:spacing w:before="240" w:after="120" w:line="276" w:lineRule="auto"/>
        <w:jc w:val="both"/>
        <w:rPr>
          <w:color w:val="000000"/>
          <w:sz w:val="20"/>
          <w:szCs w:val="20"/>
        </w:rPr>
      </w:pPr>
      <w:r w:rsidRPr="004107D2">
        <w:rPr>
          <w:color w:val="000000"/>
          <w:sz w:val="20"/>
          <w:szCs w:val="20"/>
        </w:rPr>
        <w:t>adherence to the rule of law, good governance, the principles of democracy and constitutional government;</w:t>
      </w:r>
    </w:p>
    <w:p w:rsidR="00BA3C65" w:rsidRPr="004107D2" w:rsidRDefault="00BA3C65" w:rsidP="00F45782">
      <w:pPr>
        <w:pStyle w:val="CM3"/>
        <w:numPr>
          <w:ilvl w:val="0"/>
          <w:numId w:val="28"/>
        </w:numPr>
        <w:spacing w:before="240" w:after="120" w:line="276" w:lineRule="auto"/>
        <w:jc w:val="both"/>
        <w:rPr>
          <w:color w:val="000000"/>
          <w:sz w:val="20"/>
          <w:szCs w:val="20"/>
        </w:rPr>
      </w:pPr>
      <w:r w:rsidRPr="004107D2">
        <w:rPr>
          <w:color w:val="000000"/>
          <w:sz w:val="20"/>
          <w:szCs w:val="20"/>
        </w:rPr>
        <w:t>respect for fundamental freedoms, the promotion and protection of human rights, and the promotion of social justice;</w:t>
      </w:r>
    </w:p>
    <w:p w:rsidR="00BA3C65" w:rsidRPr="004107D2" w:rsidRDefault="00BA3C65" w:rsidP="00F45782">
      <w:pPr>
        <w:pStyle w:val="CM3"/>
        <w:numPr>
          <w:ilvl w:val="0"/>
          <w:numId w:val="28"/>
        </w:numPr>
        <w:spacing w:before="240" w:after="120" w:line="276" w:lineRule="auto"/>
        <w:jc w:val="both"/>
        <w:rPr>
          <w:color w:val="000000"/>
          <w:sz w:val="20"/>
          <w:szCs w:val="20"/>
        </w:rPr>
      </w:pPr>
      <w:r w:rsidRPr="004107D2">
        <w:rPr>
          <w:color w:val="000000"/>
          <w:sz w:val="20"/>
          <w:szCs w:val="20"/>
        </w:rPr>
        <w:lastRenderedPageBreak/>
        <w:t>upholding the Charter of the United Nations and international law, including international humanitarian law, subscribed to by ASEAN Member States; and</w:t>
      </w:r>
    </w:p>
    <w:p w:rsidR="00BA3C65" w:rsidRPr="004107D2" w:rsidRDefault="00BA3C65" w:rsidP="00F45782">
      <w:pPr>
        <w:pStyle w:val="CM11"/>
        <w:numPr>
          <w:ilvl w:val="0"/>
          <w:numId w:val="28"/>
        </w:numPr>
        <w:spacing w:before="240" w:after="120" w:line="276" w:lineRule="auto"/>
        <w:jc w:val="both"/>
        <w:rPr>
          <w:color w:val="000000"/>
          <w:sz w:val="20"/>
          <w:szCs w:val="20"/>
        </w:rPr>
      </w:pPr>
      <w:r w:rsidRPr="004107D2">
        <w:rPr>
          <w:color w:val="000000"/>
          <w:sz w:val="20"/>
          <w:szCs w:val="20"/>
        </w:rPr>
        <w:t>respect for different cultures, languages and religions of the peoples of ASEAN, while emphasising their common values in the spirit of unity in diversity.</w:t>
      </w:r>
    </w:p>
    <w:p w:rsidR="00F45782" w:rsidRPr="004107D2" w:rsidRDefault="00BA3C65" w:rsidP="00F45782">
      <w:pPr>
        <w:pStyle w:val="CM12"/>
        <w:numPr>
          <w:ilvl w:val="1"/>
          <w:numId w:val="26"/>
        </w:numPr>
        <w:spacing w:before="240" w:after="120" w:line="276" w:lineRule="auto"/>
        <w:ind w:left="360"/>
        <w:jc w:val="both"/>
        <w:rPr>
          <w:color w:val="000000"/>
          <w:sz w:val="20"/>
          <w:szCs w:val="20"/>
        </w:rPr>
      </w:pPr>
      <w:r w:rsidRPr="004107D2">
        <w:rPr>
          <w:color w:val="000000"/>
          <w:sz w:val="20"/>
          <w:szCs w:val="20"/>
        </w:rPr>
        <w:t>Respect for international human rights principles, including universality, indivisibility, interdependence and interrelatedness of all human rights and fundam</w:t>
      </w:r>
      <w:bookmarkStart w:id="7" w:name="_GoBack"/>
      <w:bookmarkEnd w:id="7"/>
      <w:r w:rsidRPr="004107D2">
        <w:rPr>
          <w:color w:val="000000"/>
          <w:sz w:val="20"/>
          <w:szCs w:val="20"/>
        </w:rPr>
        <w:t>ental freedoms, as well as impartiality, objectivity, non-selectivity, non-discrimination, and avoidance of double standards and politicisation;</w:t>
      </w:r>
    </w:p>
    <w:p w:rsidR="00F45782" w:rsidRPr="004107D2" w:rsidRDefault="00BA3C65" w:rsidP="00F45782">
      <w:pPr>
        <w:pStyle w:val="CM12"/>
        <w:numPr>
          <w:ilvl w:val="1"/>
          <w:numId w:val="26"/>
        </w:numPr>
        <w:spacing w:before="240" w:after="120" w:line="276" w:lineRule="auto"/>
        <w:ind w:left="360"/>
        <w:jc w:val="both"/>
        <w:rPr>
          <w:color w:val="000000"/>
          <w:sz w:val="20"/>
          <w:szCs w:val="20"/>
        </w:rPr>
      </w:pPr>
      <w:r w:rsidRPr="004107D2">
        <w:rPr>
          <w:color w:val="000000"/>
          <w:sz w:val="20"/>
          <w:szCs w:val="20"/>
        </w:rPr>
        <w:t>Recognition that the primary responsibility to promote and protect human rights and fundamental freedoms rests with each Member State;</w:t>
      </w:r>
    </w:p>
    <w:p w:rsidR="00F45782" w:rsidRPr="004107D2" w:rsidRDefault="00BA3C65" w:rsidP="00F45782">
      <w:pPr>
        <w:pStyle w:val="CM12"/>
        <w:numPr>
          <w:ilvl w:val="1"/>
          <w:numId w:val="26"/>
        </w:numPr>
        <w:spacing w:before="240" w:after="120" w:line="276" w:lineRule="auto"/>
        <w:ind w:left="360"/>
        <w:jc w:val="both"/>
        <w:rPr>
          <w:color w:val="000000"/>
          <w:sz w:val="20"/>
          <w:szCs w:val="20"/>
        </w:rPr>
      </w:pPr>
      <w:r w:rsidRPr="004107D2">
        <w:rPr>
          <w:color w:val="000000"/>
          <w:sz w:val="20"/>
          <w:szCs w:val="20"/>
        </w:rPr>
        <w:t>Pursuance of a constructive and non-confrontational approach and cooperation to enhance promotion and protection of human rights; and</w:t>
      </w:r>
    </w:p>
    <w:p w:rsidR="00BA3C65" w:rsidRPr="004107D2" w:rsidRDefault="00BA3C65" w:rsidP="00F45782">
      <w:pPr>
        <w:pStyle w:val="CM12"/>
        <w:numPr>
          <w:ilvl w:val="1"/>
          <w:numId w:val="26"/>
        </w:numPr>
        <w:spacing w:before="240" w:after="120" w:line="276" w:lineRule="auto"/>
        <w:ind w:left="360"/>
        <w:jc w:val="both"/>
        <w:rPr>
          <w:color w:val="000000"/>
          <w:sz w:val="20"/>
          <w:szCs w:val="20"/>
        </w:rPr>
      </w:pPr>
      <w:r w:rsidRPr="004107D2">
        <w:rPr>
          <w:sz w:val="20"/>
          <w:szCs w:val="20"/>
        </w:rPr>
        <w:t>Adoption of an evolutionary approach that would contribute to the development of human rights norms and standards in ASEAN.</w:t>
      </w:r>
    </w:p>
    <w:p w:rsidR="00BA3C65" w:rsidRPr="004107D2" w:rsidRDefault="00BA3C65" w:rsidP="00F45782">
      <w:pPr>
        <w:pStyle w:val="Heading1"/>
        <w:rPr>
          <w:rFonts w:cs="Arial"/>
          <w:sz w:val="20"/>
          <w:szCs w:val="20"/>
        </w:rPr>
      </w:pPr>
      <w:bookmarkStart w:id="8" w:name="_Toc243907452"/>
      <w:bookmarkStart w:id="9" w:name="_Toc463259293"/>
      <w:bookmarkStart w:id="10" w:name="_Toc26878597"/>
      <w:r w:rsidRPr="004107D2">
        <w:rPr>
          <w:rFonts w:cs="Arial"/>
          <w:sz w:val="20"/>
          <w:szCs w:val="20"/>
        </w:rPr>
        <w:t>CONSULTATIVE INTER-GOVERNMENTAL BODY</w:t>
      </w:r>
      <w:bookmarkEnd w:id="8"/>
      <w:bookmarkEnd w:id="9"/>
      <w:bookmarkEnd w:id="10"/>
    </w:p>
    <w:p w:rsidR="000362E1" w:rsidRPr="004107D2" w:rsidRDefault="00BA3C65" w:rsidP="000F183E">
      <w:pPr>
        <w:pStyle w:val="CM10"/>
        <w:spacing w:before="240" w:after="120" w:line="276" w:lineRule="auto"/>
        <w:jc w:val="both"/>
        <w:rPr>
          <w:color w:val="000000"/>
          <w:sz w:val="20"/>
          <w:szCs w:val="20"/>
        </w:rPr>
      </w:pPr>
      <w:r w:rsidRPr="004107D2">
        <w:rPr>
          <w:color w:val="000000"/>
          <w:sz w:val="20"/>
          <w:szCs w:val="20"/>
        </w:rPr>
        <w:t>The AICHR is an inter-governmental body and an integral part of the ASEAN organisational structure. It is a consultative body.</w:t>
      </w:r>
    </w:p>
    <w:p w:rsidR="00BA3C65" w:rsidRPr="004107D2" w:rsidRDefault="00BA3C65" w:rsidP="00F45782">
      <w:pPr>
        <w:pStyle w:val="Heading1"/>
        <w:rPr>
          <w:rFonts w:cs="Arial"/>
          <w:sz w:val="20"/>
          <w:szCs w:val="20"/>
        </w:rPr>
      </w:pPr>
      <w:bookmarkStart w:id="11" w:name="_Toc243907453"/>
      <w:bookmarkStart w:id="12" w:name="_Toc463259294"/>
      <w:bookmarkStart w:id="13" w:name="_Toc26878598"/>
      <w:r w:rsidRPr="004107D2">
        <w:rPr>
          <w:rFonts w:cs="Arial"/>
          <w:sz w:val="20"/>
          <w:szCs w:val="20"/>
        </w:rPr>
        <w:t>MANDATE AND FUNCTIONS</w:t>
      </w:r>
      <w:bookmarkEnd w:id="11"/>
      <w:bookmarkEnd w:id="12"/>
      <w:bookmarkEnd w:id="13"/>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develop strategies for the promotion and protection of human rights and fundamental freedoms to complement the building of the ASEAN Community;</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develop an ASEAN Human Rights Declaration with a view to establishing a framework for human rights cooperation through various ASEAN conventions and other instruments dealing with human rights;</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enhance public awareness of human rights among the peoples of ASEAN through education, research and dissemination of information;</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promote capacity building for the effective implementation of international human rights treaty obligations undertaken by ASEAN Member States;</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encourage ASEAN Member States to consider acceding to and ratifying international human rights instruments;</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promote the full implementation of ASEAN instruments related to human rights;</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provide advisory services and technical assistance on human rights matters to ASEAN sectoral bodies upon request;</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engage in dialogue and consultation with other ASEAN bodies and entities associated with ASEAN, including civil society organisations and other stakeholders, as provided for in Chapter V of the ASEAN Charter;</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To consult, as may be appropriate, with other national, regional and international institutions</w:t>
      </w:r>
      <w:r w:rsidR="000362E1" w:rsidRPr="004107D2">
        <w:rPr>
          <w:color w:val="000000"/>
          <w:sz w:val="20"/>
          <w:szCs w:val="20"/>
        </w:rPr>
        <w:t xml:space="preserve"> </w:t>
      </w:r>
      <w:r w:rsidRPr="004107D2">
        <w:rPr>
          <w:color w:val="000000"/>
          <w:sz w:val="20"/>
          <w:szCs w:val="20"/>
        </w:rPr>
        <w:t>and entities concerned with the promotion and protection of human rights;</w:t>
      </w:r>
    </w:p>
    <w:p w:rsidR="00BA3C65" w:rsidRPr="004107D2" w:rsidRDefault="00BA3C65" w:rsidP="00F4578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lastRenderedPageBreak/>
        <w:t>To obtain information from ASEAN Member States on the promotion and protection of human rights;</w:t>
      </w:r>
    </w:p>
    <w:p w:rsidR="00BA3C65" w:rsidRPr="004107D2" w:rsidRDefault="00BA3C65" w:rsidP="00F4578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To develop common approaches and positions on human rights matters of interest to ASEAN;</w:t>
      </w:r>
    </w:p>
    <w:p w:rsidR="00BA3C65" w:rsidRPr="004107D2" w:rsidRDefault="00BA3C65" w:rsidP="00F4578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To prepare studies on thematic issues of human rights in ASEAN;</w:t>
      </w:r>
    </w:p>
    <w:p w:rsidR="00BA3C65" w:rsidRPr="004107D2" w:rsidRDefault="00BA3C65" w:rsidP="00F4578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To submit an annual report on its activities, or other reports if deemed necessary, to the ASEAN Foreign Ministers Meeting; and</w:t>
      </w:r>
    </w:p>
    <w:p w:rsidR="00BA3C65" w:rsidRPr="004107D2" w:rsidRDefault="00BA3C65" w:rsidP="00F4578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To perform any other tasks as may be assigned to it by the ASEAN Foreign Ministers Meeting.</w:t>
      </w:r>
    </w:p>
    <w:p w:rsidR="00BA3C65" w:rsidRPr="004107D2" w:rsidRDefault="00BA3C65" w:rsidP="00F45782">
      <w:pPr>
        <w:pStyle w:val="Heading1"/>
        <w:rPr>
          <w:rFonts w:cs="Arial"/>
          <w:sz w:val="20"/>
          <w:szCs w:val="20"/>
        </w:rPr>
      </w:pPr>
      <w:bookmarkStart w:id="14" w:name="_Toc243907454"/>
      <w:bookmarkStart w:id="15" w:name="_Toc463259295"/>
      <w:bookmarkStart w:id="16" w:name="_Toc26878599"/>
      <w:r w:rsidRPr="004107D2">
        <w:rPr>
          <w:rFonts w:cs="Arial"/>
          <w:sz w:val="20"/>
          <w:szCs w:val="20"/>
        </w:rPr>
        <w:t>COMPOSITION</w:t>
      </w:r>
      <w:bookmarkEnd w:id="14"/>
      <w:bookmarkEnd w:id="15"/>
      <w:bookmarkEnd w:id="16"/>
    </w:p>
    <w:p w:rsidR="00BA3C65" w:rsidRPr="004107D2" w:rsidRDefault="00BA3C65" w:rsidP="000F183E">
      <w:pPr>
        <w:pStyle w:val="Heading2"/>
      </w:pPr>
      <w:bookmarkStart w:id="17" w:name="_Toc243907455"/>
      <w:bookmarkStart w:id="18" w:name="_Toc463259296"/>
      <w:bookmarkStart w:id="19" w:name="_Toc26878600"/>
      <w:r w:rsidRPr="004107D2">
        <w:t>Membership</w:t>
      </w:r>
      <w:bookmarkEnd w:id="17"/>
      <w:bookmarkEnd w:id="18"/>
      <w:bookmarkEnd w:id="19"/>
    </w:p>
    <w:p w:rsidR="00F45782"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The AICHR shall consist of the Member States of ASEAN.</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Each ASEAN Member State shall appoint a Representative to the AICHR who shall be accountable to the appointing Government.</w:t>
      </w:r>
    </w:p>
    <w:p w:rsidR="00BA3C65" w:rsidRPr="004107D2" w:rsidRDefault="00BA3C65" w:rsidP="000F183E">
      <w:pPr>
        <w:pStyle w:val="Heading2"/>
      </w:pPr>
      <w:bookmarkStart w:id="20" w:name="_Toc243907456"/>
      <w:bookmarkStart w:id="21" w:name="_Toc463259297"/>
      <w:bookmarkStart w:id="22" w:name="_Toc26878601"/>
      <w:r w:rsidRPr="004107D2">
        <w:t>Qualifications</w:t>
      </w:r>
      <w:bookmarkEnd w:id="20"/>
      <w:bookmarkEnd w:id="21"/>
      <w:bookmarkEnd w:id="22"/>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When appointing their Representatives to the AICHR, Member States shall give due consideration to gender equality, integrity and competence in the field of human rights.</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Member States should consult, if required by their respective internal processes, with appropriate stakeholders in the appointment of their Representatives to the AICHR.</w:t>
      </w:r>
    </w:p>
    <w:p w:rsidR="00BA3C65" w:rsidRPr="004107D2" w:rsidRDefault="00BA3C65" w:rsidP="000F183E">
      <w:pPr>
        <w:pStyle w:val="Heading2"/>
      </w:pPr>
      <w:bookmarkStart w:id="23" w:name="_Toc243907457"/>
      <w:bookmarkStart w:id="24" w:name="_Toc463259298"/>
      <w:bookmarkStart w:id="25" w:name="_Toc26878602"/>
      <w:r w:rsidRPr="004107D2">
        <w:t>Term of Office</w:t>
      </w:r>
      <w:bookmarkEnd w:id="23"/>
      <w:bookmarkEnd w:id="24"/>
      <w:bookmarkEnd w:id="25"/>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Each Representative serves a term of three years and may be consecutively re-appointed for only one more term.</w:t>
      </w:r>
    </w:p>
    <w:p w:rsidR="00BA3C65" w:rsidRPr="004107D2" w:rsidRDefault="00F45782"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Notwithstanding paragraph 5.</w:t>
      </w:r>
      <w:r w:rsidR="00BA3C65" w:rsidRPr="004107D2">
        <w:rPr>
          <w:color w:val="000000"/>
          <w:sz w:val="20"/>
          <w:szCs w:val="20"/>
        </w:rPr>
        <w:t>5, the appointing Government may decide, at its discretion, to replace its Representative.</w:t>
      </w:r>
    </w:p>
    <w:p w:rsidR="00BA3C65" w:rsidRPr="004107D2" w:rsidRDefault="00BA3C65" w:rsidP="000F183E">
      <w:pPr>
        <w:pStyle w:val="Heading2"/>
      </w:pPr>
      <w:bookmarkStart w:id="26" w:name="_Toc243907458"/>
      <w:bookmarkStart w:id="27" w:name="_Toc463259299"/>
      <w:bookmarkStart w:id="28" w:name="_Toc26878603"/>
      <w:r w:rsidRPr="004107D2">
        <w:t>Responsibility</w:t>
      </w:r>
      <w:bookmarkEnd w:id="26"/>
      <w:bookmarkEnd w:id="27"/>
      <w:bookmarkEnd w:id="28"/>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Each Representative, in the discharge of his or her duties, shall act impartially in accordance with the ASEAN Charter and this TOR.</w:t>
      </w:r>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Representatives shall have the obligation to attend AICHR meetings. If a Representative is unable to attend a meeting due to exceptional circumstances, the Government concerned shall formally notify the Chair of the AICHR of the appointment of a temporary representative with a full mandate to represent the Member State concerned.</w:t>
      </w:r>
    </w:p>
    <w:p w:rsidR="00BA3C65" w:rsidRPr="004107D2" w:rsidRDefault="00BA3C65" w:rsidP="000F183E">
      <w:pPr>
        <w:pStyle w:val="Heading2"/>
      </w:pPr>
      <w:bookmarkStart w:id="29" w:name="_Toc243907459"/>
      <w:bookmarkStart w:id="30" w:name="_Toc463259300"/>
      <w:bookmarkStart w:id="31" w:name="_Toc26878604"/>
      <w:r w:rsidRPr="004107D2">
        <w:t>Chair of the AICHR</w:t>
      </w:r>
      <w:bookmarkEnd w:id="29"/>
      <w:bookmarkEnd w:id="30"/>
      <w:bookmarkEnd w:id="31"/>
    </w:p>
    <w:p w:rsidR="00BA3C65" w:rsidRPr="004107D2" w:rsidRDefault="00BA3C65" w:rsidP="00F45782">
      <w:pPr>
        <w:pStyle w:val="CM2"/>
        <w:numPr>
          <w:ilvl w:val="1"/>
          <w:numId w:val="29"/>
        </w:numPr>
        <w:spacing w:before="240" w:after="120" w:line="276" w:lineRule="auto"/>
        <w:ind w:left="360"/>
        <w:jc w:val="both"/>
        <w:rPr>
          <w:color w:val="000000"/>
          <w:sz w:val="20"/>
          <w:szCs w:val="20"/>
        </w:rPr>
      </w:pPr>
      <w:r w:rsidRPr="004107D2">
        <w:rPr>
          <w:color w:val="000000"/>
          <w:sz w:val="20"/>
          <w:szCs w:val="20"/>
        </w:rPr>
        <w:t>The Chair of the AICHR shall be the Representative of the Member State holding the Chairmanship of ASEAN.</w:t>
      </w:r>
    </w:p>
    <w:p w:rsidR="00BA3C65" w:rsidRPr="004107D2" w:rsidRDefault="00BA3C65" w:rsidP="00F4578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Chair of the AICHR shall exercise his or her role in accordance with this TOR, which shall include:</w:t>
      </w:r>
    </w:p>
    <w:p w:rsidR="00BA3C65" w:rsidRPr="004107D2" w:rsidRDefault="00BA3C65" w:rsidP="004107D2">
      <w:pPr>
        <w:pStyle w:val="CM11"/>
        <w:numPr>
          <w:ilvl w:val="0"/>
          <w:numId w:val="30"/>
        </w:numPr>
        <w:spacing w:before="240" w:after="120" w:line="276" w:lineRule="auto"/>
        <w:jc w:val="both"/>
        <w:rPr>
          <w:color w:val="000000"/>
          <w:sz w:val="20"/>
          <w:szCs w:val="20"/>
        </w:rPr>
      </w:pPr>
      <w:r w:rsidRPr="004107D2">
        <w:rPr>
          <w:color w:val="000000"/>
          <w:sz w:val="20"/>
          <w:szCs w:val="20"/>
        </w:rPr>
        <w:lastRenderedPageBreak/>
        <w:t>leading in the preparation of reports of the AICHR and presenting such reports to the ASEAN Foreign Ministers Meeting;</w:t>
      </w:r>
    </w:p>
    <w:p w:rsidR="00BA3C65" w:rsidRPr="004107D2" w:rsidRDefault="00BA3C65" w:rsidP="004107D2">
      <w:pPr>
        <w:pStyle w:val="CM11"/>
        <w:numPr>
          <w:ilvl w:val="0"/>
          <w:numId w:val="30"/>
        </w:numPr>
        <w:spacing w:before="240" w:after="120" w:line="276" w:lineRule="auto"/>
        <w:jc w:val="both"/>
        <w:rPr>
          <w:color w:val="000000"/>
          <w:sz w:val="20"/>
          <w:szCs w:val="20"/>
        </w:rPr>
      </w:pPr>
      <w:r w:rsidRPr="004107D2">
        <w:rPr>
          <w:color w:val="000000"/>
          <w:sz w:val="20"/>
          <w:szCs w:val="20"/>
        </w:rPr>
        <w:t>coordinating with the AICHR’s Representatives in between meetings of the AICHR and with the relevant ASEAN bodies;</w:t>
      </w:r>
    </w:p>
    <w:p w:rsidR="00BA3C65" w:rsidRPr="004107D2" w:rsidRDefault="00BA3C65" w:rsidP="004107D2">
      <w:pPr>
        <w:pStyle w:val="CM11"/>
        <w:numPr>
          <w:ilvl w:val="0"/>
          <w:numId w:val="30"/>
        </w:numPr>
        <w:spacing w:before="240" w:after="120" w:line="276" w:lineRule="auto"/>
        <w:jc w:val="both"/>
        <w:rPr>
          <w:color w:val="000000"/>
          <w:sz w:val="20"/>
          <w:szCs w:val="20"/>
        </w:rPr>
      </w:pPr>
      <w:r w:rsidRPr="004107D2">
        <w:rPr>
          <w:color w:val="000000"/>
          <w:sz w:val="20"/>
          <w:szCs w:val="20"/>
        </w:rPr>
        <w:t>representing the AICHR at regional and international events pertaining to the promotion and protection of human rights as entrusted by the AICHR; and</w:t>
      </w:r>
    </w:p>
    <w:p w:rsidR="00BA3C65" w:rsidRPr="004107D2" w:rsidRDefault="00BA3C65" w:rsidP="004107D2">
      <w:pPr>
        <w:pStyle w:val="CM11"/>
        <w:numPr>
          <w:ilvl w:val="0"/>
          <w:numId w:val="30"/>
        </w:numPr>
        <w:spacing w:before="240" w:after="120" w:line="276" w:lineRule="auto"/>
        <w:jc w:val="both"/>
        <w:rPr>
          <w:color w:val="000000"/>
          <w:sz w:val="20"/>
          <w:szCs w:val="20"/>
        </w:rPr>
      </w:pPr>
      <w:r w:rsidRPr="004107D2">
        <w:rPr>
          <w:color w:val="000000"/>
          <w:sz w:val="20"/>
          <w:szCs w:val="20"/>
        </w:rPr>
        <w:t>undertaking other specific functions entrusted by the AICHR in accordance with this TOR.</w:t>
      </w:r>
    </w:p>
    <w:p w:rsidR="00BA3C65" w:rsidRPr="004107D2" w:rsidRDefault="00BA3C65" w:rsidP="000F183E">
      <w:pPr>
        <w:pStyle w:val="Heading2"/>
      </w:pPr>
      <w:bookmarkStart w:id="32" w:name="_Toc243907460"/>
      <w:bookmarkStart w:id="33" w:name="_Toc463259301"/>
      <w:bookmarkStart w:id="34" w:name="_Toc26878605"/>
      <w:r w:rsidRPr="004107D2">
        <w:t>Immunities and Privileges</w:t>
      </w:r>
      <w:bookmarkEnd w:id="32"/>
      <w:bookmarkEnd w:id="33"/>
      <w:bookmarkEnd w:id="34"/>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In accordance with Article 19 of the ASEAN Charter, Representatives participating in official activities of the AICHR shall enjoy such immunities and privileges as are necessary for the exercise of their functions.</w:t>
      </w:r>
    </w:p>
    <w:p w:rsidR="00BA3C65" w:rsidRPr="004107D2" w:rsidRDefault="00BA3C65" w:rsidP="00F45782">
      <w:pPr>
        <w:pStyle w:val="Heading1"/>
        <w:rPr>
          <w:rFonts w:cs="Arial"/>
          <w:sz w:val="20"/>
          <w:szCs w:val="20"/>
        </w:rPr>
      </w:pPr>
      <w:bookmarkStart w:id="35" w:name="_Toc243907461"/>
      <w:bookmarkStart w:id="36" w:name="_Toc463259302"/>
      <w:bookmarkStart w:id="37" w:name="_Toc26878606"/>
      <w:r w:rsidRPr="004107D2">
        <w:rPr>
          <w:rFonts w:cs="Arial"/>
          <w:sz w:val="20"/>
          <w:szCs w:val="20"/>
        </w:rPr>
        <w:t>MODALITIES</w:t>
      </w:r>
      <w:bookmarkEnd w:id="35"/>
      <w:bookmarkEnd w:id="36"/>
      <w:bookmarkEnd w:id="37"/>
    </w:p>
    <w:p w:rsidR="00BA3C65" w:rsidRPr="004107D2" w:rsidRDefault="00BA3C65" w:rsidP="000F183E">
      <w:pPr>
        <w:pStyle w:val="Heading2"/>
      </w:pPr>
      <w:bookmarkStart w:id="38" w:name="_Toc243907462"/>
      <w:bookmarkStart w:id="39" w:name="_Toc463259303"/>
      <w:bookmarkStart w:id="40" w:name="_Toc26878607"/>
      <w:r w:rsidRPr="004107D2">
        <w:t>Decision-making</w:t>
      </w:r>
      <w:bookmarkEnd w:id="38"/>
      <w:bookmarkEnd w:id="39"/>
      <w:bookmarkEnd w:id="40"/>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Decision-making in the AICHR shall be based on consultation and consensus in accordance with Article 20 of the ASEAN Charter.</w:t>
      </w:r>
    </w:p>
    <w:p w:rsidR="00BA3C65" w:rsidRPr="004107D2" w:rsidRDefault="00BA3C65" w:rsidP="000F183E">
      <w:pPr>
        <w:pStyle w:val="Heading2"/>
      </w:pPr>
      <w:bookmarkStart w:id="41" w:name="_Toc243907463"/>
      <w:bookmarkStart w:id="42" w:name="_Toc463259304"/>
      <w:bookmarkStart w:id="43" w:name="_Toc26878608"/>
      <w:r w:rsidRPr="004107D2">
        <w:t>Number of Meetings</w:t>
      </w:r>
      <w:bookmarkEnd w:id="41"/>
      <w:bookmarkEnd w:id="42"/>
      <w:bookmarkEnd w:id="43"/>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shall convene two regular meetings per year. Each meeting shall normally be not more than five days.</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Regular meetings of the AICHR shall be held alternately at the ASEAN Secretariat and the Member State holding the Chair of ASEAN.</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As and when appropriate, the AICHR may hold additional meetings at the ASEAN Secretariat or at a venue to be agreed upon by the Representatives.</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When necessary, the ASEAN Foreign Ministers may instruct the AICHR to meet.</w:t>
      </w:r>
    </w:p>
    <w:p w:rsidR="00BA3C65" w:rsidRPr="004107D2" w:rsidRDefault="00BA3C65" w:rsidP="000F183E">
      <w:pPr>
        <w:pStyle w:val="Heading2"/>
      </w:pPr>
      <w:bookmarkStart w:id="44" w:name="_Toc243907464"/>
      <w:bookmarkStart w:id="45" w:name="_Toc463259305"/>
      <w:bookmarkStart w:id="46" w:name="_Toc26878609"/>
      <w:r w:rsidRPr="004107D2">
        <w:t>Line of Reporting</w:t>
      </w:r>
      <w:bookmarkEnd w:id="44"/>
      <w:bookmarkEnd w:id="45"/>
      <w:bookmarkEnd w:id="46"/>
    </w:p>
    <w:p w:rsidR="000362E1"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shall submit an annual report and other appropriate reports to the ASEAN Foreign Ministers Meeting for its consideration.</w:t>
      </w:r>
    </w:p>
    <w:p w:rsidR="00BA3C65" w:rsidRPr="004107D2" w:rsidRDefault="00BA3C65" w:rsidP="000F183E">
      <w:pPr>
        <w:pStyle w:val="Heading2"/>
      </w:pPr>
      <w:bookmarkStart w:id="47" w:name="_Toc243907465"/>
      <w:bookmarkStart w:id="48" w:name="_Toc463259306"/>
      <w:bookmarkStart w:id="49" w:name="_Toc26878610"/>
      <w:r w:rsidRPr="004107D2">
        <w:t>Public Information</w:t>
      </w:r>
      <w:bookmarkEnd w:id="47"/>
      <w:bookmarkEnd w:id="48"/>
      <w:bookmarkEnd w:id="49"/>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shall keep the public periodically informed of its work and activities through appropriate public information materials produced by the AICHR.</w:t>
      </w:r>
    </w:p>
    <w:p w:rsidR="00BA3C65" w:rsidRPr="004107D2" w:rsidRDefault="000F183E" w:rsidP="000F183E">
      <w:pPr>
        <w:pStyle w:val="Heading2"/>
      </w:pPr>
      <w:bookmarkStart w:id="50" w:name="_Toc243907466"/>
      <w:bookmarkStart w:id="51" w:name="_Toc463259307"/>
      <w:r w:rsidRPr="004107D2">
        <w:br w:type="page"/>
      </w:r>
      <w:bookmarkStart w:id="52" w:name="_Toc26878611"/>
      <w:r w:rsidR="00BA3C65" w:rsidRPr="004107D2">
        <w:lastRenderedPageBreak/>
        <w:t>Relationship with Other Human Rights Bodies within ASEAN</w:t>
      </w:r>
      <w:bookmarkEnd w:id="50"/>
      <w:bookmarkEnd w:id="51"/>
      <w:bookmarkEnd w:id="52"/>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is the overarching human rights institution in ASEAN with overall responsibility for the promotion and protection of human rights in ASEAN.</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shall work with all ASEAN sectoral bodies dealing with human rights to expeditiously determine the modalities for their ultimate alignment with the AICHR. To this end, the AICHR shall closely consult, coordinate and collaborate with such bodies in order to promote synergy and coherence in ASEAN’s promotion and protection of human rights.</w:t>
      </w:r>
    </w:p>
    <w:p w:rsidR="00BA3C65" w:rsidRPr="004107D2" w:rsidRDefault="00BA3C65" w:rsidP="00F45782">
      <w:pPr>
        <w:pStyle w:val="Heading1"/>
        <w:rPr>
          <w:rFonts w:cs="Arial"/>
          <w:sz w:val="20"/>
          <w:szCs w:val="20"/>
        </w:rPr>
      </w:pPr>
      <w:bookmarkStart w:id="53" w:name="_Toc243907467"/>
      <w:bookmarkStart w:id="54" w:name="_Toc463259308"/>
      <w:bookmarkStart w:id="55" w:name="_Toc26878612"/>
      <w:r w:rsidRPr="004107D2">
        <w:rPr>
          <w:rFonts w:cs="Arial"/>
          <w:sz w:val="20"/>
          <w:szCs w:val="20"/>
        </w:rPr>
        <w:t>ROLE OF THE SECRETARY-GENERAL AND ASEAN SECRETARIAT</w:t>
      </w:r>
      <w:bookmarkEnd w:id="53"/>
      <w:bookmarkEnd w:id="54"/>
      <w:bookmarkEnd w:id="55"/>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Secretary-General of ASEAN may bring relevant issues to the attention of the AICHR in accordance with Article 11.2 (a) and (b) of the ASEAN Charter. In so doing, the Secretary-General of ASEAN shall concurrently inform the ASEAN Foreign Ministers of these issues.</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ASEAN Secretariat shall provide the necessary secretarial support to the AICHR to ensure its effective performance. To facilitate the Secretariat’s support to the AICHR, ASEAN Member States may, with the concurrence of the Secretary-General of ASEAN, second their officials to the ASEAN Secretariat.</w:t>
      </w:r>
    </w:p>
    <w:p w:rsidR="00BA3C65" w:rsidRPr="004107D2" w:rsidRDefault="00BA3C65" w:rsidP="00F45782">
      <w:pPr>
        <w:pStyle w:val="Heading1"/>
        <w:rPr>
          <w:rFonts w:cs="Arial"/>
          <w:sz w:val="20"/>
          <w:szCs w:val="20"/>
        </w:rPr>
      </w:pPr>
      <w:bookmarkStart w:id="56" w:name="_Toc243907468"/>
      <w:bookmarkStart w:id="57" w:name="_Toc463259309"/>
      <w:bookmarkStart w:id="58" w:name="_Toc26878613"/>
      <w:r w:rsidRPr="004107D2">
        <w:rPr>
          <w:rFonts w:cs="Arial"/>
          <w:sz w:val="20"/>
          <w:szCs w:val="20"/>
        </w:rPr>
        <w:t>WORK PLAN AND FUNDING</w:t>
      </w:r>
      <w:bookmarkEnd w:id="56"/>
      <w:bookmarkEnd w:id="57"/>
      <w:bookmarkEnd w:id="58"/>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shall prepare and submit a Work Plan of programmes and activities with indicative budget for a cycle of five years to be approved by the ASEAN Foreign Ministers Meeting, upon the recommendation of the Committee of Permanent Representatives to ASEAN.</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shall also prepare and submit an annual budget to support high priority programmes and activities, which shall be approved by the ASEAN Foreign Ministers Meeting, upon the recommendation of the Committee of Permanent Representatives to ASEAN.</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annual budget shall be funded on equal sharing basis by ASEAN Member States.</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may also receive resources from any ASEAN Member States for specific extra-budgetary programmes from the Work Plan.</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AICHR shall also establish an endowment fund which consists of voluntary contributions from ASEAN Member States and other sources.</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Funding and other resources from non-ASEAN Member States shall be solely for human rights promotion, capacity building and education.</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All funds used by the AICHR shall be managed and disbursed in conformity with the general financial rules of ASEAN.</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Secretarial support for the AICHR shall be funded by the ASEAN Secretariat’s annual operational budget.</w:t>
      </w:r>
    </w:p>
    <w:p w:rsidR="00BA3C65" w:rsidRPr="004107D2" w:rsidRDefault="004107D2" w:rsidP="00F45782">
      <w:pPr>
        <w:pStyle w:val="Heading1"/>
        <w:rPr>
          <w:rFonts w:cs="Arial"/>
          <w:sz w:val="20"/>
          <w:szCs w:val="20"/>
        </w:rPr>
      </w:pPr>
      <w:bookmarkStart w:id="59" w:name="_Toc243907469"/>
      <w:bookmarkStart w:id="60" w:name="_Toc463259310"/>
      <w:r w:rsidRPr="004107D2">
        <w:rPr>
          <w:rFonts w:cs="Arial"/>
          <w:sz w:val="20"/>
          <w:szCs w:val="20"/>
        </w:rPr>
        <w:br w:type="page"/>
      </w:r>
      <w:bookmarkStart w:id="61" w:name="_Toc26878614"/>
      <w:r w:rsidR="00BA3C65" w:rsidRPr="004107D2">
        <w:rPr>
          <w:rFonts w:cs="Arial"/>
          <w:sz w:val="20"/>
          <w:szCs w:val="20"/>
        </w:rPr>
        <w:lastRenderedPageBreak/>
        <w:t>GENERAL AND FINAL PROVISIONS</w:t>
      </w:r>
      <w:bookmarkEnd w:id="59"/>
      <w:bookmarkEnd w:id="60"/>
      <w:bookmarkEnd w:id="61"/>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This TOR shall come into force upon the approval of the ASEAN Foreign Ministers Meeting.</w:t>
      </w:r>
    </w:p>
    <w:p w:rsidR="00BA3C65" w:rsidRPr="004107D2" w:rsidRDefault="00BA3C65" w:rsidP="000F183E">
      <w:pPr>
        <w:pStyle w:val="Heading2"/>
      </w:pPr>
      <w:bookmarkStart w:id="62" w:name="_Toc243907470"/>
      <w:bookmarkStart w:id="63" w:name="_Toc463259311"/>
      <w:bookmarkStart w:id="64" w:name="_Toc26878615"/>
      <w:r w:rsidRPr="004107D2">
        <w:t>Amendments</w:t>
      </w:r>
      <w:bookmarkEnd w:id="62"/>
      <w:bookmarkEnd w:id="63"/>
      <w:bookmarkEnd w:id="64"/>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Any Member State may submit a formal request for an amendment of this TOR.</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The request for amendment shall be considered by the Committee of Permanent Representatives to ASEAN in consultation with the AICHR, and presented to the ASEAN Foreign Ministers Meeting for approval.</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Such amendments shall enter into force upon the approval of the ASEAN Foreign Ministers Meeting.</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Such amendments shall not prejudice the rights and obligations arising from or based on this TOR before or up to the date of such amendments.</w:t>
      </w:r>
    </w:p>
    <w:p w:rsidR="00BA3C65" w:rsidRPr="004107D2" w:rsidRDefault="00BA3C65" w:rsidP="000F183E">
      <w:pPr>
        <w:pStyle w:val="Heading2"/>
      </w:pPr>
      <w:bookmarkStart w:id="65" w:name="_Toc243907471"/>
      <w:bookmarkStart w:id="66" w:name="_Toc463259312"/>
      <w:bookmarkStart w:id="67" w:name="_Toc26878616"/>
      <w:r w:rsidRPr="004107D2">
        <w:t>Review</w:t>
      </w:r>
      <w:bookmarkEnd w:id="65"/>
      <w:bookmarkEnd w:id="66"/>
      <w:bookmarkEnd w:id="67"/>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This TOR shall be initially reviewed five years after its entry into force. This review and subsequent reviews shall be undertaken by the ASEAN Foreign Ministers Meeting, with a view to further enhancing the promotion and protection of human rights within ASEAN.</w:t>
      </w:r>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In this connection, the AICHR shall assess its work and submit recommendations for the consideration of the ASEAN Foreign Ministers Meeting on future efforts that could be undertaken in the promotion and protection of human rights within ASEAN consistent with the principles and purposes of the ASEAN Charter and this TOR.</w:t>
      </w:r>
    </w:p>
    <w:p w:rsidR="00BA3C65" w:rsidRPr="004107D2" w:rsidRDefault="00BA3C65" w:rsidP="000F183E">
      <w:pPr>
        <w:pStyle w:val="Heading2"/>
      </w:pPr>
      <w:bookmarkStart w:id="68" w:name="_Toc243907472"/>
      <w:bookmarkStart w:id="69" w:name="_Toc463259313"/>
      <w:bookmarkStart w:id="70" w:name="_Toc26878617"/>
      <w:r w:rsidRPr="004107D2">
        <w:t>Interpretation</w:t>
      </w:r>
      <w:bookmarkEnd w:id="68"/>
      <w:bookmarkEnd w:id="69"/>
      <w:bookmarkEnd w:id="70"/>
    </w:p>
    <w:p w:rsidR="00BA3C65" w:rsidRPr="004107D2" w:rsidRDefault="00BA3C65" w:rsidP="004107D2">
      <w:pPr>
        <w:pStyle w:val="CM2"/>
        <w:numPr>
          <w:ilvl w:val="1"/>
          <w:numId w:val="29"/>
        </w:numPr>
        <w:spacing w:before="240" w:after="120" w:line="276" w:lineRule="auto"/>
        <w:ind w:left="540" w:hanging="540"/>
        <w:jc w:val="both"/>
        <w:rPr>
          <w:color w:val="000000"/>
          <w:sz w:val="20"/>
          <w:szCs w:val="20"/>
        </w:rPr>
      </w:pPr>
      <w:r w:rsidRPr="004107D2">
        <w:rPr>
          <w:color w:val="000000"/>
          <w:sz w:val="20"/>
          <w:szCs w:val="20"/>
        </w:rPr>
        <w:t>Any difference concerning the interpretation of this TOR which cannot be resolved shall be referred to the ASEAN Foreign Ministers Meeting for a decision</w:t>
      </w:r>
      <w:r w:rsidR="00964D4B" w:rsidRPr="004107D2">
        <w:rPr>
          <w:color w:val="000000"/>
          <w:sz w:val="20"/>
          <w:szCs w:val="20"/>
        </w:rPr>
        <w:t>.</w:t>
      </w:r>
    </w:p>
    <w:sectPr w:rsidR="00BA3C65" w:rsidRPr="004107D2"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24" w:rsidRDefault="00F65B24" w:rsidP="00F61B4F">
      <w:pPr>
        <w:spacing w:after="0" w:line="240" w:lineRule="auto"/>
      </w:pPr>
      <w:r>
        <w:separator/>
      </w:r>
    </w:p>
  </w:endnote>
  <w:endnote w:type="continuationSeparator" w:id="0">
    <w:p w:rsidR="00F65B24" w:rsidRDefault="00F65B24" w:rsidP="00F6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4F" w:rsidRDefault="00F61B4F" w:rsidP="00F61B4F">
    <w:pPr>
      <w:pStyle w:val="Footer"/>
      <w:tabs>
        <w:tab w:val="clear" w:pos="9360"/>
        <w:tab w:val="right" w:pos="8931"/>
      </w:tabs>
      <w:jc w:val="right"/>
    </w:pPr>
  </w:p>
  <w:p w:rsidR="00F61B4F" w:rsidRPr="00C27561" w:rsidRDefault="00F61B4F" w:rsidP="00C27561">
    <w:pPr>
      <w:pStyle w:val="Footer"/>
      <w:pBdr>
        <w:top w:val="single" w:sz="4" w:space="7" w:color="auto"/>
      </w:pBdr>
      <w:tabs>
        <w:tab w:val="clear" w:pos="9360"/>
        <w:tab w:val="right" w:pos="8931"/>
      </w:tabs>
      <w:jc w:val="both"/>
      <w:rPr>
        <w:rFonts w:ascii="Arial" w:hAnsi="Arial" w:cs="Arial"/>
        <w:color w:val="7F7F7F"/>
        <w:sz w:val="16"/>
        <w:szCs w:val="16"/>
      </w:rPr>
    </w:pPr>
    <w:r w:rsidRPr="00C27561">
      <w:rPr>
        <w:rStyle w:val="CILFooterChar"/>
      </w:rPr>
      <w:t xml:space="preserve">UNOFFICIAL TEXT · CENTRE FOR INTERNATIONAL LAW · </w:t>
    </w:r>
    <w:hyperlink r:id="rId1" w:history="1">
      <w:r w:rsidRPr="00C27561">
        <w:rPr>
          <w:rStyle w:val="CILFooterChar"/>
        </w:rPr>
        <w:t>www.cil.nus.edu.sg</w:t>
      </w:r>
    </w:hyperlink>
    <w:r w:rsidRPr="00C27561">
      <w:rPr>
        <w:rFonts w:ascii="Arial" w:hAnsi="Arial" w:cs="Arial"/>
        <w:color w:val="7F7F7F"/>
        <w:sz w:val="16"/>
        <w:szCs w:val="16"/>
      </w:rPr>
      <w:t xml:space="preserve">                           </w:t>
    </w:r>
    <w:r w:rsidRPr="00C27561">
      <w:rPr>
        <w:rFonts w:ascii="Arial" w:hAnsi="Arial" w:cs="Arial"/>
        <w:color w:val="7F7F7F"/>
        <w:sz w:val="16"/>
        <w:szCs w:val="16"/>
      </w:rPr>
      <w:tab/>
      <w:t xml:space="preserve">     Page </w:t>
    </w:r>
    <w:r w:rsidRPr="00C27561">
      <w:rPr>
        <w:rFonts w:ascii="Arial" w:hAnsi="Arial" w:cs="Arial"/>
        <w:color w:val="7F7F7F"/>
        <w:sz w:val="16"/>
        <w:szCs w:val="16"/>
      </w:rPr>
      <w:fldChar w:fldCharType="begin"/>
    </w:r>
    <w:r w:rsidRPr="00C27561">
      <w:rPr>
        <w:rFonts w:ascii="Arial" w:hAnsi="Arial" w:cs="Arial"/>
        <w:color w:val="7F7F7F"/>
        <w:sz w:val="16"/>
        <w:szCs w:val="16"/>
      </w:rPr>
      <w:instrText xml:space="preserve"> PAGE </w:instrText>
    </w:r>
    <w:r w:rsidRPr="00C27561">
      <w:rPr>
        <w:rFonts w:ascii="Arial" w:hAnsi="Arial" w:cs="Arial"/>
        <w:color w:val="7F7F7F"/>
        <w:sz w:val="16"/>
        <w:szCs w:val="16"/>
      </w:rPr>
      <w:fldChar w:fldCharType="separate"/>
    </w:r>
    <w:r w:rsidR="004107D2">
      <w:rPr>
        <w:rFonts w:ascii="Arial" w:hAnsi="Arial" w:cs="Arial"/>
        <w:noProof/>
        <w:color w:val="7F7F7F"/>
        <w:sz w:val="16"/>
        <w:szCs w:val="16"/>
      </w:rPr>
      <w:t>4</w:t>
    </w:r>
    <w:r w:rsidRPr="00C27561">
      <w:rPr>
        <w:rFonts w:ascii="Arial" w:hAnsi="Arial" w:cs="Arial"/>
        <w:color w:val="7F7F7F"/>
        <w:sz w:val="16"/>
        <w:szCs w:val="16"/>
      </w:rPr>
      <w:fldChar w:fldCharType="end"/>
    </w:r>
    <w:r w:rsidRPr="00C27561">
      <w:rPr>
        <w:rFonts w:ascii="Arial" w:hAnsi="Arial" w:cs="Arial"/>
        <w:color w:val="7F7F7F"/>
        <w:sz w:val="16"/>
        <w:szCs w:val="16"/>
      </w:rPr>
      <w:t xml:space="preserve"> of </w:t>
    </w:r>
    <w:r w:rsidRPr="00C27561">
      <w:rPr>
        <w:rFonts w:ascii="Arial" w:hAnsi="Arial" w:cs="Arial"/>
        <w:color w:val="7F7F7F"/>
        <w:sz w:val="16"/>
        <w:szCs w:val="16"/>
      </w:rPr>
      <w:fldChar w:fldCharType="begin"/>
    </w:r>
    <w:r w:rsidRPr="00C27561">
      <w:rPr>
        <w:rFonts w:ascii="Arial" w:hAnsi="Arial" w:cs="Arial"/>
        <w:color w:val="7F7F7F"/>
        <w:sz w:val="16"/>
        <w:szCs w:val="16"/>
      </w:rPr>
      <w:instrText xml:space="preserve"> NUMPAGES  </w:instrText>
    </w:r>
    <w:r w:rsidRPr="00C27561">
      <w:rPr>
        <w:rFonts w:ascii="Arial" w:hAnsi="Arial" w:cs="Arial"/>
        <w:color w:val="7F7F7F"/>
        <w:sz w:val="16"/>
        <w:szCs w:val="16"/>
      </w:rPr>
      <w:fldChar w:fldCharType="separate"/>
    </w:r>
    <w:r w:rsidR="004107D2">
      <w:rPr>
        <w:rFonts w:ascii="Arial" w:hAnsi="Arial" w:cs="Arial"/>
        <w:noProof/>
        <w:color w:val="7F7F7F"/>
        <w:sz w:val="16"/>
        <w:szCs w:val="16"/>
      </w:rPr>
      <w:t>7</w:t>
    </w:r>
    <w:r w:rsidRPr="00C27561">
      <w:rPr>
        <w:rFonts w:ascii="Arial" w:hAnsi="Arial"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4F" w:rsidRDefault="00F61B4F" w:rsidP="00F61B4F">
    <w:pPr>
      <w:pStyle w:val="Footer"/>
      <w:tabs>
        <w:tab w:val="clear" w:pos="9360"/>
        <w:tab w:val="right" w:pos="8931"/>
      </w:tabs>
      <w:jc w:val="right"/>
    </w:pPr>
  </w:p>
  <w:p w:rsidR="00F61B4F" w:rsidRPr="00EC4E1C" w:rsidRDefault="00F61B4F" w:rsidP="00EC4E1C">
    <w:pPr>
      <w:pStyle w:val="CILFooter"/>
      <w:jc w:val="both"/>
      <w:rPr>
        <w:rFonts w:ascii="Arial" w:hAnsi="Arial"/>
      </w:rPr>
    </w:pPr>
    <w:r w:rsidRPr="00EC4E1C">
      <w:rPr>
        <w:rFonts w:ascii="Arial" w:hAnsi="Arial"/>
      </w:rPr>
      <w:t xml:space="preserve">UNOFFICIAL TEXT · CENTRE FOR INTERNATIONAL LAW · </w:t>
    </w:r>
    <w:hyperlink r:id="rId1" w:history="1">
      <w:r w:rsidRPr="00EC4E1C">
        <w:rPr>
          <w:rStyle w:val="Hyperlink"/>
          <w:rFonts w:ascii="Arial" w:hAnsi="Arial"/>
          <w:color w:val="808080"/>
          <w:u w:val="none"/>
        </w:rPr>
        <w:t>www.cil.nus.edu.sg</w:t>
      </w:r>
    </w:hyperlink>
    <w:r w:rsidRPr="00EC4E1C">
      <w:rPr>
        <w:rFonts w:ascii="Arial" w:hAnsi="Arial"/>
      </w:rPr>
      <w:t xml:space="preserve">                           </w:t>
    </w:r>
    <w:r w:rsidRPr="00EC4E1C">
      <w:rPr>
        <w:rFonts w:ascii="Arial" w:hAnsi="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24" w:rsidRDefault="00F65B24" w:rsidP="00F61B4F">
      <w:pPr>
        <w:spacing w:after="0" w:line="240" w:lineRule="auto"/>
      </w:pPr>
      <w:r>
        <w:separator/>
      </w:r>
    </w:p>
  </w:footnote>
  <w:footnote w:type="continuationSeparator" w:id="0">
    <w:p w:rsidR="00F65B24" w:rsidRDefault="00F65B24" w:rsidP="00F61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4F" w:rsidRPr="00964D4B" w:rsidRDefault="00E515DB" w:rsidP="00E515DB">
    <w:pPr>
      <w:pStyle w:val="Header"/>
      <w:pBdr>
        <w:bottom w:val="single" w:sz="4" w:space="1" w:color="auto"/>
      </w:pBdr>
      <w:rPr>
        <w:rFonts w:ascii="Arial" w:hAnsi="Arial" w:cs="Arial"/>
        <w:caps/>
        <w:color w:val="808080"/>
        <w:sz w:val="16"/>
        <w:szCs w:val="16"/>
      </w:rPr>
    </w:pPr>
    <w:r>
      <w:rPr>
        <w:rFonts w:ascii="Arial" w:hAnsi="Arial" w:cs="Arial"/>
        <w:caps/>
        <w:color w:val="808080"/>
        <w:sz w:val="16"/>
        <w:szCs w:val="16"/>
      </w:rPr>
      <w:t>2009 Terms of reference of the ase</w:t>
    </w:r>
    <w:r w:rsidR="00964D4B" w:rsidRPr="00964D4B">
      <w:rPr>
        <w:rFonts w:ascii="Arial" w:hAnsi="Arial" w:cs="Arial"/>
        <w:caps/>
        <w:color w:val="808080"/>
        <w:sz w:val="16"/>
        <w:szCs w:val="16"/>
      </w:rPr>
      <w:t>an intergovernmental commission on human rights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D71"/>
    <w:multiLevelType w:val="hybridMultilevel"/>
    <w:tmpl w:val="EBC68F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A3B2D0B"/>
    <w:multiLevelType w:val="hybridMultilevel"/>
    <w:tmpl w:val="8DE62A8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AC0497"/>
    <w:multiLevelType w:val="hybridMultilevel"/>
    <w:tmpl w:val="25D4B02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CDC087C"/>
    <w:multiLevelType w:val="hybridMultilevel"/>
    <w:tmpl w:val="6DFCDF2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F6E29D1"/>
    <w:multiLevelType w:val="hybridMultilevel"/>
    <w:tmpl w:val="D556063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33512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65F08"/>
    <w:multiLevelType w:val="hybridMultilevel"/>
    <w:tmpl w:val="54640E7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BD604A"/>
    <w:multiLevelType w:val="hybridMultilevel"/>
    <w:tmpl w:val="9CACF4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0F6266E"/>
    <w:multiLevelType w:val="hybridMultilevel"/>
    <w:tmpl w:val="115EBB6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3604794"/>
    <w:multiLevelType w:val="hybridMultilevel"/>
    <w:tmpl w:val="6B4A5F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3A24880"/>
    <w:multiLevelType w:val="multilevel"/>
    <w:tmpl w:val="F5C41E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D538DC"/>
    <w:multiLevelType w:val="hybridMultilevel"/>
    <w:tmpl w:val="DB365B5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FB156A0"/>
    <w:multiLevelType w:val="multilevel"/>
    <w:tmpl w:val="F5C41E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954877"/>
    <w:multiLevelType w:val="hybridMultilevel"/>
    <w:tmpl w:val="8A5AFE9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67A31F3"/>
    <w:multiLevelType w:val="hybridMultilevel"/>
    <w:tmpl w:val="F91AEF50"/>
    <w:lvl w:ilvl="0" w:tplc="4809000F">
      <w:start w:val="1"/>
      <w:numFmt w:val="decimal"/>
      <w:lvlText w:val="%1."/>
      <w:lvlJc w:val="left"/>
      <w:pPr>
        <w:ind w:left="720" w:hanging="360"/>
      </w:pPr>
    </w:lvl>
    <w:lvl w:ilvl="1" w:tplc="20001A78">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7697215"/>
    <w:multiLevelType w:val="hybridMultilevel"/>
    <w:tmpl w:val="B772083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D7B1D43"/>
    <w:multiLevelType w:val="hybridMultilevel"/>
    <w:tmpl w:val="7248AEE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F72205F"/>
    <w:multiLevelType w:val="hybridMultilevel"/>
    <w:tmpl w:val="FC1C5B90"/>
    <w:lvl w:ilvl="0" w:tplc="4809000F">
      <w:start w:val="1"/>
      <w:numFmt w:val="decimal"/>
      <w:lvlText w:val="%1."/>
      <w:lvlJc w:val="left"/>
      <w:pPr>
        <w:ind w:left="720" w:hanging="360"/>
      </w:pPr>
      <w:rPr>
        <w:rFonts w:hint="default"/>
      </w:rPr>
    </w:lvl>
    <w:lvl w:ilvl="1" w:tplc="20001A78">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09E01D8"/>
    <w:multiLevelType w:val="multilevel"/>
    <w:tmpl w:val="F5C41E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08465E"/>
    <w:multiLevelType w:val="hybridMultilevel"/>
    <w:tmpl w:val="F7F05318"/>
    <w:lvl w:ilvl="0" w:tplc="04090017">
      <w:start w:val="1"/>
      <w:numFmt w:val="lowerLetter"/>
      <w:lvlText w:val="%1)"/>
      <w:lvlJc w:val="left"/>
      <w:pPr>
        <w:ind w:left="720" w:hanging="360"/>
      </w:pPr>
    </w:lvl>
    <w:lvl w:ilvl="1" w:tplc="20001A78">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9294049"/>
    <w:multiLevelType w:val="hybridMultilevel"/>
    <w:tmpl w:val="F7F05318"/>
    <w:lvl w:ilvl="0" w:tplc="04090017">
      <w:start w:val="1"/>
      <w:numFmt w:val="lowerLetter"/>
      <w:lvlText w:val="%1)"/>
      <w:lvlJc w:val="left"/>
      <w:pPr>
        <w:ind w:left="720" w:hanging="360"/>
      </w:pPr>
    </w:lvl>
    <w:lvl w:ilvl="1" w:tplc="20001A78">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2785025"/>
    <w:multiLevelType w:val="hybridMultilevel"/>
    <w:tmpl w:val="B0B218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3883535"/>
    <w:multiLevelType w:val="hybridMultilevel"/>
    <w:tmpl w:val="237A4F5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3E50CA2"/>
    <w:multiLevelType w:val="hybridMultilevel"/>
    <w:tmpl w:val="94DE8D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CB64463"/>
    <w:multiLevelType w:val="hybridMultilevel"/>
    <w:tmpl w:val="940C062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DA346BF"/>
    <w:multiLevelType w:val="multilevel"/>
    <w:tmpl w:val="30E0664C"/>
    <w:lvl w:ilvl="0">
      <w:start w:val="1"/>
      <w:numFmt w:val="decimal"/>
      <w:pStyle w:val="Heading1"/>
      <w:lvlText w:val="%1."/>
      <w:lvlJc w:val="left"/>
      <w:pPr>
        <w:ind w:left="720" w:hanging="360"/>
      </w:pPr>
      <w:rPr>
        <w:rFonts w:hint="default"/>
      </w:rPr>
    </w:lvl>
    <w:lvl w:ilvl="1">
      <w:start w:val="1"/>
      <w:numFmt w:val="decimal"/>
      <w:isLgl/>
      <w:lvlText w:val="%1.%2"/>
      <w:lvlJc w:val="left"/>
      <w:pPr>
        <w:ind w:left="63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F420EF"/>
    <w:multiLevelType w:val="hybridMultilevel"/>
    <w:tmpl w:val="48B4790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3C22CC8"/>
    <w:multiLevelType w:val="hybridMultilevel"/>
    <w:tmpl w:val="EAB02224"/>
    <w:lvl w:ilvl="0" w:tplc="4809000F">
      <w:start w:val="1"/>
      <w:numFmt w:val="decimal"/>
      <w:lvlText w:val="%1."/>
      <w:lvlJc w:val="left"/>
      <w:pPr>
        <w:ind w:left="720" w:hanging="360"/>
      </w:pPr>
      <w:rPr>
        <w:rFonts w:hint="default"/>
      </w:rPr>
    </w:lvl>
    <w:lvl w:ilvl="1" w:tplc="13226230">
      <w:start w:val="1"/>
      <w:numFmt w:val="lowerLetter"/>
      <w:lvlText w:val="%2)"/>
      <w:lvlJc w:val="left"/>
      <w:pPr>
        <w:ind w:left="1080"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9F32B19"/>
    <w:multiLevelType w:val="multilevel"/>
    <w:tmpl w:val="99D63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D8B005B"/>
    <w:multiLevelType w:val="hybridMultilevel"/>
    <w:tmpl w:val="98F8D94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17"/>
  </w:num>
  <w:num w:numId="5">
    <w:abstractNumId w:val="14"/>
  </w:num>
  <w:num w:numId="6">
    <w:abstractNumId w:val="4"/>
  </w:num>
  <w:num w:numId="7">
    <w:abstractNumId w:val="6"/>
  </w:num>
  <w:num w:numId="8">
    <w:abstractNumId w:val="1"/>
  </w:num>
  <w:num w:numId="9">
    <w:abstractNumId w:val="27"/>
  </w:num>
  <w:num w:numId="10">
    <w:abstractNumId w:val="26"/>
  </w:num>
  <w:num w:numId="11">
    <w:abstractNumId w:val="24"/>
  </w:num>
  <w:num w:numId="12">
    <w:abstractNumId w:val="7"/>
  </w:num>
  <w:num w:numId="13">
    <w:abstractNumId w:val="16"/>
  </w:num>
  <w:num w:numId="14">
    <w:abstractNumId w:val="8"/>
  </w:num>
  <w:num w:numId="15">
    <w:abstractNumId w:val="11"/>
  </w:num>
  <w:num w:numId="16">
    <w:abstractNumId w:val="21"/>
  </w:num>
  <w:num w:numId="17">
    <w:abstractNumId w:val="23"/>
  </w:num>
  <w:num w:numId="18">
    <w:abstractNumId w:val="2"/>
  </w:num>
  <w:num w:numId="19">
    <w:abstractNumId w:val="3"/>
  </w:num>
  <w:num w:numId="20">
    <w:abstractNumId w:val="22"/>
  </w:num>
  <w:num w:numId="21">
    <w:abstractNumId w:val="15"/>
  </w:num>
  <w:num w:numId="22">
    <w:abstractNumId w:val="0"/>
  </w:num>
  <w:num w:numId="23">
    <w:abstractNumId w:val="13"/>
  </w:num>
  <w:num w:numId="24">
    <w:abstractNumId w:val="29"/>
  </w:num>
  <w:num w:numId="25">
    <w:abstractNumId w:val="18"/>
  </w:num>
  <w:num w:numId="26">
    <w:abstractNumId w:val="28"/>
  </w:num>
  <w:num w:numId="27">
    <w:abstractNumId w:val="10"/>
  </w:num>
  <w:num w:numId="28">
    <w:abstractNumId w:val="20"/>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65"/>
    <w:rsid w:val="00000FB0"/>
    <w:rsid w:val="000043E5"/>
    <w:rsid w:val="00011723"/>
    <w:rsid w:val="00013D73"/>
    <w:rsid w:val="000173F4"/>
    <w:rsid w:val="00022AE1"/>
    <w:rsid w:val="00023AFA"/>
    <w:rsid w:val="00025831"/>
    <w:rsid w:val="000260A8"/>
    <w:rsid w:val="00032218"/>
    <w:rsid w:val="00032623"/>
    <w:rsid w:val="00032C84"/>
    <w:rsid w:val="0003432F"/>
    <w:rsid w:val="00036034"/>
    <w:rsid w:val="000362E1"/>
    <w:rsid w:val="00040670"/>
    <w:rsid w:val="00045076"/>
    <w:rsid w:val="00045F9A"/>
    <w:rsid w:val="000460FD"/>
    <w:rsid w:val="00046C7E"/>
    <w:rsid w:val="0005003E"/>
    <w:rsid w:val="00055254"/>
    <w:rsid w:val="00055923"/>
    <w:rsid w:val="00061193"/>
    <w:rsid w:val="00061B8B"/>
    <w:rsid w:val="000627D9"/>
    <w:rsid w:val="00063C84"/>
    <w:rsid w:val="0007234F"/>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0BC"/>
    <w:rsid w:val="000D31BC"/>
    <w:rsid w:val="000D6DF5"/>
    <w:rsid w:val="000D7512"/>
    <w:rsid w:val="000E1DDB"/>
    <w:rsid w:val="000E2394"/>
    <w:rsid w:val="000F183E"/>
    <w:rsid w:val="000F2D66"/>
    <w:rsid w:val="001013AD"/>
    <w:rsid w:val="0010259B"/>
    <w:rsid w:val="00102B66"/>
    <w:rsid w:val="001063A1"/>
    <w:rsid w:val="001077E4"/>
    <w:rsid w:val="00111688"/>
    <w:rsid w:val="00111A4C"/>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AA3"/>
    <w:rsid w:val="0020147F"/>
    <w:rsid w:val="002226CD"/>
    <w:rsid w:val="002238CF"/>
    <w:rsid w:val="00224582"/>
    <w:rsid w:val="00224E12"/>
    <w:rsid w:val="002251FC"/>
    <w:rsid w:val="002423B7"/>
    <w:rsid w:val="00244645"/>
    <w:rsid w:val="0025204F"/>
    <w:rsid w:val="002520E2"/>
    <w:rsid w:val="00256484"/>
    <w:rsid w:val="002566AC"/>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4607"/>
    <w:rsid w:val="003A46AB"/>
    <w:rsid w:val="003A6709"/>
    <w:rsid w:val="003B1B3D"/>
    <w:rsid w:val="003C3ABB"/>
    <w:rsid w:val="003C4214"/>
    <w:rsid w:val="003C47FA"/>
    <w:rsid w:val="003C696E"/>
    <w:rsid w:val="003C70F3"/>
    <w:rsid w:val="003D682E"/>
    <w:rsid w:val="003D6E5B"/>
    <w:rsid w:val="003E0C85"/>
    <w:rsid w:val="003E69D4"/>
    <w:rsid w:val="003F148C"/>
    <w:rsid w:val="003F1817"/>
    <w:rsid w:val="003F78BE"/>
    <w:rsid w:val="00401F7F"/>
    <w:rsid w:val="00405210"/>
    <w:rsid w:val="004107D2"/>
    <w:rsid w:val="0042164B"/>
    <w:rsid w:val="0042562D"/>
    <w:rsid w:val="00432B9B"/>
    <w:rsid w:val="004410EB"/>
    <w:rsid w:val="00445DDA"/>
    <w:rsid w:val="00452091"/>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2177"/>
    <w:rsid w:val="004F129B"/>
    <w:rsid w:val="004F21D5"/>
    <w:rsid w:val="00504C42"/>
    <w:rsid w:val="00507CA6"/>
    <w:rsid w:val="0051026B"/>
    <w:rsid w:val="00510555"/>
    <w:rsid w:val="0051224B"/>
    <w:rsid w:val="00516331"/>
    <w:rsid w:val="00522388"/>
    <w:rsid w:val="005325F9"/>
    <w:rsid w:val="00534217"/>
    <w:rsid w:val="00535BF3"/>
    <w:rsid w:val="00537A67"/>
    <w:rsid w:val="00537D81"/>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08F"/>
    <w:rsid w:val="005F5FD1"/>
    <w:rsid w:val="006056CA"/>
    <w:rsid w:val="006077DA"/>
    <w:rsid w:val="00615E91"/>
    <w:rsid w:val="00620043"/>
    <w:rsid w:val="00624B74"/>
    <w:rsid w:val="0062758C"/>
    <w:rsid w:val="00627B91"/>
    <w:rsid w:val="00642035"/>
    <w:rsid w:val="0064206B"/>
    <w:rsid w:val="00646905"/>
    <w:rsid w:val="006477C3"/>
    <w:rsid w:val="006633EA"/>
    <w:rsid w:val="00666445"/>
    <w:rsid w:val="00666A0C"/>
    <w:rsid w:val="006829B2"/>
    <w:rsid w:val="00686294"/>
    <w:rsid w:val="006878B4"/>
    <w:rsid w:val="00695153"/>
    <w:rsid w:val="006A181F"/>
    <w:rsid w:val="006A368A"/>
    <w:rsid w:val="006A5BC7"/>
    <w:rsid w:val="006B0864"/>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468AF"/>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3AA4"/>
    <w:rsid w:val="00871D6D"/>
    <w:rsid w:val="00875863"/>
    <w:rsid w:val="008761FC"/>
    <w:rsid w:val="00881E1B"/>
    <w:rsid w:val="008A2C17"/>
    <w:rsid w:val="008A3A39"/>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4D4B"/>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A0085A"/>
    <w:rsid w:val="00A03EE4"/>
    <w:rsid w:val="00A04D76"/>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90E"/>
    <w:rsid w:val="00AA6452"/>
    <w:rsid w:val="00AA6802"/>
    <w:rsid w:val="00AB26B5"/>
    <w:rsid w:val="00AB38E2"/>
    <w:rsid w:val="00AB6F60"/>
    <w:rsid w:val="00AB7A69"/>
    <w:rsid w:val="00AC1691"/>
    <w:rsid w:val="00AC1CA8"/>
    <w:rsid w:val="00AC4C08"/>
    <w:rsid w:val="00AC7F91"/>
    <w:rsid w:val="00AD44B5"/>
    <w:rsid w:val="00AE05B5"/>
    <w:rsid w:val="00AE3DEB"/>
    <w:rsid w:val="00AE6181"/>
    <w:rsid w:val="00AE64FF"/>
    <w:rsid w:val="00AF5172"/>
    <w:rsid w:val="00AF5D32"/>
    <w:rsid w:val="00B01951"/>
    <w:rsid w:val="00B05254"/>
    <w:rsid w:val="00B05F3A"/>
    <w:rsid w:val="00B0640C"/>
    <w:rsid w:val="00B14396"/>
    <w:rsid w:val="00B173B5"/>
    <w:rsid w:val="00B22684"/>
    <w:rsid w:val="00B267DC"/>
    <w:rsid w:val="00B308F2"/>
    <w:rsid w:val="00B30DEB"/>
    <w:rsid w:val="00B34B14"/>
    <w:rsid w:val="00B420A0"/>
    <w:rsid w:val="00B456B7"/>
    <w:rsid w:val="00B45912"/>
    <w:rsid w:val="00B5211D"/>
    <w:rsid w:val="00B54E3F"/>
    <w:rsid w:val="00B61944"/>
    <w:rsid w:val="00B62E0A"/>
    <w:rsid w:val="00B6351C"/>
    <w:rsid w:val="00B736A5"/>
    <w:rsid w:val="00B74778"/>
    <w:rsid w:val="00B74FC8"/>
    <w:rsid w:val="00B76163"/>
    <w:rsid w:val="00B8232C"/>
    <w:rsid w:val="00B8350D"/>
    <w:rsid w:val="00B85BB1"/>
    <w:rsid w:val="00B85DB0"/>
    <w:rsid w:val="00B96E99"/>
    <w:rsid w:val="00BA1C72"/>
    <w:rsid w:val="00BA3538"/>
    <w:rsid w:val="00BA3C65"/>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7BA5"/>
    <w:rsid w:val="00C0692C"/>
    <w:rsid w:val="00C12E92"/>
    <w:rsid w:val="00C1575D"/>
    <w:rsid w:val="00C27561"/>
    <w:rsid w:val="00C27F88"/>
    <w:rsid w:val="00C33322"/>
    <w:rsid w:val="00C3632D"/>
    <w:rsid w:val="00C436C7"/>
    <w:rsid w:val="00C4584B"/>
    <w:rsid w:val="00C479E0"/>
    <w:rsid w:val="00C539B9"/>
    <w:rsid w:val="00C55B05"/>
    <w:rsid w:val="00C55D41"/>
    <w:rsid w:val="00C573FC"/>
    <w:rsid w:val="00C60DAE"/>
    <w:rsid w:val="00C6101A"/>
    <w:rsid w:val="00C61524"/>
    <w:rsid w:val="00C617E1"/>
    <w:rsid w:val="00C666BA"/>
    <w:rsid w:val="00C66F46"/>
    <w:rsid w:val="00C73155"/>
    <w:rsid w:val="00C83600"/>
    <w:rsid w:val="00C86BF0"/>
    <w:rsid w:val="00C9065C"/>
    <w:rsid w:val="00C90B5B"/>
    <w:rsid w:val="00C91236"/>
    <w:rsid w:val="00C921EF"/>
    <w:rsid w:val="00CA21A1"/>
    <w:rsid w:val="00CA449F"/>
    <w:rsid w:val="00CA540E"/>
    <w:rsid w:val="00CA5A41"/>
    <w:rsid w:val="00CB0C6C"/>
    <w:rsid w:val="00CB2E1A"/>
    <w:rsid w:val="00CB485A"/>
    <w:rsid w:val="00CC2470"/>
    <w:rsid w:val="00CC2F8C"/>
    <w:rsid w:val="00CC535D"/>
    <w:rsid w:val="00CD2BE4"/>
    <w:rsid w:val="00CD6EC7"/>
    <w:rsid w:val="00CE31C8"/>
    <w:rsid w:val="00CE4330"/>
    <w:rsid w:val="00CE567F"/>
    <w:rsid w:val="00CE59E6"/>
    <w:rsid w:val="00CE7679"/>
    <w:rsid w:val="00CF277F"/>
    <w:rsid w:val="00CF4CBB"/>
    <w:rsid w:val="00D00ACC"/>
    <w:rsid w:val="00D07EE1"/>
    <w:rsid w:val="00D13015"/>
    <w:rsid w:val="00D133A2"/>
    <w:rsid w:val="00D13F5C"/>
    <w:rsid w:val="00D15AD4"/>
    <w:rsid w:val="00D1649F"/>
    <w:rsid w:val="00D20538"/>
    <w:rsid w:val="00D211DC"/>
    <w:rsid w:val="00D250B0"/>
    <w:rsid w:val="00D368AA"/>
    <w:rsid w:val="00D43EA3"/>
    <w:rsid w:val="00D45FAB"/>
    <w:rsid w:val="00D470FC"/>
    <w:rsid w:val="00D472FE"/>
    <w:rsid w:val="00D52236"/>
    <w:rsid w:val="00D528FE"/>
    <w:rsid w:val="00D56D91"/>
    <w:rsid w:val="00D67A09"/>
    <w:rsid w:val="00D804A1"/>
    <w:rsid w:val="00D86B2E"/>
    <w:rsid w:val="00D901BD"/>
    <w:rsid w:val="00D91710"/>
    <w:rsid w:val="00D92975"/>
    <w:rsid w:val="00DA4CF4"/>
    <w:rsid w:val="00DB3B2A"/>
    <w:rsid w:val="00DB6E09"/>
    <w:rsid w:val="00DB7B56"/>
    <w:rsid w:val="00DC27F4"/>
    <w:rsid w:val="00DC3275"/>
    <w:rsid w:val="00DC5022"/>
    <w:rsid w:val="00DC5793"/>
    <w:rsid w:val="00DD1735"/>
    <w:rsid w:val="00DD1945"/>
    <w:rsid w:val="00DD2204"/>
    <w:rsid w:val="00DD7A7D"/>
    <w:rsid w:val="00DE4868"/>
    <w:rsid w:val="00DE4917"/>
    <w:rsid w:val="00DE57D4"/>
    <w:rsid w:val="00DF3DF6"/>
    <w:rsid w:val="00DF4E11"/>
    <w:rsid w:val="00DF64FF"/>
    <w:rsid w:val="00DF72C5"/>
    <w:rsid w:val="00E005B9"/>
    <w:rsid w:val="00E03D03"/>
    <w:rsid w:val="00E13279"/>
    <w:rsid w:val="00E15214"/>
    <w:rsid w:val="00E22F62"/>
    <w:rsid w:val="00E23211"/>
    <w:rsid w:val="00E23830"/>
    <w:rsid w:val="00E2703D"/>
    <w:rsid w:val="00E36432"/>
    <w:rsid w:val="00E41649"/>
    <w:rsid w:val="00E42A9B"/>
    <w:rsid w:val="00E46A83"/>
    <w:rsid w:val="00E47C45"/>
    <w:rsid w:val="00E501FD"/>
    <w:rsid w:val="00E515DB"/>
    <w:rsid w:val="00E53F2E"/>
    <w:rsid w:val="00E71017"/>
    <w:rsid w:val="00E71AEC"/>
    <w:rsid w:val="00E80D04"/>
    <w:rsid w:val="00E82ED4"/>
    <w:rsid w:val="00E853A3"/>
    <w:rsid w:val="00E854D8"/>
    <w:rsid w:val="00E87AA3"/>
    <w:rsid w:val="00E925D7"/>
    <w:rsid w:val="00E94458"/>
    <w:rsid w:val="00EA1963"/>
    <w:rsid w:val="00EA422B"/>
    <w:rsid w:val="00EA44D0"/>
    <w:rsid w:val="00EA6B9C"/>
    <w:rsid w:val="00EC2FAE"/>
    <w:rsid w:val="00EC4E1C"/>
    <w:rsid w:val="00EC57B1"/>
    <w:rsid w:val="00ED01F1"/>
    <w:rsid w:val="00ED5238"/>
    <w:rsid w:val="00ED61BD"/>
    <w:rsid w:val="00ED6DF2"/>
    <w:rsid w:val="00EE207B"/>
    <w:rsid w:val="00EF63CD"/>
    <w:rsid w:val="00F01D85"/>
    <w:rsid w:val="00F05438"/>
    <w:rsid w:val="00F1258E"/>
    <w:rsid w:val="00F2602E"/>
    <w:rsid w:val="00F30635"/>
    <w:rsid w:val="00F306A7"/>
    <w:rsid w:val="00F30761"/>
    <w:rsid w:val="00F31524"/>
    <w:rsid w:val="00F4092C"/>
    <w:rsid w:val="00F41173"/>
    <w:rsid w:val="00F41BB1"/>
    <w:rsid w:val="00F45782"/>
    <w:rsid w:val="00F521E0"/>
    <w:rsid w:val="00F53E6A"/>
    <w:rsid w:val="00F57A3C"/>
    <w:rsid w:val="00F61B4F"/>
    <w:rsid w:val="00F63201"/>
    <w:rsid w:val="00F64335"/>
    <w:rsid w:val="00F645C0"/>
    <w:rsid w:val="00F65B24"/>
    <w:rsid w:val="00F6608A"/>
    <w:rsid w:val="00F701DD"/>
    <w:rsid w:val="00F71AE4"/>
    <w:rsid w:val="00F82FDC"/>
    <w:rsid w:val="00F8564E"/>
    <w:rsid w:val="00F86908"/>
    <w:rsid w:val="00F8738F"/>
    <w:rsid w:val="00F87BC0"/>
    <w:rsid w:val="00F97B12"/>
    <w:rsid w:val="00FA08BD"/>
    <w:rsid w:val="00FA0BDA"/>
    <w:rsid w:val="00FA1EB2"/>
    <w:rsid w:val="00FA4AD8"/>
    <w:rsid w:val="00FA4CBA"/>
    <w:rsid w:val="00FA7B32"/>
    <w:rsid w:val="00FB35F7"/>
    <w:rsid w:val="00FB4CD5"/>
    <w:rsid w:val="00FB6164"/>
    <w:rsid w:val="00FB7DF5"/>
    <w:rsid w:val="00FC45CB"/>
    <w:rsid w:val="00FC5496"/>
    <w:rsid w:val="00FD1758"/>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F714"/>
  <w15:chartTrackingRefBased/>
  <w15:docId w15:val="{2065FDF2-08F2-4D93-823F-718D88B6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65"/>
    <w:pPr>
      <w:spacing w:after="200" w:line="276" w:lineRule="auto"/>
    </w:pPr>
    <w:rPr>
      <w:rFonts w:eastAsia="Times New Roman"/>
      <w:sz w:val="22"/>
      <w:szCs w:val="22"/>
    </w:rPr>
  </w:style>
  <w:style w:type="paragraph" w:styleId="Heading1">
    <w:name w:val="heading 1"/>
    <w:basedOn w:val="Normal"/>
    <w:next w:val="Normal"/>
    <w:link w:val="Heading1Char"/>
    <w:autoRedefine/>
    <w:uiPriority w:val="9"/>
    <w:qFormat/>
    <w:rsid w:val="00F45782"/>
    <w:pPr>
      <w:keepNext/>
      <w:keepLines/>
      <w:numPr>
        <w:numId w:val="29"/>
      </w:numPr>
      <w:spacing w:before="240" w:after="120"/>
      <w:jc w:val="center"/>
      <w:outlineLvl w:val="0"/>
    </w:pPr>
    <w:rPr>
      <w:rFonts w:ascii="Arial" w:hAnsi="Arial"/>
      <w:b/>
      <w:bCs/>
      <w:caps/>
      <w:sz w:val="28"/>
      <w:szCs w:val="28"/>
    </w:rPr>
  </w:style>
  <w:style w:type="paragraph" w:styleId="Heading2">
    <w:name w:val="heading 2"/>
    <w:basedOn w:val="Normal"/>
    <w:next w:val="Normal"/>
    <w:link w:val="Heading2Char"/>
    <w:autoRedefine/>
    <w:uiPriority w:val="9"/>
    <w:unhideWhenUsed/>
    <w:qFormat/>
    <w:rsid w:val="000F183E"/>
    <w:pPr>
      <w:spacing w:before="240" w:after="120"/>
      <w:jc w:val="center"/>
      <w:outlineLvl w:val="1"/>
    </w:pPr>
    <w:rPr>
      <w:rFonts w:ascii="Arial" w:hAnsi="Arial" w:cs="Arial"/>
      <w:b/>
      <w:bCs/>
      <w:caps/>
      <w:sz w:val="20"/>
      <w:szCs w:val="20"/>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F45782"/>
    <w:rPr>
      <w:rFonts w:ascii="Arial" w:eastAsia="Times New Roman" w:hAnsi="Arial"/>
      <w:b/>
      <w:bCs/>
      <w:caps/>
      <w:sz w:val="28"/>
      <w:szCs w:val="28"/>
    </w:rPr>
  </w:style>
  <w:style w:type="paragraph" w:customStyle="1" w:styleId="CIL2Heading">
    <w:name w:val="CIL 2 Heading"/>
    <w:basedOn w:val="Heading2"/>
    <w:autoRedefine/>
    <w:rsid w:val="00A359D5"/>
    <w:rPr>
      <w:rFonts w:eastAsia="Batang"/>
      <w:b w:val="0"/>
      <w:iCs/>
      <w:caps w:val="0"/>
      <w:szCs w:val="28"/>
      <w:lang w:val="en-GB" w:eastAsia="ko-KR"/>
    </w:rPr>
  </w:style>
  <w:style w:type="character" w:customStyle="1" w:styleId="Heading2Char">
    <w:name w:val="Heading 2 Char"/>
    <w:link w:val="Heading2"/>
    <w:uiPriority w:val="9"/>
    <w:rsid w:val="000F183E"/>
    <w:rPr>
      <w:rFonts w:ascii="Arial" w:eastAsia="Times New Roman" w:hAnsi="Arial" w:cs="Arial"/>
      <w:b/>
      <w:bCs/>
      <w:cap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D44B5"/>
    <w:pPr>
      <w:jc w:val="center"/>
    </w:pPr>
    <w:rPr>
      <w:rFonts w:ascii="Arial" w:eastAsia="Batang" w:hAnsi="Arial" w:cs="Arial"/>
      <w:i/>
      <w:sz w:val="20"/>
      <w:szCs w:val="20"/>
      <w:lang w:val="en-GB" w:eastAsia="ko-KR"/>
    </w:rPr>
  </w:style>
  <w:style w:type="character" w:customStyle="1" w:styleId="CILSubtitleChar">
    <w:name w:val="CIL Subtitle Char"/>
    <w:link w:val="CILSubtitle"/>
    <w:rsid w:val="00AD44B5"/>
    <w:rPr>
      <w:rFonts w:ascii="Arial" w:eastAsia="Batang" w:hAnsi="Arial" w:cs="Arial"/>
      <w:i/>
      <w:lang w:eastAsia="ko-KR"/>
    </w:rPr>
  </w:style>
  <w:style w:type="paragraph" w:customStyle="1" w:styleId="CILTitle">
    <w:name w:val="CIL Title"/>
    <w:basedOn w:val="Normal"/>
    <w:autoRedefine/>
    <w:qFormat/>
    <w:rsid w:val="00AD44B5"/>
    <w:pPr>
      <w:spacing w:before="240" w:after="120"/>
      <w:jc w:val="center"/>
    </w:pPr>
    <w:rPr>
      <w:rFonts w:ascii="Arial" w:eastAsia="Batang" w:hAnsi="Arial"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4107D2"/>
    <w:pPr>
      <w:tabs>
        <w:tab w:val="left" w:pos="180"/>
        <w:tab w:val="right" w:leader="dot" w:pos="9017"/>
      </w:tabs>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rPr>
  </w:style>
  <w:style w:type="paragraph" w:styleId="Subtitle">
    <w:name w:val="Subtitle"/>
    <w:basedOn w:val="Normal"/>
    <w:next w:val="Normal"/>
    <w:link w:val="SubtitleChar"/>
    <w:autoRedefine/>
    <w:uiPriority w:val="11"/>
    <w:qFormat/>
    <w:rsid w:val="00311F81"/>
    <w:pPr>
      <w:jc w:val="center"/>
    </w:pPr>
    <w:rPr>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after="0" w:line="240" w:lineRule="auto"/>
      <w:ind w:left="720"/>
    </w:pPr>
    <w:rPr>
      <w:rFonts w:ascii="Cambria" w:eastAsia="MS Mincho" w:hAnsi="Cambria"/>
      <w:sz w:val="24"/>
      <w:szCs w:val="24"/>
    </w:rPr>
  </w:style>
  <w:style w:type="paragraph" w:styleId="TOC5">
    <w:name w:val="toc 5"/>
    <w:basedOn w:val="Normal"/>
    <w:next w:val="Normal"/>
    <w:autoRedefine/>
    <w:uiPriority w:val="39"/>
    <w:unhideWhenUsed/>
    <w:rsid w:val="00A27F6D"/>
    <w:pPr>
      <w:spacing w:after="0" w:line="240" w:lineRule="auto"/>
      <w:ind w:left="960"/>
    </w:pPr>
    <w:rPr>
      <w:rFonts w:ascii="Cambria" w:eastAsia="MS Mincho" w:hAnsi="Cambria"/>
      <w:sz w:val="24"/>
      <w:szCs w:val="24"/>
    </w:rPr>
  </w:style>
  <w:style w:type="paragraph" w:styleId="TOC6">
    <w:name w:val="toc 6"/>
    <w:basedOn w:val="Normal"/>
    <w:next w:val="Normal"/>
    <w:autoRedefine/>
    <w:uiPriority w:val="39"/>
    <w:unhideWhenUsed/>
    <w:rsid w:val="00A27F6D"/>
    <w:pPr>
      <w:spacing w:after="0" w:line="240" w:lineRule="auto"/>
      <w:ind w:left="1200"/>
    </w:pPr>
    <w:rPr>
      <w:rFonts w:ascii="Cambria" w:eastAsia="MS Mincho" w:hAnsi="Cambria"/>
      <w:sz w:val="24"/>
      <w:szCs w:val="24"/>
    </w:rPr>
  </w:style>
  <w:style w:type="paragraph" w:styleId="TOC7">
    <w:name w:val="toc 7"/>
    <w:basedOn w:val="Normal"/>
    <w:next w:val="Normal"/>
    <w:autoRedefine/>
    <w:uiPriority w:val="39"/>
    <w:unhideWhenUsed/>
    <w:rsid w:val="00A27F6D"/>
    <w:pPr>
      <w:spacing w:after="0" w:line="240" w:lineRule="auto"/>
      <w:ind w:left="1440"/>
    </w:pPr>
    <w:rPr>
      <w:rFonts w:ascii="Cambria" w:eastAsia="MS Mincho" w:hAnsi="Cambria"/>
      <w:sz w:val="24"/>
      <w:szCs w:val="24"/>
    </w:rPr>
  </w:style>
  <w:style w:type="paragraph" w:styleId="TOC8">
    <w:name w:val="toc 8"/>
    <w:basedOn w:val="Normal"/>
    <w:next w:val="Normal"/>
    <w:autoRedefine/>
    <w:uiPriority w:val="39"/>
    <w:unhideWhenUsed/>
    <w:rsid w:val="00A27F6D"/>
    <w:pPr>
      <w:spacing w:after="0" w:line="240" w:lineRule="auto"/>
      <w:ind w:left="1680"/>
    </w:pPr>
    <w:rPr>
      <w:rFonts w:ascii="Cambria" w:eastAsia="MS Mincho" w:hAnsi="Cambria"/>
      <w:sz w:val="24"/>
      <w:szCs w:val="24"/>
    </w:rPr>
  </w:style>
  <w:style w:type="paragraph" w:styleId="TOC9">
    <w:name w:val="toc 9"/>
    <w:basedOn w:val="Normal"/>
    <w:next w:val="Normal"/>
    <w:autoRedefine/>
    <w:uiPriority w:val="39"/>
    <w:unhideWhenUsed/>
    <w:rsid w:val="00A27F6D"/>
    <w:pPr>
      <w:spacing w:after="0" w:line="240" w:lineRule="auto"/>
      <w:ind w:left="1920"/>
    </w:pPr>
    <w:rPr>
      <w:rFonts w:ascii="Cambria" w:eastAsia="MS Mincho" w:hAnsi="Cambria"/>
      <w:sz w:val="24"/>
      <w:szCs w:val="24"/>
    </w:rPr>
  </w:style>
  <w:style w:type="character" w:styleId="PageNumber">
    <w:name w:val="page number"/>
    <w:uiPriority w:val="99"/>
    <w:semiHidden/>
    <w:unhideWhenUsed/>
    <w:rsid w:val="00A27F6D"/>
  </w:style>
  <w:style w:type="paragraph" w:customStyle="1" w:styleId="Default">
    <w:name w:val="Default"/>
    <w:rsid w:val="00BA3C65"/>
    <w:pPr>
      <w:widowControl w:val="0"/>
      <w:autoSpaceDE w:val="0"/>
      <w:autoSpaceDN w:val="0"/>
      <w:adjustRightInd w:val="0"/>
    </w:pPr>
    <w:rPr>
      <w:rFonts w:ascii="Arial" w:eastAsia="Times New Roman" w:hAnsi="Arial" w:cs="Arial"/>
      <w:color w:val="000000"/>
      <w:sz w:val="24"/>
      <w:szCs w:val="24"/>
    </w:rPr>
  </w:style>
  <w:style w:type="paragraph" w:customStyle="1" w:styleId="CM10">
    <w:name w:val="CM10"/>
    <w:basedOn w:val="Default"/>
    <w:next w:val="Default"/>
    <w:uiPriority w:val="99"/>
    <w:rsid w:val="00BA3C65"/>
    <w:rPr>
      <w:color w:val="auto"/>
    </w:rPr>
  </w:style>
  <w:style w:type="paragraph" w:customStyle="1" w:styleId="CM11">
    <w:name w:val="CM11"/>
    <w:basedOn w:val="Default"/>
    <w:next w:val="Default"/>
    <w:uiPriority w:val="99"/>
    <w:rsid w:val="00BA3C65"/>
    <w:rPr>
      <w:color w:val="auto"/>
    </w:rPr>
  </w:style>
  <w:style w:type="paragraph" w:customStyle="1" w:styleId="CM2">
    <w:name w:val="CM2"/>
    <w:basedOn w:val="Default"/>
    <w:next w:val="Default"/>
    <w:uiPriority w:val="99"/>
    <w:rsid w:val="00BA3C65"/>
    <w:pPr>
      <w:spacing w:line="371" w:lineRule="atLeast"/>
    </w:pPr>
    <w:rPr>
      <w:color w:val="auto"/>
    </w:rPr>
  </w:style>
  <w:style w:type="paragraph" w:customStyle="1" w:styleId="CM12">
    <w:name w:val="CM12"/>
    <w:basedOn w:val="Default"/>
    <w:next w:val="Default"/>
    <w:uiPriority w:val="99"/>
    <w:rsid w:val="00BA3C65"/>
    <w:rPr>
      <w:color w:val="auto"/>
    </w:rPr>
  </w:style>
  <w:style w:type="paragraph" w:customStyle="1" w:styleId="CM3">
    <w:name w:val="CM3"/>
    <w:basedOn w:val="Default"/>
    <w:next w:val="Default"/>
    <w:uiPriority w:val="99"/>
    <w:rsid w:val="00BA3C65"/>
    <w:pPr>
      <w:spacing w:line="373" w:lineRule="atLeast"/>
    </w:pPr>
    <w:rPr>
      <w:color w:val="auto"/>
    </w:rPr>
  </w:style>
  <w:style w:type="paragraph" w:customStyle="1" w:styleId="CM16">
    <w:name w:val="CM16"/>
    <w:basedOn w:val="Default"/>
    <w:next w:val="Default"/>
    <w:uiPriority w:val="99"/>
    <w:rsid w:val="00BA3C65"/>
    <w:rPr>
      <w:color w:val="auto"/>
    </w:rPr>
  </w:style>
  <w:style w:type="paragraph" w:customStyle="1" w:styleId="CM5">
    <w:name w:val="CM5"/>
    <w:basedOn w:val="Default"/>
    <w:next w:val="Default"/>
    <w:uiPriority w:val="99"/>
    <w:rsid w:val="00BA3C65"/>
    <w:pPr>
      <w:spacing w:line="323" w:lineRule="atLeast"/>
    </w:pPr>
    <w:rPr>
      <w:color w:val="auto"/>
    </w:rPr>
  </w:style>
  <w:style w:type="paragraph" w:customStyle="1" w:styleId="CM13">
    <w:name w:val="CM13"/>
    <w:basedOn w:val="Default"/>
    <w:next w:val="Default"/>
    <w:uiPriority w:val="99"/>
    <w:rsid w:val="00BA3C6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ropbox\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1D668-F105-4AE9-866B-BE14B694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0</TotalTime>
  <Pages>7</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Links>
    <vt:vector size="150" baseType="variant">
      <vt:variant>
        <vt:i4>1376306</vt:i4>
      </vt:variant>
      <vt:variant>
        <vt:i4>134</vt:i4>
      </vt:variant>
      <vt:variant>
        <vt:i4>0</vt:i4>
      </vt:variant>
      <vt:variant>
        <vt:i4>5</vt:i4>
      </vt:variant>
      <vt:variant>
        <vt:lpwstr/>
      </vt:variant>
      <vt:variant>
        <vt:lpwstr>_Toc464555740</vt:lpwstr>
      </vt:variant>
      <vt:variant>
        <vt:i4>1179698</vt:i4>
      </vt:variant>
      <vt:variant>
        <vt:i4>128</vt:i4>
      </vt:variant>
      <vt:variant>
        <vt:i4>0</vt:i4>
      </vt:variant>
      <vt:variant>
        <vt:i4>5</vt:i4>
      </vt:variant>
      <vt:variant>
        <vt:lpwstr/>
      </vt:variant>
      <vt:variant>
        <vt:lpwstr>_Toc464555739</vt:lpwstr>
      </vt:variant>
      <vt:variant>
        <vt:i4>1179698</vt:i4>
      </vt:variant>
      <vt:variant>
        <vt:i4>122</vt:i4>
      </vt:variant>
      <vt:variant>
        <vt:i4>0</vt:i4>
      </vt:variant>
      <vt:variant>
        <vt:i4>5</vt:i4>
      </vt:variant>
      <vt:variant>
        <vt:lpwstr/>
      </vt:variant>
      <vt:variant>
        <vt:lpwstr>_Toc464555738</vt:lpwstr>
      </vt:variant>
      <vt:variant>
        <vt:i4>1179698</vt:i4>
      </vt:variant>
      <vt:variant>
        <vt:i4>116</vt:i4>
      </vt:variant>
      <vt:variant>
        <vt:i4>0</vt:i4>
      </vt:variant>
      <vt:variant>
        <vt:i4>5</vt:i4>
      </vt:variant>
      <vt:variant>
        <vt:lpwstr/>
      </vt:variant>
      <vt:variant>
        <vt:lpwstr>_Toc464555737</vt:lpwstr>
      </vt:variant>
      <vt:variant>
        <vt:i4>1179698</vt:i4>
      </vt:variant>
      <vt:variant>
        <vt:i4>110</vt:i4>
      </vt:variant>
      <vt:variant>
        <vt:i4>0</vt:i4>
      </vt:variant>
      <vt:variant>
        <vt:i4>5</vt:i4>
      </vt:variant>
      <vt:variant>
        <vt:lpwstr/>
      </vt:variant>
      <vt:variant>
        <vt:lpwstr>_Toc464555736</vt:lpwstr>
      </vt:variant>
      <vt:variant>
        <vt:i4>1179698</vt:i4>
      </vt:variant>
      <vt:variant>
        <vt:i4>104</vt:i4>
      </vt:variant>
      <vt:variant>
        <vt:i4>0</vt:i4>
      </vt:variant>
      <vt:variant>
        <vt:i4>5</vt:i4>
      </vt:variant>
      <vt:variant>
        <vt:lpwstr/>
      </vt:variant>
      <vt:variant>
        <vt:lpwstr>_Toc464555735</vt:lpwstr>
      </vt:variant>
      <vt:variant>
        <vt:i4>1179698</vt:i4>
      </vt:variant>
      <vt:variant>
        <vt:i4>98</vt:i4>
      </vt:variant>
      <vt:variant>
        <vt:i4>0</vt:i4>
      </vt:variant>
      <vt:variant>
        <vt:i4>5</vt:i4>
      </vt:variant>
      <vt:variant>
        <vt:lpwstr/>
      </vt:variant>
      <vt:variant>
        <vt:lpwstr>_Toc464555734</vt:lpwstr>
      </vt:variant>
      <vt:variant>
        <vt:i4>1179698</vt:i4>
      </vt:variant>
      <vt:variant>
        <vt:i4>92</vt:i4>
      </vt:variant>
      <vt:variant>
        <vt:i4>0</vt:i4>
      </vt:variant>
      <vt:variant>
        <vt:i4>5</vt:i4>
      </vt:variant>
      <vt:variant>
        <vt:lpwstr/>
      </vt:variant>
      <vt:variant>
        <vt:lpwstr>_Toc464555733</vt:lpwstr>
      </vt:variant>
      <vt:variant>
        <vt:i4>1179698</vt:i4>
      </vt:variant>
      <vt:variant>
        <vt:i4>86</vt:i4>
      </vt:variant>
      <vt:variant>
        <vt:i4>0</vt:i4>
      </vt:variant>
      <vt:variant>
        <vt:i4>5</vt:i4>
      </vt:variant>
      <vt:variant>
        <vt:lpwstr/>
      </vt:variant>
      <vt:variant>
        <vt:lpwstr>_Toc464555732</vt:lpwstr>
      </vt:variant>
      <vt:variant>
        <vt:i4>1179698</vt:i4>
      </vt:variant>
      <vt:variant>
        <vt:i4>80</vt:i4>
      </vt:variant>
      <vt:variant>
        <vt:i4>0</vt:i4>
      </vt:variant>
      <vt:variant>
        <vt:i4>5</vt:i4>
      </vt:variant>
      <vt:variant>
        <vt:lpwstr/>
      </vt:variant>
      <vt:variant>
        <vt:lpwstr>_Toc464555731</vt:lpwstr>
      </vt:variant>
      <vt:variant>
        <vt:i4>1179698</vt:i4>
      </vt:variant>
      <vt:variant>
        <vt:i4>74</vt:i4>
      </vt:variant>
      <vt:variant>
        <vt:i4>0</vt:i4>
      </vt:variant>
      <vt:variant>
        <vt:i4>5</vt:i4>
      </vt:variant>
      <vt:variant>
        <vt:lpwstr/>
      </vt:variant>
      <vt:variant>
        <vt:lpwstr>_Toc464555730</vt:lpwstr>
      </vt:variant>
      <vt:variant>
        <vt:i4>1245234</vt:i4>
      </vt:variant>
      <vt:variant>
        <vt:i4>68</vt:i4>
      </vt:variant>
      <vt:variant>
        <vt:i4>0</vt:i4>
      </vt:variant>
      <vt:variant>
        <vt:i4>5</vt:i4>
      </vt:variant>
      <vt:variant>
        <vt:lpwstr/>
      </vt:variant>
      <vt:variant>
        <vt:lpwstr>_Toc464555729</vt:lpwstr>
      </vt:variant>
      <vt:variant>
        <vt:i4>1245234</vt:i4>
      </vt:variant>
      <vt:variant>
        <vt:i4>62</vt:i4>
      </vt:variant>
      <vt:variant>
        <vt:i4>0</vt:i4>
      </vt:variant>
      <vt:variant>
        <vt:i4>5</vt:i4>
      </vt:variant>
      <vt:variant>
        <vt:lpwstr/>
      </vt:variant>
      <vt:variant>
        <vt:lpwstr>_Toc464555728</vt:lpwstr>
      </vt:variant>
      <vt:variant>
        <vt:i4>1245234</vt:i4>
      </vt:variant>
      <vt:variant>
        <vt:i4>56</vt:i4>
      </vt:variant>
      <vt:variant>
        <vt:i4>0</vt:i4>
      </vt:variant>
      <vt:variant>
        <vt:i4>5</vt:i4>
      </vt:variant>
      <vt:variant>
        <vt:lpwstr/>
      </vt:variant>
      <vt:variant>
        <vt:lpwstr>_Toc464555727</vt:lpwstr>
      </vt:variant>
      <vt:variant>
        <vt:i4>1245234</vt:i4>
      </vt:variant>
      <vt:variant>
        <vt:i4>50</vt:i4>
      </vt:variant>
      <vt:variant>
        <vt:i4>0</vt:i4>
      </vt:variant>
      <vt:variant>
        <vt:i4>5</vt:i4>
      </vt:variant>
      <vt:variant>
        <vt:lpwstr/>
      </vt:variant>
      <vt:variant>
        <vt:lpwstr>_Toc464555726</vt:lpwstr>
      </vt:variant>
      <vt:variant>
        <vt:i4>1245234</vt:i4>
      </vt:variant>
      <vt:variant>
        <vt:i4>44</vt:i4>
      </vt:variant>
      <vt:variant>
        <vt:i4>0</vt:i4>
      </vt:variant>
      <vt:variant>
        <vt:i4>5</vt:i4>
      </vt:variant>
      <vt:variant>
        <vt:lpwstr/>
      </vt:variant>
      <vt:variant>
        <vt:lpwstr>_Toc464555725</vt:lpwstr>
      </vt:variant>
      <vt:variant>
        <vt:i4>1245234</vt:i4>
      </vt:variant>
      <vt:variant>
        <vt:i4>38</vt:i4>
      </vt:variant>
      <vt:variant>
        <vt:i4>0</vt:i4>
      </vt:variant>
      <vt:variant>
        <vt:i4>5</vt:i4>
      </vt:variant>
      <vt:variant>
        <vt:lpwstr/>
      </vt:variant>
      <vt:variant>
        <vt:lpwstr>_Toc464555724</vt:lpwstr>
      </vt:variant>
      <vt:variant>
        <vt:i4>1245234</vt:i4>
      </vt:variant>
      <vt:variant>
        <vt:i4>32</vt:i4>
      </vt:variant>
      <vt:variant>
        <vt:i4>0</vt:i4>
      </vt:variant>
      <vt:variant>
        <vt:i4>5</vt:i4>
      </vt:variant>
      <vt:variant>
        <vt:lpwstr/>
      </vt:variant>
      <vt:variant>
        <vt:lpwstr>_Toc464555723</vt:lpwstr>
      </vt:variant>
      <vt:variant>
        <vt:i4>1245234</vt:i4>
      </vt:variant>
      <vt:variant>
        <vt:i4>26</vt:i4>
      </vt:variant>
      <vt:variant>
        <vt:i4>0</vt:i4>
      </vt:variant>
      <vt:variant>
        <vt:i4>5</vt:i4>
      </vt:variant>
      <vt:variant>
        <vt:lpwstr/>
      </vt:variant>
      <vt:variant>
        <vt:lpwstr>_Toc464555722</vt:lpwstr>
      </vt:variant>
      <vt:variant>
        <vt:i4>1245234</vt:i4>
      </vt:variant>
      <vt:variant>
        <vt:i4>20</vt:i4>
      </vt:variant>
      <vt:variant>
        <vt:i4>0</vt:i4>
      </vt:variant>
      <vt:variant>
        <vt:i4>5</vt:i4>
      </vt:variant>
      <vt:variant>
        <vt:lpwstr/>
      </vt:variant>
      <vt:variant>
        <vt:lpwstr>_Toc464555721</vt:lpwstr>
      </vt:variant>
      <vt:variant>
        <vt:i4>1245234</vt:i4>
      </vt:variant>
      <vt:variant>
        <vt:i4>14</vt:i4>
      </vt:variant>
      <vt:variant>
        <vt:i4>0</vt:i4>
      </vt:variant>
      <vt:variant>
        <vt:i4>5</vt:i4>
      </vt:variant>
      <vt:variant>
        <vt:lpwstr/>
      </vt:variant>
      <vt:variant>
        <vt:lpwstr>_Toc464555720</vt:lpwstr>
      </vt:variant>
      <vt:variant>
        <vt:i4>1048626</vt:i4>
      </vt:variant>
      <vt:variant>
        <vt:i4>8</vt:i4>
      </vt:variant>
      <vt:variant>
        <vt:i4>0</vt:i4>
      </vt:variant>
      <vt:variant>
        <vt:i4>5</vt:i4>
      </vt:variant>
      <vt:variant>
        <vt:lpwstr/>
      </vt:variant>
      <vt:variant>
        <vt:lpwstr>_Toc464555719</vt:lpwstr>
      </vt:variant>
      <vt:variant>
        <vt:i4>1048626</vt:i4>
      </vt:variant>
      <vt:variant>
        <vt:i4>2</vt:i4>
      </vt:variant>
      <vt:variant>
        <vt:i4>0</vt:i4>
      </vt:variant>
      <vt:variant>
        <vt:i4>5</vt:i4>
      </vt:variant>
      <vt:variant>
        <vt:lpwstr/>
      </vt:variant>
      <vt:variant>
        <vt:lpwstr>_Toc464555718</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Chan Sze Wei</cp:lastModifiedBy>
  <cp:revision>2</cp:revision>
  <dcterms:created xsi:type="dcterms:W3CDTF">2019-12-10T05:59:00Z</dcterms:created>
  <dcterms:modified xsi:type="dcterms:W3CDTF">2019-12-10T05:59:00Z</dcterms:modified>
</cp:coreProperties>
</file>