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C65" w:rsidRPr="004107D2" w:rsidRDefault="00BA3C65" w:rsidP="00F97B12">
      <w:pPr>
        <w:pStyle w:val="CILTitle"/>
        <w:rPr>
          <w:sz w:val="20"/>
          <w:szCs w:val="20"/>
        </w:rPr>
      </w:pPr>
      <w:r w:rsidRPr="004107D2">
        <w:rPr>
          <w:sz w:val="20"/>
          <w:szCs w:val="20"/>
        </w:rPr>
        <w:t xml:space="preserve">2009 Terms of Reference of </w:t>
      </w:r>
      <w:r w:rsidR="00E515DB" w:rsidRPr="004107D2">
        <w:rPr>
          <w:sz w:val="20"/>
          <w:szCs w:val="20"/>
        </w:rPr>
        <w:t xml:space="preserve">the </w:t>
      </w:r>
      <w:r w:rsidRPr="004107D2">
        <w:rPr>
          <w:sz w:val="20"/>
          <w:szCs w:val="20"/>
        </w:rPr>
        <w:t>ASEAN Intergovernmental Commission on Human Rights</w:t>
      </w:r>
    </w:p>
    <w:p w:rsidR="00BA3C65" w:rsidRPr="004107D2" w:rsidRDefault="00BA3C65" w:rsidP="00F97B12">
      <w:pPr>
        <w:pStyle w:val="CILSubtitle"/>
        <w:spacing w:before="240" w:after="120"/>
      </w:pPr>
      <w:r w:rsidRPr="004107D2">
        <w:t>Adopted</w:t>
      </w:r>
      <w:r w:rsidR="000D30BC" w:rsidRPr="004107D2">
        <w:t xml:space="preserve"> in Phuket, Thailand, on 20</w:t>
      </w:r>
      <w:r w:rsidRPr="004107D2">
        <w:t xml:space="preserve"> July 2009 </w:t>
      </w:r>
    </w:p>
    <w:p w:rsidR="000F183E" w:rsidRPr="004107D2" w:rsidRDefault="000F183E" w:rsidP="00F97B12">
      <w:pPr>
        <w:pStyle w:val="CILSubtitle"/>
        <w:spacing w:before="240" w:after="120"/>
      </w:pPr>
    </w:p>
    <w:p w:rsidR="004107D2" w:rsidRPr="004107D2" w:rsidRDefault="00964D4B" w:rsidP="004107D2">
      <w:pPr>
        <w:pStyle w:val="TOC1"/>
        <w:rPr>
          <w:rFonts w:ascii="Arial" w:eastAsiaTheme="minorEastAsia" w:hAnsi="Arial" w:cs="Arial"/>
          <w:noProof/>
          <w:sz w:val="20"/>
          <w:szCs w:val="20"/>
        </w:rPr>
      </w:pPr>
      <w:r w:rsidRPr="004107D2">
        <w:rPr>
          <w:rFonts w:ascii="Arial" w:hAnsi="Arial" w:cs="Arial"/>
          <w:sz w:val="20"/>
          <w:szCs w:val="20"/>
        </w:rPr>
        <w:fldChar w:fldCharType="begin"/>
      </w:r>
      <w:r w:rsidRPr="004107D2">
        <w:rPr>
          <w:rFonts w:ascii="Arial" w:hAnsi="Arial" w:cs="Arial"/>
          <w:sz w:val="20"/>
          <w:szCs w:val="20"/>
        </w:rPr>
        <w:instrText xml:space="preserve"> TOC \o "1-1" \h \z \t "Heading 2,2,Heading 3,3" </w:instrText>
      </w:r>
      <w:r w:rsidRPr="004107D2">
        <w:rPr>
          <w:rFonts w:ascii="Arial" w:hAnsi="Arial" w:cs="Arial"/>
          <w:sz w:val="20"/>
          <w:szCs w:val="20"/>
        </w:rPr>
        <w:fldChar w:fldCharType="separate"/>
      </w:r>
      <w:hyperlink w:anchor="_Toc26878595" w:history="1">
        <w:r w:rsidR="004107D2" w:rsidRPr="004107D2">
          <w:rPr>
            <w:rStyle w:val="Hyperlink"/>
            <w:rFonts w:ascii="Arial" w:hAnsi="Arial" w:cs="Arial"/>
            <w:noProof/>
            <w:sz w:val="20"/>
            <w:szCs w:val="20"/>
          </w:rPr>
          <w:t>1.</w:t>
        </w:r>
        <w:r w:rsidR="004107D2" w:rsidRPr="004107D2">
          <w:rPr>
            <w:rFonts w:ascii="Arial" w:eastAsiaTheme="minorEastAsia" w:hAnsi="Arial" w:cs="Arial"/>
            <w:noProof/>
            <w:sz w:val="20"/>
            <w:szCs w:val="20"/>
          </w:rPr>
          <w:tab/>
        </w:r>
        <w:r w:rsidR="004107D2">
          <w:rPr>
            <w:rFonts w:ascii="Arial" w:eastAsiaTheme="minorEastAsia" w:hAnsi="Arial" w:cs="Arial"/>
            <w:noProof/>
            <w:sz w:val="20"/>
            <w:szCs w:val="20"/>
          </w:rPr>
          <w:t xml:space="preserve"> </w:t>
        </w:r>
        <w:r w:rsidR="004107D2" w:rsidRPr="004107D2">
          <w:rPr>
            <w:rStyle w:val="Hyperlink"/>
            <w:rFonts w:ascii="Arial" w:hAnsi="Arial" w:cs="Arial"/>
            <w:noProof/>
            <w:sz w:val="20"/>
            <w:szCs w:val="20"/>
          </w:rPr>
          <w:t>PURPOSES</w:t>
        </w:r>
        <w:r w:rsidR="004107D2" w:rsidRPr="004107D2">
          <w:rPr>
            <w:rFonts w:ascii="Arial" w:hAnsi="Arial" w:cs="Arial"/>
            <w:noProof/>
            <w:webHidden/>
            <w:sz w:val="20"/>
            <w:szCs w:val="20"/>
          </w:rPr>
          <w:tab/>
        </w:r>
        <w:r w:rsidR="004107D2" w:rsidRPr="004107D2">
          <w:rPr>
            <w:rFonts w:ascii="Arial" w:hAnsi="Arial" w:cs="Arial"/>
            <w:noProof/>
            <w:webHidden/>
            <w:sz w:val="20"/>
            <w:szCs w:val="20"/>
          </w:rPr>
          <w:fldChar w:fldCharType="begin"/>
        </w:r>
        <w:r w:rsidR="004107D2" w:rsidRPr="004107D2">
          <w:rPr>
            <w:rFonts w:ascii="Arial" w:hAnsi="Arial" w:cs="Arial"/>
            <w:noProof/>
            <w:webHidden/>
            <w:sz w:val="20"/>
            <w:szCs w:val="20"/>
          </w:rPr>
          <w:instrText xml:space="preserve"> PAGEREF _Toc26878595 \h </w:instrText>
        </w:r>
        <w:r w:rsidR="004107D2" w:rsidRPr="004107D2">
          <w:rPr>
            <w:rFonts w:ascii="Arial" w:hAnsi="Arial" w:cs="Arial"/>
            <w:noProof/>
            <w:webHidden/>
            <w:sz w:val="20"/>
            <w:szCs w:val="20"/>
          </w:rPr>
        </w:r>
        <w:r w:rsidR="004107D2" w:rsidRPr="004107D2">
          <w:rPr>
            <w:rFonts w:ascii="Arial" w:hAnsi="Arial" w:cs="Arial"/>
            <w:noProof/>
            <w:webHidden/>
            <w:sz w:val="20"/>
            <w:szCs w:val="20"/>
          </w:rPr>
          <w:fldChar w:fldCharType="separate"/>
        </w:r>
        <w:r w:rsidR="004107D2">
          <w:rPr>
            <w:rFonts w:ascii="Arial" w:hAnsi="Arial" w:cs="Arial"/>
            <w:noProof/>
            <w:webHidden/>
            <w:sz w:val="20"/>
            <w:szCs w:val="20"/>
          </w:rPr>
          <w:t>2</w:t>
        </w:r>
        <w:r w:rsidR="004107D2" w:rsidRPr="004107D2">
          <w:rPr>
            <w:rFonts w:ascii="Arial" w:hAnsi="Arial" w:cs="Arial"/>
            <w:noProof/>
            <w:webHidden/>
            <w:sz w:val="20"/>
            <w:szCs w:val="20"/>
          </w:rPr>
          <w:fldChar w:fldCharType="end"/>
        </w:r>
      </w:hyperlink>
    </w:p>
    <w:p w:rsidR="004107D2" w:rsidRPr="004107D2" w:rsidRDefault="004107D2" w:rsidP="004107D2">
      <w:pPr>
        <w:pStyle w:val="TOC1"/>
        <w:rPr>
          <w:rFonts w:ascii="Arial" w:eastAsiaTheme="minorEastAsia" w:hAnsi="Arial" w:cs="Arial"/>
          <w:noProof/>
          <w:sz w:val="20"/>
          <w:szCs w:val="20"/>
        </w:rPr>
      </w:pPr>
      <w:hyperlink w:anchor="_Toc26878596" w:history="1">
        <w:r w:rsidRPr="004107D2">
          <w:rPr>
            <w:rStyle w:val="Hyperlink"/>
            <w:rFonts w:ascii="Arial" w:hAnsi="Arial" w:cs="Arial"/>
            <w:noProof/>
            <w:sz w:val="20"/>
            <w:szCs w:val="20"/>
          </w:rPr>
          <w:t>2.</w:t>
        </w:r>
        <w:r w:rsidRPr="004107D2">
          <w:rPr>
            <w:rFonts w:ascii="Arial" w:eastAsiaTheme="minorEastAsia" w:hAnsi="Arial" w:cs="Arial"/>
            <w:noProof/>
            <w:sz w:val="20"/>
            <w:szCs w:val="20"/>
          </w:rPr>
          <w:tab/>
        </w:r>
        <w:r>
          <w:rPr>
            <w:rFonts w:ascii="Arial" w:eastAsiaTheme="minorEastAsia" w:hAnsi="Arial" w:cs="Arial"/>
            <w:noProof/>
            <w:sz w:val="20"/>
            <w:szCs w:val="20"/>
          </w:rPr>
          <w:t xml:space="preserve"> </w:t>
        </w:r>
        <w:r w:rsidRPr="004107D2">
          <w:rPr>
            <w:rStyle w:val="Hyperlink"/>
            <w:rFonts w:ascii="Arial" w:hAnsi="Arial" w:cs="Arial"/>
            <w:noProof/>
            <w:sz w:val="20"/>
            <w:szCs w:val="20"/>
          </w:rPr>
          <w:t>PRINCIPLES</w:t>
        </w:r>
        <w:r w:rsidRPr="004107D2">
          <w:rPr>
            <w:rFonts w:ascii="Arial" w:hAnsi="Arial" w:cs="Arial"/>
            <w:noProof/>
            <w:webHidden/>
            <w:sz w:val="20"/>
            <w:szCs w:val="20"/>
          </w:rPr>
          <w:tab/>
        </w:r>
        <w:r w:rsidRPr="004107D2">
          <w:rPr>
            <w:rFonts w:ascii="Arial" w:hAnsi="Arial" w:cs="Arial"/>
            <w:noProof/>
            <w:webHidden/>
            <w:sz w:val="20"/>
            <w:szCs w:val="20"/>
          </w:rPr>
          <w:fldChar w:fldCharType="begin"/>
        </w:r>
        <w:r w:rsidRPr="004107D2">
          <w:rPr>
            <w:rFonts w:ascii="Arial" w:hAnsi="Arial" w:cs="Arial"/>
            <w:noProof/>
            <w:webHidden/>
            <w:sz w:val="20"/>
            <w:szCs w:val="20"/>
          </w:rPr>
          <w:instrText xml:space="preserve"> PAGEREF _Toc26878596 \h </w:instrText>
        </w:r>
        <w:r w:rsidRPr="004107D2">
          <w:rPr>
            <w:rFonts w:ascii="Arial" w:hAnsi="Arial" w:cs="Arial"/>
            <w:noProof/>
            <w:webHidden/>
            <w:sz w:val="20"/>
            <w:szCs w:val="20"/>
          </w:rPr>
        </w:r>
        <w:r w:rsidRPr="004107D2">
          <w:rPr>
            <w:rFonts w:ascii="Arial" w:hAnsi="Arial" w:cs="Arial"/>
            <w:noProof/>
            <w:webHidden/>
            <w:sz w:val="20"/>
            <w:szCs w:val="20"/>
          </w:rPr>
          <w:fldChar w:fldCharType="separate"/>
        </w:r>
        <w:r>
          <w:rPr>
            <w:rFonts w:ascii="Arial" w:hAnsi="Arial" w:cs="Arial"/>
            <w:noProof/>
            <w:webHidden/>
            <w:sz w:val="20"/>
            <w:szCs w:val="20"/>
          </w:rPr>
          <w:t>2</w:t>
        </w:r>
        <w:r w:rsidRPr="004107D2">
          <w:rPr>
            <w:rFonts w:ascii="Arial" w:hAnsi="Arial" w:cs="Arial"/>
            <w:noProof/>
            <w:webHidden/>
            <w:sz w:val="20"/>
            <w:szCs w:val="20"/>
          </w:rPr>
          <w:fldChar w:fldCharType="end"/>
        </w:r>
      </w:hyperlink>
    </w:p>
    <w:p w:rsidR="004107D2" w:rsidRPr="004107D2" w:rsidRDefault="004107D2" w:rsidP="004107D2">
      <w:pPr>
        <w:pStyle w:val="TOC1"/>
        <w:rPr>
          <w:rFonts w:ascii="Arial" w:eastAsiaTheme="minorEastAsia" w:hAnsi="Arial" w:cs="Arial"/>
          <w:noProof/>
          <w:sz w:val="20"/>
          <w:szCs w:val="20"/>
        </w:rPr>
      </w:pPr>
      <w:hyperlink w:anchor="_Toc26878597" w:history="1">
        <w:r w:rsidRPr="004107D2">
          <w:rPr>
            <w:rStyle w:val="Hyperlink"/>
            <w:rFonts w:ascii="Arial" w:hAnsi="Arial" w:cs="Arial"/>
            <w:noProof/>
            <w:sz w:val="20"/>
            <w:szCs w:val="20"/>
          </w:rPr>
          <w:t>3.</w:t>
        </w:r>
        <w:r w:rsidRPr="004107D2">
          <w:rPr>
            <w:rFonts w:ascii="Arial" w:eastAsiaTheme="minorEastAsia" w:hAnsi="Arial" w:cs="Arial"/>
            <w:noProof/>
            <w:sz w:val="20"/>
            <w:szCs w:val="20"/>
          </w:rPr>
          <w:tab/>
        </w:r>
        <w:r>
          <w:rPr>
            <w:rFonts w:ascii="Arial" w:eastAsiaTheme="minorEastAsia" w:hAnsi="Arial" w:cs="Arial"/>
            <w:noProof/>
            <w:sz w:val="20"/>
            <w:szCs w:val="20"/>
          </w:rPr>
          <w:t xml:space="preserve"> </w:t>
        </w:r>
        <w:r w:rsidRPr="004107D2">
          <w:rPr>
            <w:rStyle w:val="Hyperlink"/>
            <w:rFonts w:ascii="Arial" w:hAnsi="Arial" w:cs="Arial"/>
            <w:noProof/>
            <w:sz w:val="20"/>
            <w:szCs w:val="20"/>
          </w:rPr>
          <w:t>CONSULTATIVE INTER-GOVERNMENTAL BODY</w:t>
        </w:r>
        <w:r w:rsidRPr="004107D2">
          <w:rPr>
            <w:rFonts w:ascii="Arial" w:hAnsi="Arial" w:cs="Arial"/>
            <w:noProof/>
            <w:webHidden/>
            <w:sz w:val="20"/>
            <w:szCs w:val="20"/>
          </w:rPr>
          <w:tab/>
        </w:r>
        <w:r w:rsidRPr="004107D2">
          <w:rPr>
            <w:rFonts w:ascii="Arial" w:hAnsi="Arial" w:cs="Arial"/>
            <w:noProof/>
            <w:webHidden/>
            <w:sz w:val="20"/>
            <w:szCs w:val="20"/>
          </w:rPr>
          <w:fldChar w:fldCharType="begin"/>
        </w:r>
        <w:r w:rsidRPr="004107D2">
          <w:rPr>
            <w:rFonts w:ascii="Arial" w:hAnsi="Arial" w:cs="Arial"/>
            <w:noProof/>
            <w:webHidden/>
            <w:sz w:val="20"/>
            <w:szCs w:val="20"/>
          </w:rPr>
          <w:instrText xml:space="preserve"> PAGEREF _Toc26878597 \h </w:instrText>
        </w:r>
        <w:r w:rsidRPr="004107D2">
          <w:rPr>
            <w:rFonts w:ascii="Arial" w:hAnsi="Arial" w:cs="Arial"/>
            <w:noProof/>
            <w:webHidden/>
            <w:sz w:val="20"/>
            <w:szCs w:val="20"/>
          </w:rPr>
        </w:r>
        <w:r w:rsidRPr="004107D2">
          <w:rPr>
            <w:rFonts w:ascii="Arial" w:hAnsi="Arial" w:cs="Arial"/>
            <w:noProof/>
            <w:webHidden/>
            <w:sz w:val="20"/>
            <w:szCs w:val="20"/>
          </w:rPr>
          <w:fldChar w:fldCharType="separate"/>
        </w:r>
        <w:r>
          <w:rPr>
            <w:rFonts w:ascii="Arial" w:hAnsi="Arial" w:cs="Arial"/>
            <w:noProof/>
            <w:webHidden/>
            <w:sz w:val="20"/>
            <w:szCs w:val="20"/>
          </w:rPr>
          <w:t>3</w:t>
        </w:r>
        <w:r w:rsidRPr="004107D2">
          <w:rPr>
            <w:rFonts w:ascii="Arial" w:hAnsi="Arial" w:cs="Arial"/>
            <w:noProof/>
            <w:webHidden/>
            <w:sz w:val="20"/>
            <w:szCs w:val="20"/>
          </w:rPr>
          <w:fldChar w:fldCharType="end"/>
        </w:r>
      </w:hyperlink>
    </w:p>
    <w:p w:rsidR="004107D2" w:rsidRPr="004107D2" w:rsidRDefault="004107D2" w:rsidP="004107D2">
      <w:pPr>
        <w:pStyle w:val="TOC1"/>
        <w:rPr>
          <w:rFonts w:ascii="Arial" w:eastAsiaTheme="minorEastAsia" w:hAnsi="Arial" w:cs="Arial"/>
          <w:noProof/>
          <w:sz w:val="20"/>
          <w:szCs w:val="20"/>
        </w:rPr>
      </w:pPr>
      <w:hyperlink w:anchor="_Toc26878598" w:history="1">
        <w:r w:rsidRPr="004107D2">
          <w:rPr>
            <w:rStyle w:val="Hyperlink"/>
            <w:rFonts w:ascii="Arial" w:hAnsi="Arial" w:cs="Arial"/>
            <w:noProof/>
            <w:sz w:val="20"/>
            <w:szCs w:val="20"/>
          </w:rPr>
          <w:t>4.</w:t>
        </w:r>
        <w:r w:rsidRPr="004107D2">
          <w:rPr>
            <w:rFonts w:ascii="Arial" w:eastAsiaTheme="minorEastAsia" w:hAnsi="Arial" w:cs="Arial"/>
            <w:noProof/>
            <w:sz w:val="20"/>
            <w:szCs w:val="20"/>
          </w:rPr>
          <w:tab/>
        </w:r>
        <w:r>
          <w:rPr>
            <w:rFonts w:ascii="Arial" w:eastAsiaTheme="minorEastAsia" w:hAnsi="Arial" w:cs="Arial"/>
            <w:noProof/>
            <w:sz w:val="20"/>
            <w:szCs w:val="20"/>
          </w:rPr>
          <w:t xml:space="preserve"> </w:t>
        </w:r>
        <w:r w:rsidRPr="004107D2">
          <w:rPr>
            <w:rStyle w:val="Hyperlink"/>
            <w:rFonts w:ascii="Arial" w:hAnsi="Arial" w:cs="Arial"/>
            <w:noProof/>
            <w:sz w:val="20"/>
            <w:szCs w:val="20"/>
          </w:rPr>
          <w:t>MANDATE AND FUNCTIONS</w:t>
        </w:r>
        <w:r w:rsidRPr="004107D2">
          <w:rPr>
            <w:rFonts w:ascii="Arial" w:hAnsi="Arial" w:cs="Arial"/>
            <w:noProof/>
            <w:webHidden/>
            <w:sz w:val="20"/>
            <w:szCs w:val="20"/>
          </w:rPr>
          <w:tab/>
        </w:r>
        <w:r w:rsidRPr="004107D2">
          <w:rPr>
            <w:rFonts w:ascii="Arial" w:hAnsi="Arial" w:cs="Arial"/>
            <w:noProof/>
            <w:webHidden/>
            <w:sz w:val="20"/>
            <w:szCs w:val="20"/>
          </w:rPr>
          <w:fldChar w:fldCharType="begin"/>
        </w:r>
        <w:r w:rsidRPr="004107D2">
          <w:rPr>
            <w:rFonts w:ascii="Arial" w:hAnsi="Arial" w:cs="Arial"/>
            <w:noProof/>
            <w:webHidden/>
            <w:sz w:val="20"/>
            <w:szCs w:val="20"/>
          </w:rPr>
          <w:instrText xml:space="preserve"> PAGEREF _Toc26878598 \h </w:instrText>
        </w:r>
        <w:r w:rsidRPr="004107D2">
          <w:rPr>
            <w:rFonts w:ascii="Arial" w:hAnsi="Arial" w:cs="Arial"/>
            <w:noProof/>
            <w:webHidden/>
            <w:sz w:val="20"/>
            <w:szCs w:val="20"/>
          </w:rPr>
        </w:r>
        <w:r w:rsidRPr="004107D2">
          <w:rPr>
            <w:rFonts w:ascii="Arial" w:hAnsi="Arial" w:cs="Arial"/>
            <w:noProof/>
            <w:webHidden/>
            <w:sz w:val="20"/>
            <w:szCs w:val="20"/>
          </w:rPr>
          <w:fldChar w:fldCharType="separate"/>
        </w:r>
        <w:r>
          <w:rPr>
            <w:rFonts w:ascii="Arial" w:hAnsi="Arial" w:cs="Arial"/>
            <w:noProof/>
            <w:webHidden/>
            <w:sz w:val="20"/>
            <w:szCs w:val="20"/>
          </w:rPr>
          <w:t>3</w:t>
        </w:r>
        <w:r w:rsidRPr="004107D2">
          <w:rPr>
            <w:rFonts w:ascii="Arial" w:hAnsi="Arial" w:cs="Arial"/>
            <w:noProof/>
            <w:webHidden/>
            <w:sz w:val="20"/>
            <w:szCs w:val="20"/>
          </w:rPr>
          <w:fldChar w:fldCharType="end"/>
        </w:r>
      </w:hyperlink>
    </w:p>
    <w:p w:rsidR="004107D2" w:rsidRPr="004107D2" w:rsidRDefault="004107D2" w:rsidP="004107D2">
      <w:pPr>
        <w:pStyle w:val="TOC1"/>
        <w:rPr>
          <w:rFonts w:ascii="Arial" w:eastAsiaTheme="minorEastAsia" w:hAnsi="Arial" w:cs="Arial"/>
          <w:noProof/>
          <w:sz w:val="20"/>
          <w:szCs w:val="20"/>
        </w:rPr>
      </w:pPr>
      <w:hyperlink w:anchor="_Toc26878599" w:history="1">
        <w:r w:rsidRPr="004107D2">
          <w:rPr>
            <w:rStyle w:val="Hyperlink"/>
            <w:rFonts w:ascii="Arial" w:hAnsi="Arial" w:cs="Arial"/>
            <w:noProof/>
            <w:sz w:val="20"/>
            <w:szCs w:val="20"/>
          </w:rPr>
          <w:t>5.</w:t>
        </w:r>
        <w:r w:rsidRPr="004107D2">
          <w:rPr>
            <w:rFonts w:ascii="Arial" w:eastAsiaTheme="minorEastAsia" w:hAnsi="Arial" w:cs="Arial"/>
            <w:noProof/>
            <w:sz w:val="20"/>
            <w:szCs w:val="20"/>
          </w:rPr>
          <w:tab/>
        </w:r>
        <w:r>
          <w:rPr>
            <w:rFonts w:ascii="Arial" w:eastAsiaTheme="minorEastAsia" w:hAnsi="Arial" w:cs="Arial"/>
            <w:noProof/>
            <w:sz w:val="20"/>
            <w:szCs w:val="20"/>
          </w:rPr>
          <w:t xml:space="preserve"> </w:t>
        </w:r>
        <w:r w:rsidRPr="004107D2">
          <w:rPr>
            <w:rStyle w:val="Hyperlink"/>
            <w:rFonts w:ascii="Arial" w:hAnsi="Arial" w:cs="Arial"/>
            <w:noProof/>
            <w:sz w:val="20"/>
            <w:szCs w:val="20"/>
          </w:rPr>
          <w:t>COMPOSITION</w:t>
        </w:r>
        <w:r w:rsidRPr="004107D2">
          <w:rPr>
            <w:rFonts w:ascii="Arial" w:hAnsi="Arial" w:cs="Arial"/>
            <w:noProof/>
            <w:webHidden/>
            <w:sz w:val="20"/>
            <w:szCs w:val="20"/>
          </w:rPr>
          <w:tab/>
        </w:r>
        <w:r w:rsidRPr="004107D2">
          <w:rPr>
            <w:rFonts w:ascii="Arial" w:hAnsi="Arial" w:cs="Arial"/>
            <w:noProof/>
            <w:webHidden/>
            <w:sz w:val="20"/>
            <w:szCs w:val="20"/>
          </w:rPr>
          <w:fldChar w:fldCharType="begin"/>
        </w:r>
        <w:r w:rsidRPr="004107D2">
          <w:rPr>
            <w:rFonts w:ascii="Arial" w:hAnsi="Arial" w:cs="Arial"/>
            <w:noProof/>
            <w:webHidden/>
            <w:sz w:val="20"/>
            <w:szCs w:val="20"/>
          </w:rPr>
          <w:instrText xml:space="preserve"> PAGEREF _Toc26878599 \h </w:instrText>
        </w:r>
        <w:r w:rsidRPr="004107D2">
          <w:rPr>
            <w:rFonts w:ascii="Arial" w:hAnsi="Arial" w:cs="Arial"/>
            <w:noProof/>
            <w:webHidden/>
            <w:sz w:val="20"/>
            <w:szCs w:val="20"/>
          </w:rPr>
        </w:r>
        <w:r w:rsidRPr="004107D2">
          <w:rPr>
            <w:rFonts w:ascii="Arial" w:hAnsi="Arial" w:cs="Arial"/>
            <w:noProof/>
            <w:webHidden/>
            <w:sz w:val="20"/>
            <w:szCs w:val="20"/>
          </w:rPr>
          <w:fldChar w:fldCharType="separate"/>
        </w:r>
        <w:r>
          <w:rPr>
            <w:rFonts w:ascii="Arial" w:hAnsi="Arial" w:cs="Arial"/>
            <w:noProof/>
            <w:webHidden/>
            <w:sz w:val="20"/>
            <w:szCs w:val="20"/>
          </w:rPr>
          <w:t>4</w:t>
        </w:r>
        <w:r w:rsidRPr="004107D2">
          <w:rPr>
            <w:rFonts w:ascii="Arial" w:hAnsi="Arial" w:cs="Arial"/>
            <w:noProof/>
            <w:webHidden/>
            <w:sz w:val="20"/>
            <w:szCs w:val="20"/>
          </w:rPr>
          <w:fldChar w:fldCharType="end"/>
        </w:r>
      </w:hyperlink>
    </w:p>
    <w:p w:rsidR="004107D2" w:rsidRPr="004107D2" w:rsidRDefault="004107D2" w:rsidP="004107D2">
      <w:pPr>
        <w:pStyle w:val="TOC2"/>
        <w:tabs>
          <w:tab w:val="right" w:leader="dot" w:pos="9017"/>
        </w:tabs>
        <w:rPr>
          <w:rFonts w:eastAsiaTheme="minorEastAsia"/>
          <w:bCs w:val="0"/>
          <w:caps w:val="0"/>
          <w:noProof/>
        </w:rPr>
      </w:pPr>
      <w:hyperlink w:anchor="_Toc26878600" w:history="1">
        <w:r w:rsidRPr="004107D2">
          <w:rPr>
            <w:noProof/>
          </w:rPr>
          <w:t>Membership</w:t>
        </w:r>
        <w:r w:rsidRPr="004107D2">
          <w:rPr>
            <w:noProof/>
            <w:webHidden/>
          </w:rPr>
          <w:tab/>
        </w:r>
        <w:r w:rsidRPr="004107D2">
          <w:rPr>
            <w:noProof/>
            <w:webHidden/>
          </w:rPr>
          <w:fldChar w:fldCharType="begin"/>
        </w:r>
        <w:r w:rsidRPr="004107D2">
          <w:rPr>
            <w:noProof/>
            <w:webHidden/>
          </w:rPr>
          <w:instrText xml:space="preserve"> PAGEREF _Toc26878600 \h </w:instrText>
        </w:r>
        <w:r w:rsidRPr="004107D2">
          <w:rPr>
            <w:noProof/>
            <w:webHidden/>
          </w:rPr>
        </w:r>
        <w:r w:rsidRPr="004107D2">
          <w:rPr>
            <w:noProof/>
            <w:webHidden/>
          </w:rPr>
          <w:fldChar w:fldCharType="separate"/>
        </w:r>
        <w:r>
          <w:rPr>
            <w:noProof/>
            <w:webHidden/>
          </w:rPr>
          <w:t>4</w:t>
        </w:r>
        <w:r w:rsidRPr="004107D2">
          <w:rPr>
            <w:noProof/>
            <w:webHidden/>
          </w:rPr>
          <w:fldChar w:fldCharType="end"/>
        </w:r>
      </w:hyperlink>
    </w:p>
    <w:p w:rsidR="004107D2" w:rsidRPr="004107D2" w:rsidRDefault="004107D2" w:rsidP="004107D2">
      <w:pPr>
        <w:pStyle w:val="TOC2"/>
        <w:tabs>
          <w:tab w:val="right" w:leader="dot" w:pos="9017"/>
        </w:tabs>
        <w:ind w:left="270"/>
        <w:rPr>
          <w:rFonts w:eastAsiaTheme="minorEastAsia"/>
          <w:bCs w:val="0"/>
          <w:caps w:val="0"/>
          <w:noProof/>
        </w:rPr>
      </w:pPr>
      <w:hyperlink w:anchor="_Toc26878601" w:history="1">
        <w:r w:rsidRPr="004107D2">
          <w:rPr>
            <w:rStyle w:val="Hyperlink"/>
            <w:noProof/>
          </w:rPr>
          <w:t>Qualifications</w:t>
        </w:r>
        <w:r w:rsidRPr="004107D2">
          <w:rPr>
            <w:noProof/>
            <w:webHidden/>
          </w:rPr>
          <w:tab/>
        </w:r>
        <w:r w:rsidRPr="004107D2">
          <w:rPr>
            <w:noProof/>
            <w:webHidden/>
          </w:rPr>
          <w:fldChar w:fldCharType="begin"/>
        </w:r>
        <w:r w:rsidRPr="004107D2">
          <w:rPr>
            <w:noProof/>
            <w:webHidden/>
          </w:rPr>
          <w:instrText xml:space="preserve"> PAGEREF _Toc26878601 \h </w:instrText>
        </w:r>
        <w:r w:rsidRPr="004107D2">
          <w:rPr>
            <w:noProof/>
            <w:webHidden/>
          </w:rPr>
        </w:r>
        <w:r w:rsidRPr="004107D2">
          <w:rPr>
            <w:noProof/>
            <w:webHidden/>
          </w:rPr>
          <w:fldChar w:fldCharType="separate"/>
        </w:r>
        <w:r>
          <w:rPr>
            <w:noProof/>
            <w:webHidden/>
          </w:rPr>
          <w:t>4</w:t>
        </w:r>
        <w:r w:rsidRPr="004107D2">
          <w:rPr>
            <w:noProof/>
            <w:webHidden/>
          </w:rPr>
          <w:fldChar w:fldCharType="end"/>
        </w:r>
      </w:hyperlink>
    </w:p>
    <w:p w:rsidR="004107D2" w:rsidRPr="004107D2" w:rsidRDefault="004107D2" w:rsidP="004107D2">
      <w:pPr>
        <w:pStyle w:val="TOC2"/>
        <w:tabs>
          <w:tab w:val="right" w:leader="dot" w:pos="9017"/>
        </w:tabs>
        <w:ind w:left="270"/>
        <w:rPr>
          <w:rFonts w:eastAsiaTheme="minorEastAsia"/>
          <w:bCs w:val="0"/>
          <w:caps w:val="0"/>
          <w:noProof/>
        </w:rPr>
      </w:pPr>
      <w:hyperlink w:anchor="_Toc26878602" w:history="1">
        <w:r w:rsidRPr="004107D2">
          <w:rPr>
            <w:rStyle w:val="Hyperlink"/>
            <w:noProof/>
          </w:rPr>
          <w:t>Term of Office</w:t>
        </w:r>
        <w:r w:rsidRPr="004107D2">
          <w:rPr>
            <w:noProof/>
            <w:webHidden/>
          </w:rPr>
          <w:tab/>
        </w:r>
        <w:r w:rsidRPr="004107D2">
          <w:rPr>
            <w:noProof/>
            <w:webHidden/>
          </w:rPr>
          <w:fldChar w:fldCharType="begin"/>
        </w:r>
        <w:r w:rsidRPr="004107D2">
          <w:rPr>
            <w:noProof/>
            <w:webHidden/>
          </w:rPr>
          <w:instrText xml:space="preserve"> PAGEREF _Toc26878602 \h </w:instrText>
        </w:r>
        <w:r w:rsidRPr="004107D2">
          <w:rPr>
            <w:noProof/>
            <w:webHidden/>
          </w:rPr>
        </w:r>
        <w:r w:rsidRPr="004107D2">
          <w:rPr>
            <w:noProof/>
            <w:webHidden/>
          </w:rPr>
          <w:fldChar w:fldCharType="separate"/>
        </w:r>
        <w:r>
          <w:rPr>
            <w:noProof/>
            <w:webHidden/>
          </w:rPr>
          <w:t>4</w:t>
        </w:r>
        <w:r w:rsidRPr="004107D2">
          <w:rPr>
            <w:noProof/>
            <w:webHidden/>
          </w:rPr>
          <w:fldChar w:fldCharType="end"/>
        </w:r>
      </w:hyperlink>
    </w:p>
    <w:p w:rsidR="004107D2" w:rsidRPr="004107D2" w:rsidRDefault="004107D2" w:rsidP="004107D2">
      <w:pPr>
        <w:pStyle w:val="TOC2"/>
        <w:tabs>
          <w:tab w:val="right" w:leader="dot" w:pos="9017"/>
        </w:tabs>
        <w:ind w:left="270"/>
        <w:rPr>
          <w:rFonts w:eastAsiaTheme="minorEastAsia"/>
          <w:bCs w:val="0"/>
          <w:caps w:val="0"/>
          <w:noProof/>
        </w:rPr>
      </w:pPr>
      <w:hyperlink w:anchor="_Toc26878603" w:history="1">
        <w:r w:rsidRPr="004107D2">
          <w:rPr>
            <w:rStyle w:val="Hyperlink"/>
            <w:noProof/>
          </w:rPr>
          <w:t>Responsibility</w:t>
        </w:r>
        <w:r w:rsidRPr="004107D2">
          <w:rPr>
            <w:noProof/>
            <w:webHidden/>
          </w:rPr>
          <w:tab/>
        </w:r>
        <w:r w:rsidRPr="004107D2">
          <w:rPr>
            <w:noProof/>
            <w:webHidden/>
          </w:rPr>
          <w:fldChar w:fldCharType="begin"/>
        </w:r>
        <w:r w:rsidRPr="004107D2">
          <w:rPr>
            <w:noProof/>
            <w:webHidden/>
          </w:rPr>
          <w:instrText xml:space="preserve"> PAGEREF _Toc26878603 \h </w:instrText>
        </w:r>
        <w:r w:rsidRPr="004107D2">
          <w:rPr>
            <w:noProof/>
            <w:webHidden/>
          </w:rPr>
        </w:r>
        <w:r w:rsidRPr="004107D2">
          <w:rPr>
            <w:noProof/>
            <w:webHidden/>
          </w:rPr>
          <w:fldChar w:fldCharType="separate"/>
        </w:r>
        <w:r>
          <w:rPr>
            <w:noProof/>
            <w:webHidden/>
          </w:rPr>
          <w:t>4</w:t>
        </w:r>
        <w:r w:rsidRPr="004107D2">
          <w:rPr>
            <w:noProof/>
            <w:webHidden/>
          </w:rPr>
          <w:fldChar w:fldCharType="end"/>
        </w:r>
      </w:hyperlink>
    </w:p>
    <w:p w:rsidR="004107D2" w:rsidRPr="004107D2" w:rsidRDefault="004107D2" w:rsidP="004107D2">
      <w:pPr>
        <w:pStyle w:val="TOC2"/>
        <w:tabs>
          <w:tab w:val="right" w:leader="dot" w:pos="9017"/>
        </w:tabs>
        <w:ind w:left="270"/>
        <w:rPr>
          <w:rFonts w:eastAsiaTheme="minorEastAsia"/>
          <w:bCs w:val="0"/>
          <w:caps w:val="0"/>
          <w:noProof/>
        </w:rPr>
      </w:pPr>
      <w:hyperlink w:anchor="_Toc26878604" w:history="1">
        <w:r w:rsidRPr="004107D2">
          <w:rPr>
            <w:rStyle w:val="Hyperlink"/>
            <w:noProof/>
          </w:rPr>
          <w:t>Chair of the AICHR</w:t>
        </w:r>
        <w:r w:rsidRPr="004107D2">
          <w:rPr>
            <w:noProof/>
            <w:webHidden/>
          </w:rPr>
          <w:tab/>
        </w:r>
        <w:r w:rsidRPr="004107D2">
          <w:rPr>
            <w:noProof/>
            <w:webHidden/>
          </w:rPr>
          <w:fldChar w:fldCharType="begin"/>
        </w:r>
        <w:r w:rsidRPr="004107D2">
          <w:rPr>
            <w:noProof/>
            <w:webHidden/>
          </w:rPr>
          <w:instrText xml:space="preserve"> PAGEREF _Toc26878604 \h </w:instrText>
        </w:r>
        <w:r w:rsidRPr="004107D2">
          <w:rPr>
            <w:noProof/>
            <w:webHidden/>
          </w:rPr>
        </w:r>
        <w:r w:rsidRPr="004107D2">
          <w:rPr>
            <w:noProof/>
            <w:webHidden/>
          </w:rPr>
          <w:fldChar w:fldCharType="separate"/>
        </w:r>
        <w:r>
          <w:rPr>
            <w:noProof/>
            <w:webHidden/>
          </w:rPr>
          <w:t>4</w:t>
        </w:r>
        <w:r w:rsidRPr="004107D2">
          <w:rPr>
            <w:noProof/>
            <w:webHidden/>
          </w:rPr>
          <w:fldChar w:fldCharType="end"/>
        </w:r>
      </w:hyperlink>
    </w:p>
    <w:p w:rsidR="004107D2" w:rsidRPr="004107D2" w:rsidRDefault="004107D2" w:rsidP="004107D2">
      <w:pPr>
        <w:pStyle w:val="TOC2"/>
        <w:tabs>
          <w:tab w:val="right" w:leader="dot" w:pos="9017"/>
        </w:tabs>
        <w:ind w:left="270"/>
        <w:rPr>
          <w:rFonts w:eastAsiaTheme="minorEastAsia"/>
          <w:bCs w:val="0"/>
          <w:caps w:val="0"/>
          <w:noProof/>
        </w:rPr>
      </w:pPr>
      <w:hyperlink w:anchor="_Toc26878605" w:history="1">
        <w:r w:rsidRPr="004107D2">
          <w:rPr>
            <w:rStyle w:val="Hyperlink"/>
            <w:noProof/>
          </w:rPr>
          <w:t>Immunities and Privileges</w:t>
        </w:r>
        <w:r w:rsidRPr="004107D2">
          <w:rPr>
            <w:noProof/>
            <w:webHidden/>
          </w:rPr>
          <w:tab/>
        </w:r>
        <w:r w:rsidRPr="004107D2">
          <w:rPr>
            <w:noProof/>
            <w:webHidden/>
          </w:rPr>
          <w:fldChar w:fldCharType="begin"/>
        </w:r>
        <w:r w:rsidRPr="004107D2">
          <w:rPr>
            <w:noProof/>
            <w:webHidden/>
          </w:rPr>
          <w:instrText xml:space="preserve"> PAGEREF _Toc26878605 \h </w:instrText>
        </w:r>
        <w:r w:rsidRPr="004107D2">
          <w:rPr>
            <w:noProof/>
            <w:webHidden/>
          </w:rPr>
        </w:r>
        <w:r w:rsidRPr="004107D2">
          <w:rPr>
            <w:noProof/>
            <w:webHidden/>
          </w:rPr>
          <w:fldChar w:fldCharType="separate"/>
        </w:r>
        <w:r>
          <w:rPr>
            <w:noProof/>
            <w:webHidden/>
          </w:rPr>
          <w:t>5</w:t>
        </w:r>
        <w:r w:rsidRPr="004107D2">
          <w:rPr>
            <w:noProof/>
            <w:webHidden/>
          </w:rPr>
          <w:fldChar w:fldCharType="end"/>
        </w:r>
      </w:hyperlink>
    </w:p>
    <w:p w:rsidR="004107D2" w:rsidRPr="004107D2" w:rsidRDefault="004107D2" w:rsidP="004107D2">
      <w:pPr>
        <w:pStyle w:val="TOC1"/>
        <w:rPr>
          <w:rFonts w:ascii="Arial" w:eastAsiaTheme="minorEastAsia" w:hAnsi="Arial" w:cs="Arial"/>
          <w:noProof/>
          <w:sz w:val="20"/>
          <w:szCs w:val="20"/>
        </w:rPr>
      </w:pPr>
      <w:hyperlink w:anchor="_Toc26878606" w:history="1">
        <w:r w:rsidRPr="004107D2">
          <w:rPr>
            <w:rStyle w:val="Hyperlink"/>
            <w:rFonts w:ascii="Arial" w:hAnsi="Arial" w:cs="Arial"/>
            <w:noProof/>
            <w:sz w:val="20"/>
            <w:szCs w:val="20"/>
          </w:rPr>
          <w:t>6.</w:t>
        </w:r>
        <w:r w:rsidRPr="004107D2">
          <w:rPr>
            <w:rFonts w:ascii="Arial" w:eastAsiaTheme="minorEastAsia" w:hAnsi="Arial" w:cs="Arial"/>
            <w:noProof/>
            <w:sz w:val="20"/>
            <w:szCs w:val="20"/>
          </w:rPr>
          <w:tab/>
        </w:r>
        <w:r>
          <w:rPr>
            <w:rFonts w:ascii="Arial" w:eastAsiaTheme="minorEastAsia" w:hAnsi="Arial" w:cs="Arial"/>
            <w:noProof/>
            <w:sz w:val="20"/>
            <w:szCs w:val="20"/>
          </w:rPr>
          <w:t xml:space="preserve"> </w:t>
        </w:r>
        <w:r w:rsidRPr="004107D2">
          <w:rPr>
            <w:rStyle w:val="Hyperlink"/>
            <w:rFonts w:ascii="Arial" w:hAnsi="Arial" w:cs="Arial"/>
            <w:noProof/>
            <w:sz w:val="20"/>
            <w:szCs w:val="20"/>
          </w:rPr>
          <w:t>MODALITIES</w:t>
        </w:r>
        <w:r w:rsidRPr="004107D2">
          <w:rPr>
            <w:rFonts w:ascii="Arial" w:hAnsi="Arial" w:cs="Arial"/>
            <w:noProof/>
            <w:webHidden/>
            <w:sz w:val="20"/>
            <w:szCs w:val="20"/>
          </w:rPr>
          <w:tab/>
        </w:r>
        <w:r w:rsidRPr="004107D2">
          <w:rPr>
            <w:rFonts w:ascii="Arial" w:hAnsi="Arial" w:cs="Arial"/>
            <w:noProof/>
            <w:webHidden/>
            <w:sz w:val="20"/>
            <w:szCs w:val="20"/>
          </w:rPr>
          <w:fldChar w:fldCharType="begin"/>
        </w:r>
        <w:r w:rsidRPr="004107D2">
          <w:rPr>
            <w:rFonts w:ascii="Arial" w:hAnsi="Arial" w:cs="Arial"/>
            <w:noProof/>
            <w:webHidden/>
            <w:sz w:val="20"/>
            <w:szCs w:val="20"/>
          </w:rPr>
          <w:instrText xml:space="preserve"> PAGEREF _Toc26878606 \h </w:instrText>
        </w:r>
        <w:r w:rsidRPr="004107D2">
          <w:rPr>
            <w:rFonts w:ascii="Arial" w:hAnsi="Arial" w:cs="Arial"/>
            <w:noProof/>
            <w:webHidden/>
            <w:sz w:val="20"/>
            <w:szCs w:val="20"/>
          </w:rPr>
        </w:r>
        <w:r w:rsidRPr="004107D2">
          <w:rPr>
            <w:rFonts w:ascii="Arial" w:hAnsi="Arial" w:cs="Arial"/>
            <w:noProof/>
            <w:webHidden/>
            <w:sz w:val="20"/>
            <w:szCs w:val="20"/>
          </w:rPr>
          <w:fldChar w:fldCharType="separate"/>
        </w:r>
        <w:r>
          <w:rPr>
            <w:rFonts w:ascii="Arial" w:hAnsi="Arial" w:cs="Arial"/>
            <w:noProof/>
            <w:webHidden/>
            <w:sz w:val="20"/>
            <w:szCs w:val="20"/>
          </w:rPr>
          <w:t>5</w:t>
        </w:r>
        <w:r w:rsidRPr="004107D2">
          <w:rPr>
            <w:rFonts w:ascii="Arial" w:hAnsi="Arial" w:cs="Arial"/>
            <w:noProof/>
            <w:webHidden/>
            <w:sz w:val="20"/>
            <w:szCs w:val="20"/>
          </w:rPr>
          <w:fldChar w:fldCharType="end"/>
        </w:r>
      </w:hyperlink>
    </w:p>
    <w:p w:rsidR="004107D2" w:rsidRPr="004107D2" w:rsidRDefault="004107D2">
      <w:pPr>
        <w:pStyle w:val="TOC2"/>
        <w:tabs>
          <w:tab w:val="right" w:leader="dot" w:pos="9017"/>
        </w:tabs>
        <w:rPr>
          <w:rFonts w:eastAsiaTheme="minorEastAsia"/>
          <w:bCs w:val="0"/>
          <w:caps w:val="0"/>
          <w:noProof/>
        </w:rPr>
      </w:pPr>
      <w:hyperlink w:anchor="_Toc26878607" w:history="1">
        <w:r w:rsidRPr="004107D2">
          <w:rPr>
            <w:rStyle w:val="Hyperlink"/>
            <w:noProof/>
          </w:rPr>
          <w:t>Decision-making</w:t>
        </w:r>
        <w:r w:rsidRPr="004107D2">
          <w:rPr>
            <w:noProof/>
            <w:webHidden/>
          </w:rPr>
          <w:tab/>
        </w:r>
        <w:r w:rsidRPr="004107D2">
          <w:rPr>
            <w:noProof/>
            <w:webHidden/>
          </w:rPr>
          <w:fldChar w:fldCharType="begin"/>
        </w:r>
        <w:r w:rsidRPr="004107D2">
          <w:rPr>
            <w:noProof/>
            <w:webHidden/>
          </w:rPr>
          <w:instrText xml:space="preserve"> PAGEREF _Toc26878607 \h </w:instrText>
        </w:r>
        <w:r w:rsidRPr="004107D2">
          <w:rPr>
            <w:noProof/>
            <w:webHidden/>
          </w:rPr>
        </w:r>
        <w:r w:rsidRPr="004107D2">
          <w:rPr>
            <w:noProof/>
            <w:webHidden/>
          </w:rPr>
          <w:fldChar w:fldCharType="separate"/>
        </w:r>
        <w:r>
          <w:rPr>
            <w:noProof/>
            <w:webHidden/>
          </w:rPr>
          <w:t>5</w:t>
        </w:r>
        <w:r w:rsidRPr="004107D2">
          <w:rPr>
            <w:noProof/>
            <w:webHidden/>
          </w:rPr>
          <w:fldChar w:fldCharType="end"/>
        </w:r>
      </w:hyperlink>
    </w:p>
    <w:p w:rsidR="004107D2" w:rsidRPr="004107D2" w:rsidRDefault="004107D2">
      <w:pPr>
        <w:pStyle w:val="TOC2"/>
        <w:tabs>
          <w:tab w:val="right" w:leader="dot" w:pos="9017"/>
        </w:tabs>
        <w:rPr>
          <w:rFonts w:eastAsiaTheme="minorEastAsia"/>
          <w:bCs w:val="0"/>
          <w:caps w:val="0"/>
          <w:noProof/>
        </w:rPr>
      </w:pPr>
      <w:hyperlink w:anchor="_Toc26878608" w:history="1">
        <w:r w:rsidRPr="004107D2">
          <w:rPr>
            <w:rStyle w:val="Hyperlink"/>
            <w:noProof/>
          </w:rPr>
          <w:t>Number of Meetings</w:t>
        </w:r>
        <w:r w:rsidRPr="004107D2">
          <w:rPr>
            <w:noProof/>
            <w:webHidden/>
          </w:rPr>
          <w:tab/>
        </w:r>
        <w:r w:rsidRPr="004107D2">
          <w:rPr>
            <w:noProof/>
            <w:webHidden/>
          </w:rPr>
          <w:fldChar w:fldCharType="begin"/>
        </w:r>
        <w:r w:rsidRPr="004107D2">
          <w:rPr>
            <w:noProof/>
            <w:webHidden/>
          </w:rPr>
          <w:instrText xml:space="preserve"> PAGEREF _Toc26878608 \h </w:instrText>
        </w:r>
        <w:r w:rsidRPr="004107D2">
          <w:rPr>
            <w:noProof/>
            <w:webHidden/>
          </w:rPr>
        </w:r>
        <w:r w:rsidRPr="004107D2">
          <w:rPr>
            <w:noProof/>
            <w:webHidden/>
          </w:rPr>
          <w:fldChar w:fldCharType="separate"/>
        </w:r>
        <w:r>
          <w:rPr>
            <w:noProof/>
            <w:webHidden/>
          </w:rPr>
          <w:t>5</w:t>
        </w:r>
        <w:r w:rsidRPr="004107D2">
          <w:rPr>
            <w:noProof/>
            <w:webHidden/>
          </w:rPr>
          <w:fldChar w:fldCharType="end"/>
        </w:r>
      </w:hyperlink>
    </w:p>
    <w:p w:rsidR="004107D2" w:rsidRPr="004107D2" w:rsidRDefault="004107D2">
      <w:pPr>
        <w:pStyle w:val="TOC2"/>
        <w:tabs>
          <w:tab w:val="right" w:leader="dot" w:pos="9017"/>
        </w:tabs>
        <w:rPr>
          <w:rFonts w:eastAsiaTheme="minorEastAsia"/>
          <w:bCs w:val="0"/>
          <w:caps w:val="0"/>
          <w:noProof/>
        </w:rPr>
      </w:pPr>
      <w:hyperlink w:anchor="_Toc26878609" w:history="1">
        <w:r w:rsidRPr="004107D2">
          <w:rPr>
            <w:rStyle w:val="Hyperlink"/>
            <w:noProof/>
          </w:rPr>
          <w:t>Line of Reporting</w:t>
        </w:r>
        <w:r w:rsidRPr="004107D2">
          <w:rPr>
            <w:noProof/>
            <w:webHidden/>
          </w:rPr>
          <w:tab/>
        </w:r>
        <w:r w:rsidRPr="004107D2">
          <w:rPr>
            <w:noProof/>
            <w:webHidden/>
          </w:rPr>
          <w:fldChar w:fldCharType="begin"/>
        </w:r>
        <w:r w:rsidRPr="004107D2">
          <w:rPr>
            <w:noProof/>
            <w:webHidden/>
          </w:rPr>
          <w:instrText xml:space="preserve"> PAGEREF _Toc26878609 \h </w:instrText>
        </w:r>
        <w:r w:rsidRPr="004107D2">
          <w:rPr>
            <w:noProof/>
            <w:webHidden/>
          </w:rPr>
        </w:r>
        <w:r w:rsidRPr="004107D2">
          <w:rPr>
            <w:noProof/>
            <w:webHidden/>
          </w:rPr>
          <w:fldChar w:fldCharType="separate"/>
        </w:r>
        <w:r>
          <w:rPr>
            <w:noProof/>
            <w:webHidden/>
          </w:rPr>
          <w:t>5</w:t>
        </w:r>
        <w:r w:rsidRPr="004107D2">
          <w:rPr>
            <w:noProof/>
            <w:webHidden/>
          </w:rPr>
          <w:fldChar w:fldCharType="end"/>
        </w:r>
      </w:hyperlink>
    </w:p>
    <w:p w:rsidR="004107D2" w:rsidRPr="004107D2" w:rsidRDefault="004107D2">
      <w:pPr>
        <w:pStyle w:val="TOC2"/>
        <w:tabs>
          <w:tab w:val="right" w:leader="dot" w:pos="9017"/>
        </w:tabs>
        <w:rPr>
          <w:rFonts w:eastAsiaTheme="minorEastAsia"/>
          <w:bCs w:val="0"/>
          <w:caps w:val="0"/>
          <w:noProof/>
        </w:rPr>
      </w:pPr>
      <w:hyperlink w:anchor="_Toc26878610" w:history="1">
        <w:r w:rsidRPr="004107D2">
          <w:rPr>
            <w:rStyle w:val="Hyperlink"/>
            <w:noProof/>
          </w:rPr>
          <w:t>Public Information</w:t>
        </w:r>
        <w:r w:rsidRPr="004107D2">
          <w:rPr>
            <w:noProof/>
            <w:webHidden/>
          </w:rPr>
          <w:tab/>
        </w:r>
        <w:r w:rsidRPr="004107D2">
          <w:rPr>
            <w:noProof/>
            <w:webHidden/>
          </w:rPr>
          <w:fldChar w:fldCharType="begin"/>
        </w:r>
        <w:r w:rsidRPr="004107D2">
          <w:rPr>
            <w:noProof/>
            <w:webHidden/>
          </w:rPr>
          <w:instrText xml:space="preserve"> PAGEREF _Toc26878610 \h </w:instrText>
        </w:r>
        <w:r w:rsidRPr="004107D2">
          <w:rPr>
            <w:noProof/>
            <w:webHidden/>
          </w:rPr>
        </w:r>
        <w:r w:rsidRPr="004107D2">
          <w:rPr>
            <w:noProof/>
            <w:webHidden/>
          </w:rPr>
          <w:fldChar w:fldCharType="separate"/>
        </w:r>
        <w:r>
          <w:rPr>
            <w:noProof/>
            <w:webHidden/>
          </w:rPr>
          <w:t>5</w:t>
        </w:r>
        <w:r w:rsidRPr="004107D2">
          <w:rPr>
            <w:noProof/>
            <w:webHidden/>
          </w:rPr>
          <w:fldChar w:fldCharType="end"/>
        </w:r>
      </w:hyperlink>
    </w:p>
    <w:p w:rsidR="004107D2" w:rsidRPr="004107D2" w:rsidRDefault="004107D2">
      <w:pPr>
        <w:pStyle w:val="TOC2"/>
        <w:tabs>
          <w:tab w:val="right" w:leader="dot" w:pos="9017"/>
        </w:tabs>
        <w:rPr>
          <w:rFonts w:eastAsiaTheme="minorEastAsia"/>
          <w:bCs w:val="0"/>
          <w:caps w:val="0"/>
          <w:noProof/>
        </w:rPr>
      </w:pPr>
      <w:hyperlink w:anchor="_Toc26878611" w:history="1">
        <w:r w:rsidRPr="004107D2">
          <w:rPr>
            <w:rStyle w:val="Hyperlink"/>
            <w:noProof/>
          </w:rPr>
          <w:t>Relationship with Other Human Rights Bodies within ASEAN</w:t>
        </w:r>
        <w:r w:rsidRPr="004107D2">
          <w:rPr>
            <w:noProof/>
            <w:webHidden/>
          </w:rPr>
          <w:tab/>
        </w:r>
        <w:r w:rsidRPr="004107D2">
          <w:rPr>
            <w:noProof/>
            <w:webHidden/>
          </w:rPr>
          <w:fldChar w:fldCharType="begin"/>
        </w:r>
        <w:r w:rsidRPr="004107D2">
          <w:rPr>
            <w:noProof/>
            <w:webHidden/>
          </w:rPr>
          <w:instrText xml:space="preserve"> PAGEREF _Toc26878611 \h </w:instrText>
        </w:r>
        <w:r w:rsidRPr="004107D2">
          <w:rPr>
            <w:noProof/>
            <w:webHidden/>
          </w:rPr>
        </w:r>
        <w:r w:rsidRPr="004107D2">
          <w:rPr>
            <w:noProof/>
            <w:webHidden/>
          </w:rPr>
          <w:fldChar w:fldCharType="separate"/>
        </w:r>
        <w:r>
          <w:rPr>
            <w:noProof/>
            <w:webHidden/>
          </w:rPr>
          <w:t>6</w:t>
        </w:r>
        <w:r w:rsidRPr="004107D2">
          <w:rPr>
            <w:noProof/>
            <w:webHidden/>
          </w:rPr>
          <w:fldChar w:fldCharType="end"/>
        </w:r>
      </w:hyperlink>
    </w:p>
    <w:p w:rsidR="004107D2" w:rsidRPr="004107D2" w:rsidRDefault="004107D2" w:rsidP="004107D2">
      <w:pPr>
        <w:pStyle w:val="TOC1"/>
        <w:rPr>
          <w:rFonts w:ascii="Arial" w:eastAsiaTheme="minorEastAsia" w:hAnsi="Arial" w:cs="Arial"/>
          <w:noProof/>
          <w:sz w:val="20"/>
          <w:szCs w:val="20"/>
        </w:rPr>
      </w:pPr>
      <w:hyperlink w:anchor="_Toc26878612" w:history="1">
        <w:r w:rsidRPr="004107D2">
          <w:rPr>
            <w:rStyle w:val="Hyperlink"/>
            <w:rFonts w:ascii="Arial" w:hAnsi="Arial" w:cs="Arial"/>
            <w:noProof/>
            <w:sz w:val="20"/>
            <w:szCs w:val="20"/>
          </w:rPr>
          <w:t>7.</w:t>
        </w:r>
        <w:r w:rsidRPr="004107D2">
          <w:rPr>
            <w:rFonts w:ascii="Arial" w:eastAsiaTheme="minorEastAsia" w:hAnsi="Arial" w:cs="Arial"/>
            <w:noProof/>
            <w:sz w:val="20"/>
            <w:szCs w:val="20"/>
          </w:rPr>
          <w:tab/>
        </w:r>
        <w:r>
          <w:rPr>
            <w:rFonts w:ascii="Arial" w:eastAsiaTheme="minorEastAsia" w:hAnsi="Arial" w:cs="Arial"/>
            <w:noProof/>
            <w:sz w:val="20"/>
            <w:szCs w:val="20"/>
          </w:rPr>
          <w:t xml:space="preserve"> </w:t>
        </w:r>
        <w:r w:rsidRPr="004107D2">
          <w:rPr>
            <w:rStyle w:val="Hyperlink"/>
            <w:rFonts w:ascii="Arial" w:hAnsi="Arial" w:cs="Arial"/>
            <w:noProof/>
            <w:sz w:val="20"/>
            <w:szCs w:val="20"/>
          </w:rPr>
          <w:t>ROLE OF THE SECRETARY-GENERAL AND ASEAN SECRETARIAT</w:t>
        </w:r>
        <w:r w:rsidRPr="004107D2">
          <w:rPr>
            <w:rFonts w:ascii="Arial" w:hAnsi="Arial" w:cs="Arial"/>
            <w:noProof/>
            <w:webHidden/>
            <w:sz w:val="20"/>
            <w:szCs w:val="20"/>
          </w:rPr>
          <w:tab/>
        </w:r>
        <w:r w:rsidRPr="004107D2">
          <w:rPr>
            <w:rFonts w:ascii="Arial" w:hAnsi="Arial" w:cs="Arial"/>
            <w:noProof/>
            <w:webHidden/>
            <w:sz w:val="20"/>
            <w:szCs w:val="20"/>
          </w:rPr>
          <w:fldChar w:fldCharType="begin"/>
        </w:r>
        <w:r w:rsidRPr="004107D2">
          <w:rPr>
            <w:rFonts w:ascii="Arial" w:hAnsi="Arial" w:cs="Arial"/>
            <w:noProof/>
            <w:webHidden/>
            <w:sz w:val="20"/>
            <w:szCs w:val="20"/>
          </w:rPr>
          <w:instrText xml:space="preserve"> PAGEREF _Toc26878612 \h </w:instrText>
        </w:r>
        <w:r w:rsidRPr="004107D2">
          <w:rPr>
            <w:rFonts w:ascii="Arial" w:hAnsi="Arial" w:cs="Arial"/>
            <w:noProof/>
            <w:webHidden/>
            <w:sz w:val="20"/>
            <w:szCs w:val="20"/>
          </w:rPr>
        </w:r>
        <w:r w:rsidRPr="004107D2">
          <w:rPr>
            <w:rFonts w:ascii="Arial" w:hAnsi="Arial" w:cs="Arial"/>
            <w:noProof/>
            <w:webHidden/>
            <w:sz w:val="20"/>
            <w:szCs w:val="20"/>
          </w:rPr>
          <w:fldChar w:fldCharType="separate"/>
        </w:r>
        <w:r>
          <w:rPr>
            <w:rFonts w:ascii="Arial" w:hAnsi="Arial" w:cs="Arial"/>
            <w:noProof/>
            <w:webHidden/>
            <w:sz w:val="20"/>
            <w:szCs w:val="20"/>
          </w:rPr>
          <w:t>6</w:t>
        </w:r>
        <w:r w:rsidRPr="004107D2">
          <w:rPr>
            <w:rFonts w:ascii="Arial" w:hAnsi="Arial" w:cs="Arial"/>
            <w:noProof/>
            <w:webHidden/>
            <w:sz w:val="20"/>
            <w:szCs w:val="20"/>
          </w:rPr>
          <w:fldChar w:fldCharType="end"/>
        </w:r>
      </w:hyperlink>
    </w:p>
    <w:p w:rsidR="004107D2" w:rsidRPr="004107D2" w:rsidRDefault="004107D2" w:rsidP="004107D2">
      <w:pPr>
        <w:pStyle w:val="TOC1"/>
        <w:rPr>
          <w:rFonts w:ascii="Arial" w:eastAsiaTheme="minorEastAsia" w:hAnsi="Arial" w:cs="Arial"/>
          <w:noProof/>
          <w:sz w:val="20"/>
          <w:szCs w:val="20"/>
        </w:rPr>
      </w:pPr>
      <w:hyperlink w:anchor="_Toc26878613" w:history="1">
        <w:r w:rsidRPr="004107D2">
          <w:rPr>
            <w:rStyle w:val="Hyperlink"/>
            <w:rFonts w:ascii="Arial" w:hAnsi="Arial" w:cs="Arial"/>
            <w:noProof/>
            <w:sz w:val="20"/>
            <w:szCs w:val="20"/>
          </w:rPr>
          <w:t>8.</w:t>
        </w:r>
        <w:r w:rsidRPr="004107D2">
          <w:rPr>
            <w:rFonts w:ascii="Arial" w:eastAsiaTheme="minorEastAsia" w:hAnsi="Arial" w:cs="Arial"/>
            <w:noProof/>
            <w:sz w:val="20"/>
            <w:szCs w:val="20"/>
          </w:rPr>
          <w:tab/>
        </w:r>
        <w:r>
          <w:rPr>
            <w:rFonts w:ascii="Arial" w:eastAsiaTheme="minorEastAsia" w:hAnsi="Arial" w:cs="Arial"/>
            <w:noProof/>
            <w:sz w:val="20"/>
            <w:szCs w:val="20"/>
          </w:rPr>
          <w:t xml:space="preserve"> </w:t>
        </w:r>
        <w:r w:rsidRPr="004107D2">
          <w:rPr>
            <w:rStyle w:val="Hyperlink"/>
            <w:rFonts w:ascii="Arial" w:hAnsi="Arial" w:cs="Arial"/>
            <w:noProof/>
            <w:sz w:val="20"/>
            <w:szCs w:val="20"/>
          </w:rPr>
          <w:t>WORK PLAN AND FUNDING</w:t>
        </w:r>
        <w:r w:rsidRPr="004107D2">
          <w:rPr>
            <w:rFonts w:ascii="Arial" w:hAnsi="Arial" w:cs="Arial"/>
            <w:noProof/>
            <w:webHidden/>
            <w:sz w:val="20"/>
            <w:szCs w:val="20"/>
          </w:rPr>
          <w:tab/>
        </w:r>
        <w:r w:rsidRPr="004107D2">
          <w:rPr>
            <w:rFonts w:ascii="Arial" w:hAnsi="Arial" w:cs="Arial"/>
            <w:noProof/>
            <w:webHidden/>
            <w:sz w:val="20"/>
            <w:szCs w:val="20"/>
          </w:rPr>
          <w:fldChar w:fldCharType="begin"/>
        </w:r>
        <w:r w:rsidRPr="004107D2">
          <w:rPr>
            <w:rFonts w:ascii="Arial" w:hAnsi="Arial" w:cs="Arial"/>
            <w:noProof/>
            <w:webHidden/>
            <w:sz w:val="20"/>
            <w:szCs w:val="20"/>
          </w:rPr>
          <w:instrText xml:space="preserve"> PAGEREF _Toc26878613 \h </w:instrText>
        </w:r>
        <w:r w:rsidRPr="004107D2">
          <w:rPr>
            <w:rFonts w:ascii="Arial" w:hAnsi="Arial" w:cs="Arial"/>
            <w:noProof/>
            <w:webHidden/>
            <w:sz w:val="20"/>
            <w:szCs w:val="20"/>
          </w:rPr>
        </w:r>
        <w:r w:rsidRPr="004107D2">
          <w:rPr>
            <w:rFonts w:ascii="Arial" w:hAnsi="Arial" w:cs="Arial"/>
            <w:noProof/>
            <w:webHidden/>
            <w:sz w:val="20"/>
            <w:szCs w:val="20"/>
          </w:rPr>
          <w:fldChar w:fldCharType="separate"/>
        </w:r>
        <w:r>
          <w:rPr>
            <w:rFonts w:ascii="Arial" w:hAnsi="Arial" w:cs="Arial"/>
            <w:noProof/>
            <w:webHidden/>
            <w:sz w:val="20"/>
            <w:szCs w:val="20"/>
          </w:rPr>
          <w:t>6</w:t>
        </w:r>
        <w:r w:rsidRPr="004107D2">
          <w:rPr>
            <w:rFonts w:ascii="Arial" w:hAnsi="Arial" w:cs="Arial"/>
            <w:noProof/>
            <w:webHidden/>
            <w:sz w:val="20"/>
            <w:szCs w:val="20"/>
          </w:rPr>
          <w:fldChar w:fldCharType="end"/>
        </w:r>
      </w:hyperlink>
    </w:p>
    <w:p w:rsidR="004107D2" w:rsidRPr="004107D2" w:rsidRDefault="004107D2" w:rsidP="004107D2">
      <w:pPr>
        <w:pStyle w:val="TOC1"/>
        <w:rPr>
          <w:rFonts w:ascii="Arial" w:eastAsiaTheme="minorEastAsia" w:hAnsi="Arial" w:cs="Arial"/>
          <w:noProof/>
          <w:sz w:val="20"/>
          <w:szCs w:val="20"/>
        </w:rPr>
      </w:pPr>
      <w:hyperlink w:anchor="_Toc26878614" w:history="1">
        <w:r w:rsidRPr="004107D2">
          <w:rPr>
            <w:rStyle w:val="Hyperlink"/>
            <w:rFonts w:ascii="Arial" w:hAnsi="Arial" w:cs="Arial"/>
            <w:noProof/>
            <w:sz w:val="20"/>
            <w:szCs w:val="20"/>
          </w:rPr>
          <w:t>9.</w:t>
        </w:r>
        <w:r w:rsidRPr="004107D2">
          <w:rPr>
            <w:rFonts w:ascii="Arial" w:eastAsiaTheme="minorEastAsia" w:hAnsi="Arial" w:cs="Arial"/>
            <w:noProof/>
            <w:sz w:val="20"/>
            <w:szCs w:val="20"/>
          </w:rPr>
          <w:tab/>
        </w:r>
        <w:r>
          <w:rPr>
            <w:rFonts w:ascii="Arial" w:eastAsiaTheme="minorEastAsia" w:hAnsi="Arial" w:cs="Arial"/>
            <w:noProof/>
            <w:sz w:val="20"/>
            <w:szCs w:val="20"/>
          </w:rPr>
          <w:t xml:space="preserve"> </w:t>
        </w:r>
        <w:r w:rsidRPr="004107D2">
          <w:rPr>
            <w:rStyle w:val="Hyperlink"/>
            <w:rFonts w:ascii="Arial" w:hAnsi="Arial" w:cs="Arial"/>
            <w:noProof/>
            <w:sz w:val="20"/>
            <w:szCs w:val="20"/>
          </w:rPr>
          <w:t>GENERAL AND FINAL PROVISIONS</w:t>
        </w:r>
        <w:r w:rsidRPr="004107D2">
          <w:rPr>
            <w:rFonts w:ascii="Arial" w:hAnsi="Arial" w:cs="Arial"/>
            <w:noProof/>
            <w:webHidden/>
            <w:sz w:val="20"/>
            <w:szCs w:val="20"/>
          </w:rPr>
          <w:tab/>
        </w:r>
        <w:r w:rsidRPr="004107D2">
          <w:rPr>
            <w:rFonts w:ascii="Arial" w:hAnsi="Arial" w:cs="Arial"/>
            <w:noProof/>
            <w:webHidden/>
            <w:sz w:val="20"/>
            <w:szCs w:val="20"/>
          </w:rPr>
          <w:fldChar w:fldCharType="begin"/>
        </w:r>
        <w:r w:rsidRPr="004107D2">
          <w:rPr>
            <w:rFonts w:ascii="Arial" w:hAnsi="Arial" w:cs="Arial"/>
            <w:noProof/>
            <w:webHidden/>
            <w:sz w:val="20"/>
            <w:szCs w:val="20"/>
          </w:rPr>
          <w:instrText xml:space="preserve"> PAGEREF _Toc26878614 \h </w:instrText>
        </w:r>
        <w:r w:rsidRPr="004107D2">
          <w:rPr>
            <w:rFonts w:ascii="Arial" w:hAnsi="Arial" w:cs="Arial"/>
            <w:noProof/>
            <w:webHidden/>
            <w:sz w:val="20"/>
            <w:szCs w:val="20"/>
          </w:rPr>
        </w:r>
        <w:r w:rsidRPr="004107D2">
          <w:rPr>
            <w:rFonts w:ascii="Arial" w:hAnsi="Arial" w:cs="Arial"/>
            <w:noProof/>
            <w:webHidden/>
            <w:sz w:val="20"/>
            <w:szCs w:val="20"/>
          </w:rPr>
          <w:fldChar w:fldCharType="separate"/>
        </w:r>
        <w:r>
          <w:rPr>
            <w:rFonts w:ascii="Arial" w:hAnsi="Arial" w:cs="Arial"/>
            <w:noProof/>
            <w:webHidden/>
            <w:sz w:val="20"/>
            <w:szCs w:val="20"/>
          </w:rPr>
          <w:t>7</w:t>
        </w:r>
        <w:r w:rsidRPr="004107D2">
          <w:rPr>
            <w:rFonts w:ascii="Arial" w:hAnsi="Arial" w:cs="Arial"/>
            <w:noProof/>
            <w:webHidden/>
            <w:sz w:val="20"/>
            <w:szCs w:val="20"/>
          </w:rPr>
          <w:fldChar w:fldCharType="end"/>
        </w:r>
      </w:hyperlink>
    </w:p>
    <w:p w:rsidR="004107D2" w:rsidRPr="004107D2" w:rsidRDefault="004107D2">
      <w:pPr>
        <w:pStyle w:val="TOC2"/>
        <w:tabs>
          <w:tab w:val="right" w:leader="dot" w:pos="9017"/>
        </w:tabs>
        <w:rPr>
          <w:rFonts w:eastAsiaTheme="minorEastAsia"/>
          <w:bCs w:val="0"/>
          <w:caps w:val="0"/>
          <w:noProof/>
        </w:rPr>
      </w:pPr>
      <w:hyperlink w:anchor="_Toc26878615" w:history="1">
        <w:r w:rsidRPr="004107D2">
          <w:rPr>
            <w:rStyle w:val="Hyperlink"/>
            <w:noProof/>
          </w:rPr>
          <w:t>Amendments</w:t>
        </w:r>
        <w:r w:rsidRPr="004107D2">
          <w:rPr>
            <w:noProof/>
            <w:webHidden/>
          </w:rPr>
          <w:tab/>
        </w:r>
        <w:r w:rsidRPr="004107D2">
          <w:rPr>
            <w:noProof/>
            <w:webHidden/>
          </w:rPr>
          <w:fldChar w:fldCharType="begin"/>
        </w:r>
        <w:r w:rsidRPr="004107D2">
          <w:rPr>
            <w:noProof/>
            <w:webHidden/>
          </w:rPr>
          <w:instrText xml:space="preserve"> PAGEREF _Toc26878615 \h </w:instrText>
        </w:r>
        <w:r w:rsidRPr="004107D2">
          <w:rPr>
            <w:noProof/>
            <w:webHidden/>
          </w:rPr>
        </w:r>
        <w:r w:rsidRPr="004107D2">
          <w:rPr>
            <w:noProof/>
            <w:webHidden/>
          </w:rPr>
          <w:fldChar w:fldCharType="separate"/>
        </w:r>
        <w:r>
          <w:rPr>
            <w:noProof/>
            <w:webHidden/>
          </w:rPr>
          <w:t>7</w:t>
        </w:r>
        <w:r w:rsidRPr="004107D2">
          <w:rPr>
            <w:noProof/>
            <w:webHidden/>
          </w:rPr>
          <w:fldChar w:fldCharType="end"/>
        </w:r>
      </w:hyperlink>
    </w:p>
    <w:p w:rsidR="004107D2" w:rsidRPr="004107D2" w:rsidRDefault="004107D2">
      <w:pPr>
        <w:pStyle w:val="TOC2"/>
        <w:tabs>
          <w:tab w:val="right" w:leader="dot" w:pos="9017"/>
        </w:tabs>
        <w:rPr>
          <w:rFonts w:eastAsiaTheme="minorEastAsia"/>
          <w:bCs w:val="0"/>
          <w:caps w:val="0"/>
          <w:noProof/>
        </w:rPr>
      </w:pPr>
      <w:hyperlink w:anchor="_Toc26878616" w:history="1">
        <w:r w:rsidRPr="004107D2">
          <w:rPr>
            <w:rStyle w:val="Hyperlink"/>
            <w:noProof/>
          </w:rPr>
          <w:t>Review</w:t>
        </w:r>
        <w:r w:rsidRPr="004107D2">
          <w:rPr>
            <w:noProof/>
            <w:webHidden/>
          </w:rPr>
          <w:tab/>
        </w:r>
        <w:r w:rsidRPr="004107D2">
          <w:rPr>
            <w:noProof/>
            <w:webHidden/>
          </w:rPr>
          <w:fldChar w:fldCharType="begin"/>
        </w:r>
        <w:r w:rsidRPr="004107D2">
          <w:rPr>
            <w:noProof/>
            <w:webHidden/>
          </w:rPr>
          <w:instrText xml:space="preserve"> PAGEREF _Toc26878616 \h </w:instrText>
        </w:r>
        <w:r w:rsidRPr="004107D2">
          <w:rPr>
            <w:noProof/>
            <w:webHidden/>
          </w:rPr>
        </w:r>
        <w:r w:rsidRPr="004107D2">
          <w:rPr>
            <w:noProof/>
            <w:webHidden/>
          </w:rPr>
          <w:fldChar w:fldCharType="separate"/>
        </w:r>
        <w:r>
          <w:rPr>
            <w:noProof/>
            <w:webHidden/>
          </w:rPr>
          <w:t>7</w:t>
        </w:r>
        <w:r w:rsidRPr="004107D2">
          <w:rPr>
            <w:noProof/>
            <w:webHidden/>
          </w:rPr>
          <w:fldChar w:fldCharType="end"/>
        </w:r>
      </w:hyperlink>
    </w:p>
    <w:p w:rsidR="004107D2" w:rsidRPr="004107D2" w:rsidRDefault="004107D2">
      <w:pPr>
        <w:pStyle w:val="TOC2"/>
        <w:tabs>
          <w:tab w:val="right" w:leader="dot" w:pos="9017"/>
        </w:tabs>
        <w:rPr>
          <w:rFonts w:eastAsiaTheme="minorEastAsia"/>
          <w:bCs w:val="0"/>
          <w:caps w:val="0"/>
          <w:noProof/>
        </w:rPr>
      </w:pPr>
      <w:hyperlink w:anchor="_Toc26878617" w:history="1">
        <w:r w:rsidRPr="004107D2">
          <w:rPr>
            <w:rStyle w:val="Hyperlink"/>
            <w:noProof/>
          </w:rPr>
          <w:t>Interpretation</w:t>
        </w:r>
        <w:r w:rsidRPr="004107D2">
          <w:rPr>
            <w:noProof/>
            <w:webHidden/>
          </w:rPr>
          <w:tab/>
        </w:r>
        <w:r w:rsidRPr="004107D2">
          <w:rPr>
            <w:noProof/>
            <w:webHidden/>
          </w:rPr>
          <w:fldChar w:fldCharType="begin"/>
        </w:r>
        <w:r w:rsidRPr="004107D2">
          <w:rPr>
            <w:noProof/>
            <w:webHidden/>
          </w:rPr>
          <w:instrText xml:space="preserve"> PAGEREF _Toc26878617 \h </w:instrText>
        </w:r>
        <w:r w:rsidRPr="004107D2">
          <w:rPr>
            <w:noProof/>
            <w:webHidden/>
          </w:rPr>
        </w:r>
        <w:r w:rsidRPr="004107D2">
          <w:rPr>
            <w:noProof/>
            <w:webHidden/>
          </w:rPr>
          <w:fldChar w:fldCharType="separate"/>
        </w:r>
        <w:r>
          <w:rPr>
            <w:noProof/>
            <w:webHidden/>
          </w:rPr>
          <w:t>7</w:t>
        </w:r>
        <w:r w:rsidRPr="004107D2">
          <w:rPr>
            <w:noProof/>
            <w:webHidden/>
          </w:rPr>
          <w:fldChar w:fldCharType="end"/>
        </w:r>
      </w:hyperlink>
    </w:p>
    <w:p w:rsidR="00964D4B" w:rsidRPr="004107D2" w:rsidRDefault="00964D4B" w:rsidP="00F97B12">
      <w:pPr>
        <w:spacing w:before="60" w:after="60"/>
        <w:rPr>
          <w:rFonts w:ascii="Arial" w:hAnsi="Arial" w:cs="Arial"/>
          <w:sz w:val="20"/>
          <w:szCs w:val="20"/>
        </w:rPr>
      </w:pPr>
      <w:r w:rsidRPr="004107D2">
        <w:rPr>
          <w:rFonts w:ascii="Arial" w:hAnsi="Arial" w:cs="Arial"/>
          <w:sz w:val="20"/>
          <w:szCs w:val="20"/>
        </w:rPr>
        <w:fldChar w:fldCharType="end"/>
      </w:r>
    </w:p>
    <w:p w:rsidR="00AD44B5" w:rsidRPr="004107D2" w:rsidRDefault="00BA3C65" w:rsidP="000F183E">
      <w:pPr>
        <w:pStyle w:val="CILTitle"/>
        <w:rPr>
          <w:sz w:val="20"/>
          <w:szCs w:val="20"/>
        </w:rPr>
      </w:pPr>
      <w:r w:rsidRPr="004107D2">
        <w:rPr>
          <w:sz w:val="20"/>
          <w:szCs w:val="20"/>
        </w:rPr>
        <w:br w:type="page"/>
      </w:r>
      <w:r w:rsidR="00AD44B5" w:rsidRPr="004107D2">
        <w:rPr>
          <w:sz w:val="20"/>
          <w:szCs w:val="20"/>
        </w:rPr>
        <w:lastRenderedPageBreak/>
        <w:t>2009 Terms of Reference of ASEAN Intergovernmental Commission on Human Rights</w:t>
      </w:r>
    </w:p>
    <w:p w:rsidR="00AD44B5" w:rsidRPr="004107D2" w:rsidRDefault="00AD44B5" w:rsidP="00F97B12">
      <w:pPr>
        <w:pStyle w:val="CILSubtitle"/>
        <w:spacing w:before="240" w:after="120"/>
      </w:pPr>
      <w:r w:rsidRPr="004107D2">
        <w:t>Adopted</w:t>
      </w:r>
      <w:r w:rsidR="000D30BC" w:rsidRPr="004107D2">
        <w:t xml:space="preserve"> in Phuket, Thailand, on 20</w:t>
      </w:r>
      <w:r w:rsidRPr="004107D2">
        <w:t xml:space="preserve"> July 2009 </w:t>
      </w:r>
    </w:p>
    <w:p w:rsidR="000F183E" w:rsidRPr="004107D2" w:rsidRDefault="000F183E" w:rsidP="00F97B12">
      <w:pPr>
        <w:spacing w:before="240" w:after="120"/>
        <w:jc w:val="both"/>
        <w:rPr>
          <w:rFonts w:ascii="Arial" w:hAnsi="Arial" w:cs="Arial"/>
          <w:color w:val="000000"/>
          <w:sz w:val="20"/>
          <w:szCs w:val="20"/>
        </w:rPr>
      </w:pPr>
    </w:p>
    <w:p w:rsidR="00BA3C65" w:rsidRPr="004107D2" w:rsidRDefault="00BA3C65" w:rsidP="00F97B12">
      <w:pPr>
        <w:spacing w:before="240" w:after="120"/>
        <w:jc w:val="both"/>
        <w:rPr>
          <w:rFonts w:ascii="Arial" w:hAnsi="Arial" w:cs="Arial"/>
          <w:color w:val="000000"/>
          <w:sz w:val="20"/>
          <w:szCs w:val="20"/>
        </w:rPr>
      </w:pPr>
      <w:r w:rsidRPr="004107D2">
        <w:rPr>
          <w:rFonts w:ascii="Arial" w:hAnsi="Arial" w:cs="Arial"/>
          <w:color w:val="000000"/>
          <w:sz w:val="20"/>
          <w:szCs w:val="20"/>
        </w:rPr>
        <w:t>Pursuant to Article 14 of the ASEAN Charter, the ASEAN Intergovernmental Commission on Human Rights (AICHR) shall operate in accordance with the following Terms of Reference (TOR):</w:t>
      </w:r>
    </w:p>
    <w:p w:rsidR="00BA3C65" w:rsidRPr="004107D2" w:rsidRDefault="00BA3C65" w:rsidP="00F45782">
      <w:pPr>
        <w:pStyle w:val="Heading1"/>
        <w:rPr>
          <w:rFonts w:cs="Arial"/>
          <w:sz w:val="20"/>
          <w:szCs w:val="20"/>
        </w:rPr>
      </w:pPr>
      <w:bookmarkStart w:id="0" w:name="_Ref243906675"/>
      <w:bookmarkStart w:id="1" w:name="_Toc243907450"/>
      <w:bookmarkStart w:id="2" w:name="_Toc463259291"/>
      <w:bookmarkStart w:id="3" w:name="_Toc26878595"/>
      <w:r w:rsidRPr="004107D2">
        <w:rPr>
          <w:rFonts w:cs="Arial"/>
          <w:sz w:val="20"/>
          <w:szCs w:val="20"/>
        </w:rPr>
        <w:t>PURPOSES</w:t>
      </w:r>
      <w:bookmarkEnd w:id="0"/>
      <w:bookmarkEnd w:id="1"/>
      <w:bookmarkEnd w:id="2"/>
      <w:bookmarkEnd w:id="3"/>
    </w:p>
    <w:p w:rsidR="00BA3C65" w:rsidRPr="004107D2" w:rsidRDefault="00BA3C65" w:rsidP="00F97B12">
      <w:pPr>
        <w:pStyle w:val="CM11"/>
        <w:spacing w:before="240" w:after="120" w:line="276" w:lineRule="auto"/>
        <w:jc w:val="both"/>
        <w:rPr>
          <w:color w:val="000000"/>
          <w:sz w:val="20"/>
          <w:szCs w:val="20"/>
        </w:rPr>
      </w:pPr>
      <w:r w:rsidRPr="004107D2">
        <w:rPr>
          <w:color w:val="000000"/>
          <w:sz w:val="20"/>
          <w:szCs w:val="20"/>
        </w:rPr>
        <w:t>The purposes of the AICHR are:</w:t>
      </w:r>
    </w:p>
    <w:p w:rsidR="00F45782" w:rsidRPr="004107D2" w:rsidRDefault="00BA3C65" w:rsidP="00F45782">
      <w:pPr>
        <w:pStyle w:val="CM12"/>
        <w:numPr>
          <w:ilvl w:val="1"/>
          <w:numId w:val="1"/>
        </w:numPr>
        <w:spacing w:before="240" w:after="120" w:line="276" w:lineRule="auto"/>
        <w:ind w:left="360"/>
        <w:jc w:val="both"/>
        <w:rPr>
          <w:color w:val="000000"/>
          <w:sz w:val="20"/>
          <w:szCs w:val="20"/>
        </w:rPr>
      </w:pPr>
      <w:r w:rsidRPr="004107D2">
        <w:rPr>
          <w:color w:val="000000"/>
          <w:sz w:val="20"/>
          <w:szCs w:val="20"/>
        </w:rPr>
        <w:t>to promote and protect human rights and fundamental freedoms of the peoples of ASEAN;</w:t>
      </w:r>
    </w:p>
    <w:p w:rsidR="00F45782" w:rsidRPr="004107D2" w:rsidRDefault="00BA3C65" w:rsidP="00F45782">
      <w:pPr>
        <w:pStyle w:val="CM12"/>
        <w:numPr>
          <w:ilvl w:val="1"/>
          <w:numId w:val="1"/>
        </w:numPr>
        <w:spacing w:before="240" w:after="120" w:line="276" w:lineRule="auto"/>
        <w:ind w:left="360"/>
        <w:jc w:val="both"/>
        <w:rPr>
          <w:color w:val="000000"/>
          <w:sz w:val="20"/>
          <w:szCs w:val="20"/>
        </w:rPr>
      </w:pPr>
      <w:r w:rsidRPr="004107D2">
        <w:rPr>
          <w:color w:val="000000"/>
          <w:sz w:val="20"/>
          <w:szCs w:val="20"/>
        </w:rPr>
        <w:t>to uphold the right of the peoples of ASEAN to live in peace, dignity and prosperity;</w:t>
      </w:r>
    </w:p>
    <w:p w:rsidR="00BA3C65" w:rsidRPr="004107D2" w:rsidRDefault="00BA3C65" w:rsidP="00F45782">
      <w:pPr>
        <w:pStyle w:val="CM12"/>
        <w:numPr>
          <w:ilvl w:val="1"/>
          <w:numId w:val="1"/>
        </w:numPr>
        <w:spacing w:before="240" w:after="120" w:line="276" w:lineRule="auto"/>
        <w:ind w:left="360"/>
        <w:jc w:val="both"/>
        <w:rPr>
          <w:color w:val="000000"/>
          <w:sz w:val="20"/>
          <w:szCs w:val="20"/>
        </w:rPr>
      </w:pPr>
      <w:r w:rsidRPr="004107D2">
        <w:rPr>
          <w:color w:val="000000"/>
          <w:sz w:val="20"/>
          <w:szCs w:val="20"/>
        </w:rPr>
        <w:t>to contribute to the realisation of the purposes of ASEAN as set out in the ASEAN Charter in order to promote stability and harmony in the region, friendship and cooperation among ASEAN Member States, as well as the well-being, livelihood, welfare and participation of ASEAN peoples in the ASEAN Community building process;</w:t>
      </w:r>
    </w:p>
    <w:p w:rsidR="00BA3C65" w:rsidRPr="004107D2" w:rsidRDefault="00BA3C65" w:rsidP="00F45782">
      <w:pPr>
        <w:pStyle w:val="CM2"/>
        <w:numPr>
          <w:ilvl w:val="1"/>
          <w:numId w:val="1"/>
        </w:numPr>
        <w:spacing w:before="240" w:after="120" w:line="276" w:lineRule="auto"/>
        <w:ind w:left="360"/>
        <w:jc w:val="both"/>
        <w:rPr>
          <w:color w:val="000000"/>
          <w:sz w:val="20"/>
          <w:szCs w:val="20"/>
        </w:rPr>
      </w:pPr>
      <w:r w:rsidRPr="004107D2">
        <w:rPr>
          <w:color w:val="000000"/>
          <w:sz w:val="20"/>
          <w:szCs w:val="20"/>
        </w:rPr>
        <w:t>to promote human rights within the regional context, bearing in mind national and regional particularities and mutual respect for different historical, cultural and religious backgrounds, and taking into account the balance between rights and responsibilities;</w:t>
      </w:r>
    </w:p>
    <w:p w:rsidR="00BA3C65" w:rsidRPr="004107D2" w:rsidRDefault="00BA3C65" w:rsidP="00F45782">
      <w:pPr>
        <w:pStyle w:val="CM12"/>
        <w:numPr>
          <w:ilvl w:val="1"/>
          <w:numId w:val="1"/>
        </w:numPr>
        <w:spacing w:before="240" w:after="120" w:line="276" w:lineRule="auto"/>
        <w:ind w:left="360"/>
        <w:jc w:val="both"/>
        <w:rPr>
          <w:color w:val="000000"/>
          <w:sz w:val="20"/>
          <w:szCs w:val="20"/>
        </w:rPr>
      </w:pPr>
      <w:r w:rsidRPr="004107D2">
        <w:rPr>
          <w:color w:val="000000"/>
          <w:sz w:val="20"/>
          <w:szCs w:val="20"/>
        </w:rPr>
        <w:t>to enhance regional cooperation with a view to complementing national and international efforts on the promotion and protection of human rights; and</w:t>
      </w:r>
    </w:p>
    <w:p w:rsidR="00BA3C65" w:rsidRPr="004107D2" w:rsidRDefault="00BA3C65" w:rsidP="00F45782">
      <w:pPr>
        <w:pStyle w:val="CM12"/>
        <w:numPr>
          <w:ilvl w:val="1"/>
          <w:numId w:val="1"/>
        </w:numPr>
        <w:spacing w:before="240" w:after="120" w:line="276" w:lineRule="auto"/>
        <w:ind w:left="360"/>
        <w:jc w:val="both"/>
        <w:rPr>
          <w:color w:val="000000"/>
          <w:sz w:val="20"/>
          <w:szCs w:val="20"/>
        </w:rPr>
      </w:pPr>
      <w:r w:rsidRPr="004107D2">
        <w:rPr>
          <w:sz w:val="20"/>
          <w:szCs w:val="20"/>
        </w:rPr>
        <w:t>to uphold international human rights standards as prescribed by the Universal Declaration of Human Rights, the Vienna Declaration and Programme of Action, and international human rights instruments to which ASEAN Member States are parties.</w:t>
      </w:r>
    </w:p>
    <w:p w:rsidR="00BA3C65" w:rsidRPr="004107D2" w:rsidRDefault="00BA3C65" w:rsidP="00F45782">
      <w:pPr>
        <w:pStyle w:val="Heading1"/>
        <w:rPr>
          <w:rFonts w:cs="Arial"/>
          <w:sz w:val="20"/>
          <w:szCs w:val="20"/>
        </w:rPr>
      </w:pPr>
      <w:bookmarkStart w:id="4" w:name="_Toc243907451"/>
      <w:bookmarkStart w:id="5" w:name="_Toc463259292"/>
      <w:bookmarkStart w:id="6" w:name="_Toc26878596"/>
      <w:r w:rsidRPr="004107D2">
        <w:rPr>
          <w:rFonts w:cs="Arial"/>
          <w:sz w:val="20"/>
          <w:szCs w:val="20"/>
        </w:rPr>
        <w:t>PRINCIPLES</w:t>
      </w:r>
      <w:bookmarkEnd w:id="4"/>
      <w:bookmarkEnd w:id="5"/>
      <w:bookmarkEnd w:id="6"/>
    </w:p>
    <w:p w:rsidR="00F45782" w:rsidRPr="004107D2" w:rsidRDefault="00BA3C65" w:rsidP="00F45782">
      <w:pPr>
        <w:pStyle w:val="CM12"/>
        <w:spacing w:before="240" w:after="120" w:line="276" w:lineRule="auto"/>
        <w:jc w:val="both"/>
        <w:rPr>
          <w:color w:val="000000"/>
          <w:sz w:val="20"/>
          <w:szCs w:val="20"/>
        </w:rPr>
      </w:pPr>
      <w:r w:rsidRPr="004107D2">
        <w:rPr>
          <w:color w:val="000000"/>
          <w:sz w:val="20"/>
          <w:szCs w:val="20"/>
        </w:rPr>
        <w:t>The AICHR shall be guided by the following principles:</w:t>
      </w:r>
    </w:p>
    <w:p w:rsidR="00BA3C65" w:rsidRPr="004107D2" w:rsidRDefault="00BA3C65" w:rsidP="00F45782">
      <w:pPr>
        <w:pStyle w:val="CM12"/>
        <w:numPr>
          <w:ilvl w:val="1"/>
          <w:numId w:val="26"/>
        </w:numPr>
        <w:spacing w:before="240" w:after="120" w:line="276" w:lineRule="auto"/>
        <w:ind w:left="360"/>
        <w:jc w:val="both"/>
        <w:rPr>
          <w:color w:val="000000"/>
          <w:sz w:val="20"/>
          <w:szCs w:val="20"/>
        </w:rPr>
      </w:pPr>
      <w:r w:rsidRPr="004107D2">
        <w:rPr>
          <w:color w:val="000000"/>
          <w:sz w:val="20"/>
          <w:szCs w:val="20"/>
        </w:rPr>
        <w:t>Respect for principles of ASEAN as embodied in Article 2 of the ASEAN Charter, in particular:</w:t>
      </w:r>
    </w:p>
    <w:p w:rsidR="00BA3C65" w:rsidRPr="004107D2" w:rsidRDefault="00BA3C65" w:rsidP="00F45782">
      <w:pPr>
        <w:pStyle w:val="CM11"/>
        <w:numPr>
          <w:ilvl w:val="0"/>
          <w:numId w:val="28"/>
        </w:numPr>
        <w:spacing w:before="240" w:after="120" w:line="276" w:lineRule="auto"/>
        <w:jc w:val="both"/>
        <w:rPr>
          <w:color w:val="000000"/>
          <w:sz w:val="20"/>
          <w:szCs w:val="20"/>
        </w:rPr>
      </w:pPr>
      <w:r w:rsidRPr="004107D2">
        <w:rPr>
          <w:color w:val="000000"/>
          <w:sz w:val="20"/>
          <w:szCs w:val="20"/>
        </w:rPr>
        <w:t>respect for the independence, sovereignty, equality, territorial integrity and national identity of all ASEAN Member States;</w:t>
      </w:r>
    </w:p>
    <w:p w:rsidR="00BA3C65" w:rsidRPr="004107D2" w:rsidRDefault="00BA3C65" w:rsidP="00F45782">
      <w:pPr>
        <w:pStyle w:val="CM11"/>
        <w:numPr>
          <w:ilvl w:val="0"/>
          <w:numId w:val="28"/>
        </w:numPr>
        <w:spacing w:before="240" w:after="120" w:line="276" w:lineRule="auto"/>
        <w:jc w:val="both"/>
        <w:rPr>
          <w:color w:val="000000"/>
          <w:sz w:val="20"/>
          <w:szCs w:val="20"/>
        </w:rPr>
      </w:pPr>
      <w:r w:rsidRPr="004107D2">
        <w:rPr>
          <w:color w:val="000000"/>
          <w:sz w:val="20"/>
          <w:szCs w:val="20"/>
        </w:rPr>
        <w:t>non-interference in the internal affairs of ASEAN Member States;</w:t>
      </w:r>
    </w:p>
    <w:p w:rsidR="00BA3C65" w:rsidRPr="004107D2" w:rsidRDefault="00BA3C65" w:rsidP="00F45782">
      <w:pPr>
        <w:pStyle w:val="CM11"/>
        <w:numPr>
          <w:ilvl w:val="0"/>
          <w:numId w:val="28"/>
        </w:numPr>
        <w:spacing w:before="240" w:after="120" w:line="276" w:lineRule="auto"/>
        <w:jc w:val="both"/>
        <w:rPr>
          <w:color w:val="000000"/>
          <w:sz w:val="20"/>
          <w:szCs w:val="20"/>
        </w:rPr>
      </w:pPr>
      <w:r w:rsidRPr="004107D2">
        <w:rPr>
          <w:color w:val="000000"/>
          <w:sz w:val="20"/>
          <w:szCs w:val="20"/>
        </w:rPr>
        <w:t>respect for the right of every Member State to lead its national existence free from external interference, subversion and coercion;</w:t>
      </w:r>
    </w:p>
    <w:p w:rsidR="00BA3C65" w:rsidRPr="004107D2" w:rsidRDefault="00BA3C65" w:rsidP="00F45782">
      <w:pPr>
        <w:pStyle w:val="CM11"/>
        <w:numPr>
          <w:ilvl w:val="0"/>
          <w:numId w:val="28"/>
        </w:numPr>
        <w:spacing w:before="240" w:after="120" w:line="276" w:lineRule="auto"/>
        <w:jc w:val="both"/>
        <w:rPr>
          <w:color w:val="000000"/>
          <w:sz w:val="20"/>
          <w:szCs w:val="20"/>
        </w:rPr>
      </w:pPr>
      <w:r w:rsidRPr="004107D2">
        <w:rPr>
          <w:color w:val="000000"/>
          <w:sz w:val="20"/>
          <w:szCs w:val="20"/>
        </w:rPr>
        <w:t>adherence to the rule of law, good governance, the principles of democracy and constitutional government;</w:t>
      </w:r>
    </w:p>
    <w:p w:rsidR="00BA3C65" w:rsidRPr="004107D2" w:rsidRDefault="00BA3C65" w:rsidP="00F45782">
      <w:pPr>
        <w:pStyle w:val="CM3"/>
        <w:numPr>
          <w:ilvl w:val="0"/>
          <w:numId w:val="28"/>
        </w:numPr>
        <w:spacing w:before="240" w:after="120" w:line="276" w:lineRule="auto"/>
        <w:jc w:val="both"/>
        <w:rPr>
          <w:color w:val="000000"/>
          <w:sz w:val="20"/>
          <w:szCs w:val="20"/>
        </w:rPr>
      </w:pPr>
      <w:r w:rsidRPr="004107D2">
        <w:rPr>
          <w:color w:val="000000"/>
          <w:sz w:val="20"/>
          <w:szCs w:val="20"/>
        </w:rPr>
        <w:t>respect for fundamental freedoms, the promotion and protection of human rights, and the promotion of social justice;</w:t>
      </w:r>
    </w:p>
    <w:p w:rsidR="00BA3C65" w:rsidRPr="004107D2" w:rsidRDefault="00BA3C65" w:rsidP="00F45782">
      <w:pPr>
        <w:pStyle w:val="CM3"/>
        <w:numPr>
          <w:ilvl w:val="0"/>
          <w:numId w:val="28"/>
        </w:numPr>
        <w:spacing w:before="240" w:after="120" w:line="276" w:lineRule="auto"/>
        <w:jc w:val="both"/>
        <w:rPr>
          <w:color w:val="000000"/>
          <w:sz w:val="20"/>
          <w:szCs w:val="20"/>
        </w:rPr>
      </w:pPr>
      <w:r w:rsidRPr="004107D2">
        <w:rPr>
          <w:color w:val="000000"/>
          <w:sz w:val="20"/>
          <w:szCs w:val="20"/>
        </w:rPr>
        <w:lastRenderedPageBreak/>
        <w:t>upholding the Charter of the United Nations and international law, including international humanitarian law, subscribed to by ASEAN Member States; and</w:t>
      </w:r>
    </w:p>
    <w:p w:rsidR="00BA3C65" w:rsidRPr="004107D2" w:rsidRDefault="00BA3C65" w:rsidP="00F45782">
      <w:pPr>
        <w:pStyle w:val="CM11"/>
        <w:numPr>
          <w:ilvl w:val="0"/>
          <w:numId w:val="28"/>
        </w:numPr>
        <w:spacing w:before="240" w:after="120" w:line="276" w:lineRule="auto"/>
        <w:jc w:val="both"/>
        <w:rPr>
          <w:color w:val="000000"/>
          <w:sz w:val="20"/>
          <w:szCs w:val="20"/>
        </w:rPr>
      </w:pPr>
      <w:r w:rsidRPr="004107D2">
        <w:rPr>
          <w:color w:val="000000"/>
          <w:sz w:val="20"/>
          <w:szCs w:val="20"/>
        </w:rPr>
        <w:t>respect for different cultures, languages and religions of the peoples of ASEAN, while emphasising their common values in the spirit of unity in diversity.</w:t>
      </w:r>
    </w:p>
    <w:p w:rsidR="00F45782" w:rsidRPr="004107D2" w:rsidRDefault="00BA3C65" w:rsidP="00F45782">
      <w:pPr>
        <w:pStyle w:val="CM12"/>
        <w:numPr>
          <w:ilvl w:val="1"/>
          <w:numId w:val="26"/>
        </w:numPr>
        <w:spacing w:before="240" w:after="120" w:line="276" w:lineRule="auto"/>
        <w:ind w:left="360"/>
        <w:jc w:val="both"/>
        <w:rPr>
          <w:color w:val="000000"/>
          <w:sz w:val="20"/>
          <w:szCs w:val="20"/>
        </w:rPr>
      </w:pPr>
      <w:r w:rsidRPr="004107D2">
        <w:rPr>
          <w:color w:val="000000"/>
          <w:sz w:val="20"/>
          <w:szCs w:val="20"/>
        </w:rPr>
        <w:t>Respect for international human rights principles, including universality, indivisibility, interdependence and interrelatedness of all human rights and fundam</w:t>
      </w:r>
      <w:bookmarkStart w:id="7" w:name="_GoBack"/>
      <w:bookmarkEnd w:id="7"/>
      <w:r w:rsidRPr="004107D2">
        <w:rPr>
          <w:color w:val="000000"/>
          <w:sz w:val="20"/>
          <w:szCs w:val="20"/>
        </w:rPr>
        <w:t>ental freedoms, as well as impartiality, objectivity, non-selectivity, non-discrimination, and avoidance of double standards and politicisation;</w:t>
      </w:r>
    </w:p>
    <w:p w:rsidR="00F45782" w:rsidRPr="004107D2" w:rsidRDefault="00BA3C65" w:rsidP="00F45782">
      <w:pPr>
        <w:pStyle w:val="CM12"/>
        <w:numPr>
          <w:ilvl w:val="1"/>
          <w:numId w:val="26"/>
        </w:numPr>
        <w:spacing w:before="240" w:after="120" w:line="276" w:lineRule="auto"/>
        <w:ind w:left="360"/>
        <w:jc w:val="both"/>
        <w:rPr>
          <w:color w:val="000000"/>
          <w:sz w:val="20"/>
          <w:szCs w:val="20"/>
        </w:rPr>
      </w:pPr>
      <w:r w:rsidRPr="004107D2">
        <w:rPr>
          <w:color w:val="000000"/>
          <w:sz w:val="20"/>
          <w:szCs w:val="20"/>
        </w:rPr>
        <w:t>Recognition that the primary responsibility to promote and protect human rights and fundamental freedoms rests with each Member State;</w:t>
      </w:r>
    </w:p>
    <w:p w:rsidR="00F45782" w:rsidRPr="004107D2" w:rsidRDefault="00BA3C65" w:rsidP="00F45782">
      <w:pPr>
        <w:pStyle w:val="CM12"/>
        <w:numPr>
          <w:ilvl w:val="1"/>
          <w:numId w:val="26"/>
        </w:numPr>
        <w:spacing w:before="240" w:after="120" w:line="276" w:lineRule="auto"/>
        <w:ind w:left="360"/>
        <w:jc w:val="both"/>
        <w:rPr>
          <w:color w:val="000000"/>
          <w:sz w:val="20"/>
          <w:szCs w:val="20"/>
        </w:rPr>
      </w:pPr>
      <w:r w:rsidRPr="004107D2">
        <w:rPr>
          <w:color w:val="000000"/>
          <w:sz w:val="20"/>
          <w:szCs w:val="20"/>
        </w:rPr>
        <w:t>Pursuance of a constructive and non-confrontational approach and cooperation to enhance promotion and protection of human rights; and</w:t>
      </w:r>
    </w:p>
    <w:p w:rsidR="00BA3C65" w:rsidRPr="004107D2" w:rsidRDefault="00BA3C65" w:rsidP="00F45782">
      <w:pPr>
        <w:pStyle w:val="CM12"/>
        <w:numPr>
          <w:ilvl w:val="1"/>
          <w:numId w:val="26"/>
        </w:numPr>
        <w:spacing w:before="240" w:after="120" w:line="276" w:lineRule="auto"/>
        <w:ind w:left="360"/>
        <w:jc w:val="both"/>
        <w:rPr>
          <w:color w:val="000000"/>
          <w:sz w:val="20"/>
          <w:szCs w:val="20"/>
        </w:rPr>
      </w:pPr>
      <w:r w:rsidRPr="004107D2">
        <w:rPr>
          <w:sz w:val="20"/>
          <w:szCs w:val="20"/>
        </w:rPr>
        <w:t>Adoption of an evolutionary approach that would contribute to the development of human rights norms and standards in ASEAN.</w:t>
      </w:r>
    </w:p>
    <w:p w:rsidR="00BA3C65" w:rsidRPr="004107D2" w:rsidRDefault="00BA3C65" w:rsidP="00F45782">
      <w:pPr>
        <w:pStyle w:val="Heading1"/>
        <w:rPr>
          <w:rFonts w:cs="Arial"/>
          <w:sz w:val="20"/>
          <w:szCs w:val="20"/>
        </w:rPr>
      </w:pPr>
      <w:bookmarkStart w:id="8" w:name="_Toc243907452"/>
      <w:bookmarkStart w:id="9" w:name="_Toc463259293"/>
      <w:bookmarkStart w:id="10" w:name="_Toc26878597"/>
      <w:r w:rsidRPr="004107D2">
        <w:rPr>
          <w:rFonts w:cs="Arial"/>
          <w:sz w:val="20"/>
          <w:szCs w:val="20"/>
        </w:rPr>
        <w:t>CONSULTATIVE INTER-GOVERNMENTAL BODY</w:t>
      </w:r>
      <w:bookmarkEnd w:id="8"/>
      <w:bookmarkEnd w:id="9"/>
      <w:bookmarkEnd w:id="10"/>
    </w:p>
    <w:p w:rsidR="000362E1" w:rsidRPr="004107D2" w:rsidRDefault="00BA3C65" w:rsidP="000F183E">
      <w:pPr>
        <w:pStyle w:val="CM10"/>
        <w:spacing w:before="240" w:after="120" w:line="276" w:lineRule="auto"/>
        <w:jc w:val="both"/>
        <w:rPr>
          <w:color w:val="000000"/>
          <w:sz w:val="20"/>
          <w:szCs w:val="20"/>
        </w:rPr>
      </w:pPr>
      <w:r w:rsidRPr="004107D2">
        <w:rPr>
          <w:color w:val="000000"/>
          <w:sz w:val="20"/>
          <w:szCs w:val="20"/>
        </w:rPr>
        <w:t>The AICHR is an inter-governmental body and an integral part of the ASEAN organisational structure. It is a consultative body.</w:t>
      </w:r>
    </w:p>
    <w:p w:rsidR="00BA3C65" w:rsidRPr="004107D2" w:rsidRDefault="00BA3C65" w:rsidP="00F45782">
      <w:pPr>
        <w:pStyle w:val="Heading1"/>
        <w:rPr>
          <w:rFonts w:cs="Arial"/>
          <w:sz w:val="20"/>
          <w:szCs w:val="20"/>
        </w:rPr>
      </w:pPr>
      <w:bookmarkStart w:id="11" w:name="_Toc243907453"/>
      <w:bookmarkStart w:id="12" w:name="_Toc463259294"/>
      <w:bookmarkStart w:id="13" w:name="_Toc26878598"/>
      <w:r w:rsidRPr="004107D2">
        <w:rPr>
          <w:rFonts w:cs="Arial"/>
          <w:sz w:val="20"/>
          <w:szCs w:val="20"/>
        </w:rPr>
        <w:t>MANDATE AND FUNCTIONS</w:t>
      </w:r>
      <w:bookmarkEnd w:id="11"/>
      <w:bookmarkEnd w:id="12"/>
      <w:bookmarkEnd w:id="13"/>
    </w:p>
    <w:p w:rsidR="00BA3C65" w:rsidRPr="004107D2" w:rsidRDefault="00BA3C65" w:rsidP="00F45782">
      <w:pPr>
        <w:pStyle w:val="CM2"/>
        <w:numPr>
          <w:ilvl w:val="1"/>
          <w:numId w:val="29"/>
        </w:numPr>
        <w:spacing w:before="240" w:after="120" w:line="276" w:lineRule="auto"/>
        <w:ind w:left="360"/>
        <w:jc w:val="both"/>
        <w:rPr>
          <w:color w:val="000000"/>
          <w:sz w:val="20"/>
          <w:szCs w:val="20"/>
        </w:rPr>
      </w:pPr>
      <w:r w:rsidRPr="004107D2">
        <w:rPr>
          <w:color w:val="000000"/>
          <w:sz w:val="20"/>
          <w:szCs w:val="20"/>
        </w:rPr>
        <w:t>To develop strategies for the promotion and protection of human rights and fundamental freedoms to complement the building of the ASEAN Community;</w:t>
      </w:r>
    </w:p>
    <w:p w:rsidR="00BA3C65" w:rsidRPr="004107D2" w:rsidRDefault="00BA3C65" w:rsidP="00F45782">
      <w:pPr>
        <w:pStyle w:val="CM2"/>
        <w:numPr>
          <w:ilvl w:val="1"/>
          <w:numId w:val="29"/>
        </w:numPr>
        <w:spacing w:before="240" w:after="120" w:line="276" w:lineRule="auto"/>
        <w:ind w:left="360"/>
        <w:jc w:val="both"/>
        <w:rPr>
          <w:color w:val="000000"/>
          <w:sz w:val="20"/>
          <w:szCs w:val="20"/>
        </w:rPr>
      </w:pPr>
      <w:r w:rsidRPr="004107D2">
        <w:rPr>
          <w:color w:val="000000"/>
          <w:sz w:val="20"/>
          <w:szCs w:val="20"/>
        </w:rPr>
        <w:t>To develop an ASEAN Human Rights Declaration with a view to establishing a framework for human rights cooperation through various ASEAN conventions and other instruments dealing with human rights;</w:t>
      </w:r>
    </w:p>
    <w:p w:rsidR="00BA3C65" w:rsidRPr="004107D2" w:rsidRDefault="00BA3C65" w:rsidP="00F45782">
      <w:pPr>
        <w:pStyle w:val="CM2"/>
        <w:numPr>
          <w:ilvl w:val="1"/>
          <w:numId w:val="29"/>
        </w:numPr>
        <w:spacing w:before="240" w:after="120" w:line="276" w:lineRule="auto"/>
        <w:ind w:left="360"/>
        <w:jc w:val="both"/>
        <w:rPr>
          <w:color w:val="000000"/>
          <w:sz w:val="20"/>
          <w:szCs w:val="20"/>
        </w:rPr>
      </w:pPr>
      <w:r w:rsidRPr="004107D2">
        <w:rPr>
          <w:color w:val="000000"/>
          <w:sz w:val="20"/>
          <w:szCs w:val="20"/>
        </w:rPr>
        <w:t>To enhance public awareness of human rights among the peoples of ASEAN through education, research and dissemination of information;</w:t>
      </w:r>
    </w:p>
    <w:p w:rsidR="00BA3C65" w:rsidRPr="004107D2" w:rsidRDefault="00BA3C65" w:rsidP="00F45782">
      <w:pPr>
        <w:pStyle w:val="CM2"/>
        <w:numPr>
          <w:ilvl w:val="1"/>
          <w:numId w:val="29"/>
        </w:numPr>
        <w:spacing w:before="240" w:after="120" w:line="276" w:lineRule="auto"/>
        <w:ind w:left="360"/>
        <w:jc w:val="both"/>
        <w:rPr>
          <w:color w:val="000000"/>
          <w:sz w:val="20"/>
          <w:szCs w:val="20"/>
        </w:rPr>
      </w:pPr>
      <w:r w:rsidRPr="004107D2">
        <w:rPr>
          <w:color w:val="000000"/>
          <w:sz w:val="20"/>
          <w:szCs w:val="20"/>
        </w:rPr>
        <w:t>To promote capacity building for the effective implementation of international human rights treaty obligations undertaken by ASEAN Member States;</w:t>
      </w:r>
    </w:p>
    <w:p w:rsidR="00BA3C65" w:rsidRPr="004107D2" w:rsidRDefault="00BA3C65" w:rsidP="00F45782">
      <w:pPr>
        <w:pStyle w:val="CM2"/>
        <w:numPr>
          <w:ilvl w:val="1"/>
          <w:numId w:val="29"/>
        </w:numPr>
        <w:spacing w:before="240" w:after="120" w:line="276" w:lineRule="auto"/>
        <w:ind w:left="360"/>
        <w:jc w:val="both"/>
        <w:rPr>
          <w:color w:val="000000"/>
          <w:sz w:val="20"/>
          <w:szCs w:val="20"/>
        </w:rPr>
      </w:pPr>
      <w:r w:rsidRPr="004107D2">
        <w:rPr>
          <w:color w:val="000000"/>
          <w:sz w:val="20"/>
          <w:szCs w:val="20"/>
        </w:rPr>
        <w:t>To encourage ASEAN Member States to consider acceding to and ratifying international human rights instruments;</w:t>
      </w:r>
    </w:p>
    <w:p w:rsidR="00BA3C65" w:rsidRPr="004107D2" w:rsidRDefault="00BA3C65" w:rsidP="00F45782">
      <w:pPr>
        <w:pStyle w:val="CM2"/>
        <w:numPr>
          <w:ilvl w:val="1"/>
          <w:numId w:val="29"/>
        </w:numPr>
        <w:spacing w:before="240" w:after="120" w:line="276" w:lineRule="auto"/>
        <w:ind w:left="360"/>
        <w:jc w:val="both"/>
        <w:rPr>
          <w:color w:val="000000"/>
          <w:sz w:val="20"/>
          <w:szCs w:val="20"/>
        </w:rPr>
      </w:pPr>
      <w:r w:rsidRPr="004107D2">
        <w:rPr>
          <w:color w:val="000000"/>
          <w:sz w:val="20"/>
          <w:szCs w:val="20"/>
        </w:rPr>
        <w:t>To promote the full implementation of ASEAN instruments related to human rights;</w:t>
      </w:r>
    </w:p>
    <w:p w:rsidR="00BA3C65" w:rsidRPr="004107D2" w:rsidRDefault="00BA3C65" w:rsidP="00F45782">
      <w:pPr>
        <w:pStyle w:val="CM2"/>
        <w:numPr>
          <w:ilvl w:val="1"/>
          <w:numId w:val="29"/>
        </w:numPr>
        <w:spacing w:before="240" w:after="120" w:line="276" w:lineRule="auto"/>
        <w:ind w:left="360"/>
        <w:jc w:val="both"/>
        <w:rPr>
          <w:color w:val="000000"/>
          <w:sz w:val="20"/>
          <w:szCs w:val="20"/>
        </w:rPr>
      </w:pPr>
      <w:r w:rsidRPr="004107D2">
        <w:rPr>
          <w:color w:val="000000"/>
          <w:sz w:val="20"/>
          <w:szCs w:val="20"/>
        </w:rPr>
        <w:t>To provide advisory services and technical assistance on human rights matters to ASEAN sectoral bodies upon request;</w:t>
      </w:r>
    </w:p>
    <w:p w:rsidR="00BA3C65" w:rsidRPr="004107D2" w:rsidRDefault="00BA3C65" w:rsidP="00F45782">
      <w:pPr>
        <w:pStyle w:val="CM2"/>
        <w:numPr>
          <w:ilvl w:val="1"/>
          <w:numId w:val="29"/>
        </w:numPr>
        <w:spacing w:before="240" w:after="120" w:line="276" w:lineRule="auto"/>
        <w:ind w:left="360"/>
        <w:jc w:val="both"/>
        <w:rPr>
          <w:color w:val="000000"/>
          <w:sz w:val="20"/>
          <w:szCs w:val="20"/>
        </w:rPr>
      </w:pPr>
      <w:r w:rsidRPr="004107D2">
        <w:rPr>
          <w:color w:val="000000"/>
          <w:sz w:val="20"/>
          <w:szCs w:val="20"/>
        </w:rPr>
        <w:t>To engage in dialogue and consultation with other ASEAN bodies and entities associated with ASEAN, including civil society organisations and other stakeholders, as provided for in Chapter V of the ASEAN Charter;</w:t>
      </w:r>
    </w:p>
    <w:p w:rsidR="00BA3C65" w:rsidRPr="004107D2" w:rsidRDefault="00BA3C65" w:rsidP="00F45782">
      <w:pPr>
        <w:pStyle w:val="CM2"/>
        <w:numPr>
          <w:ilvl w:val="1"/>
          <w:numId w:val="29"/>
        </w:numPr>
        <w:spacing w:before="240" w:after="120" w:line="276" w:lineRule="auto"/>
        <w:ind w:left="360"/>
        <w:jc w:val="both"/>
        <w:rPr>
          <w:color w:val="000000"/>
          <w:sz w:val="20"/>
          <w:szCs w:val="20"/>
        </w:rPr>
      </w:pPr>
      <w:r w:rsidRPr="004107D2">
        <w:rPr>
          <w:color w:val="000000"/>
          <w:sz w:val="20"/>
          <w:szCs w:val="20"/>
        </w:rPr>
        <w:t>To consult, as may be appropriate, with other national, regional and international institutions</w:t>
      </w:r>
      <w:r w:rsidR="000362E1" w:rsidRPr="004107D2">
        <w:rPr>
          <w:color w:val="000000"/>
          <w:sz w:val="20"/>
          <w:szCs w:val="20"/>
        </w:rPr>
        <w:t xml:space="preserve"> </w:t>
      </w:r>
      <w:r w:rsidRPr="004107D2">
        <w:rPr>
          <w:color w:val="000000"/>
          <w:sz w:val="20"/>
          <w:szCs w:val="20"/>
        </w:rPr>
        <w:t>and entities concerned with the promotion and protection of human rights;</w:t>
      </w:r>
    </w:p>
    <w:p w:rsidR="00BA3C65" w:rsidRPr="004107D2" w:rsidRDefault="00BA3C65" w:rsidP="00F45782">
      <w:pPr>
        <w:pStyle w:val="CM2"/>
        <w:numPr>
          <w:ilvl w:val="1"/>
          <w:numId w:val="29"/>
        </w:numPr>
        <w:spacing w:before="240" w:after="120" w:line="276" w:lineRule="auto"/>
        <w:ind w:left="540" w:hanging="540"/>
        <w:jc w:val="both"/>
        <w:rPr>
          <w:color w:val="000000"/>
          <w:sz w:val="20"/>
          <w:szCs w:val="20"/>
        </w:rPr>
      </w:pPr>
      <w:r w:rsidRPr="004107D2">
        <w:rPr>
          <w:color w:val="000000"/>
          <w:sz w:val="20"/>
          <w:szCs w:val="20"/>
        </w:rPr>
        <w:lastRenderedPageBreak/>
        <w:t>To obtain information from ASEAN Member States on the promotion and protection of human rights;</w:t>
      </w:r>
    </w:p>
    <w:p w:rsidR="00BA3C65" w:rsidRPr="004107D2" w:rsidRDefault="00BA3C65" w:rsidP="00F45782">
      <w:pPr>
        <w:pStyle w:val="CM2"/>
        <w:numPr>
          <w:ilvl w:val="1"/>
          <w:numId w:val="29"/>
        </w:numPr>
        <w:spacing w:before="240" w:after="120" w:line="276" w:lineRule="auto"/>
        <w:ind w:left="540" w:hanging="540"/>
        <w:jc w:val="both"/>
        <w:rPr>
          <w:color w:val="000000"/>
          <w:sz w:val="20"/>
          <w:szCs w:val="20"/>
        </w:rPr>
      </w:pPr>
      <w:r w:rsidRPr="004107D2">
        <w:rPr>
          <w:color w:val="000000"/>
          <w:sz w:val="20"/>
          <w:szCs w:val="20"/>
        </w:rPr>
        <w:t>To develop common approaches and positions on human rights matters of interest to ASEAN;</w:t>
      </w:r>
    </w:p>
    <w:p w:rsidR="00BA3C65" w:rsidRPr="004107D2" w:rsidRDefault="00BA3C65" w:rsidP="00F45782">
      <w:pPr>
        <w:pStyle w:val="CM2"/>
        <w:numPr>
          <w:ilvl w:val="1"/>
          <w:numId w:val="29"/>
        </w:numPr>
        <w:spacing w:before="240" w:after="120" w:line="276" w:lineRule="auto"/>
        <w:ind w:left="540" w:hanging="540"/>
        <w:jc w:val="both"/>
        <w:rPr>
          <w:color w:val="000000"/>
          <w:sz w:val="20"/>
          <w:szCs w:val="20"/>
        </w:rPr>
      </w:pPr>
      <w:r w:rsidRPr="004107D2">
        <w:rPr>
          <w:color w:val="000000"/>
          <w:sz w:val="20"/>
          <w:szCs w:val="20"/>
        </w:rPr>
        <w:t>To prepare studies on thematic issues of human rights in ASEAN;</w:t>
      </w:r>
    </w:p>
    <w:p w:rsidR="00BA3C65" w:rsidRPr="004107D2" w:rsidRDefault="00BA3C65" w:rsidP="00F45782">
      <w:pPr>
        <w:pStyle w:val="CM2"/>
        <w:numPr>
          <w:ilvl w:val="1"/>
          <w:numId w:val="29"/>
        </w:numPr>
        <w:spacing w:before="240" w:after="120" w:line="276" w:lineRule="auto"/>
        <w:ind w:left="540" w:hanging="540"/>
        <w:jc w:val="both"/>
        <w:rPr>
          <w:color w:val="000000"/>
          <w:sz w:val="20"/>
          <w:szCs w:val="20"/>
        </w:rPr>
      </w:pPr>
      <w:r w:rsidRPr="004107D2">
        <w:rPr>
          <w:color w:val="000000"/>
          <w:sz w:val="20"/>
          <w:szCs w:val="20"/>
        </w:rPr>
        <w:t>To submit an annual report on its activities, or other reports if deemed necessary, to the ASEAN Foreign Ministers Meeting; and</w:t>
      </w:r>
    </w:p>
    <w:p w:rsidR="00BA3C65" w:rsidRPr="004107D2" w:rsidRDefault="00BA3C65" w:rsidP="00F45782">
      <w:pPr>
        <w:pStyle w:val="CM2"/>
        <w:numPr>
          <w:ilvl w:val="1"/>
          <w:numId w:val="29"/>
        </w:numPr>
        <w:spacing w:before="240" w:after="120" w:line="276" w:lineRule="auto"/>
        <w:ind w:left="540" w:hanging="540"/>
        <w:jc w:val="both"/>
        <w:rPr>
          <w:color w:val="000000"/>
          <w:sz w:val="20"/>
          <w:szCs w:val="20"/>
        </w:rPr>
      </w:pPr>
      <w:r w:rsidRPr="004107D2">
        <w:rPr>
          <w:color w:val="000000"/>
          <w:sz w:val="20"/>
          <w:szCs w:val="20"/>
        </w:rPr>
        <w:t>To perform any other tasks as may be assigned to it by the ASEAN Foreign Ministers Meeting.</w:t>
      </w:r>
    </w:p>
    <w:p w:rsidR="00BA3C65" w:rsidRPr="004107D2" w:rsidRDefault="00BA3C65" w:rsidP="00F45782">
      <w:pPr>
        <w:pStyle w:val="Heading1"/>
        <w:rPr>
          <w:rFonts w:cs="Arial"/>
          <w:sz w:val="20"/>
          <w:szCs w:val="20"/>
        </w:rPr>
      </w:pPr>
      <w:bookmarkStart w:id="14" w:name="_Toc243907454"/>
      <w:bookmarkStart w:id="15" w:name="_Toc463259295"/>
      <w:bookmarkStart w:id="16" w:name="_Toc26878599"/>
      <w:r w:rsidRPr="004107D2">
        <w:rPr>
          <w:rFonts w:cs="Arial"/>
          <w:sz w:val="20"/>
          <w:szCs w:val="20"/>
        </w:rPr>
        <w:t>COMPOSITION</w:t>
      </w:r>
      <w:bookmarkEnd w:id="14"/>
      <w:bookmarkEnd w:id="15"/>
      <w:bookmarkEnd w:id="16"/>
    </w:p>
    <w:p w:rsidR="00BA3C65" w:rsidRPr="004107D2" w:rsidRDefault="00BA3C65" w:rsidP="000F183E">
      <w:pPr>
        <w:pStyle w:val="Heading2"/>
      </w:pPr>
      <w:bookmarkStart w:id="17" w:name="_Toc243907455"/>
      <w:bookmarkStart w:id="18" w:name="_Toc463259296"/>
      <w:bookmarkStart w:id="19" w:name="_Toc26878600"/>
      <w:r w:rsidRPr="004107D2">
        <w:t>Membership</w:t>
      </w:r>
      <w:bookmarkEnd w:id="17"/>
      <w:bookmarkEnd w:id="18"/>
      <w:bookmarkEnd w:id="19"/>
    </w:p>
    <w:p w:rsidR="00F45782" w:rsidRPr="004107D2" w:rsidRDefault="00BA3C65" w:rsidP="00F45782">
      <w:pPr>
        <w:pStyle w:val="CM2"/>
        <w:numPr>
          <w:ilvl w:val="1"/>
          <w:numId w:val="29"/>
        </w:numPr>
        <w:spacing w:before="240" w:after="120" w:line="276" w:lineRule="auto"/>
        <w:ind w:left="360"/>
        <w:jc w:val="both"/>
        <w:rPr>
          <w:color w:val="000000"/>
          <w:sz w:val="20"/>
          <w:szCs w:val="20"/>
        </w:rPr>
      </w:pPr>
      <w:r w:rsidRPr="004107D2">
        <w:rPr>
          <w:color w:val="000000"/>
          <w:sz w:val="20"/>
          <w:szCs w:val="20"/>
        </w:rPr>
        <w:t>The AICHR shall consist of the Member States of ASEAN.</w:t>
      </w:r>
    </w:p>
    <w:p w:rsidR="00BA3C65" w:rsidRPr="004107D2" w:rsidRDefault="00BA3C65" w:rsidP="00F45782">
      <w:pPr>
        <w:pStyle w:val="CM2"/>
        <w:numPr>
          <w:ilvl w:val="1"/>
          <w:numId w:val="29"/>
        </w:numPr>
        <w:spacing w:before="240" w:after="120" w:line="276" w:lineRule="auto"/>
        <w:ind w:left="360"/>
        <w:jc w:val="both"/>
        <w:rPr>
          <w:color w:val="000000"/>
          <w:sz w:val="20"/>
          <w:szCs w:val="20"/>
        </w:rPr>
      </w:pPr>
      <w:r w:rsidRPr="004107D2">
        <w:rPr>
          <w:color w:val="000000"/>
          <w:sz w:val="20"/>
          <w:szCs w:val="20"/>
        </w:rPr>
        <w:t>Each ASEAN Member State shall appoint a Representative to the AICHR who shall be accountable to the appointing Government.</w:t>
      </w:r>
    </w:p>
    <w:p w:rsidR="00BA3C65" w:rsidRPr="004107D2" w:rsidRDefault="00BA3C65" w:rsidP="000F183E">
      <w:pPr>
        <w:pStyle w:val="Heading2"/>
      </w:pPr>
      <w:bookmarkStart w:id="20" w:name="_Toc243907456"/>
      <w:bookmarkStart w:id="21" w:name="_Toc463259297"/>
      <w:bookmarkStart w:id="22" w:name="_Toc26878601"/>
      <w:r w:rsidRPr="004107D2">
        <w:t>Qualifications</w:t>
      </w:r>
      <w:bookmarkEnd w:id="20"/>
      <w:bookmarkEnd w:id="21"/>
      <w:bookmarkEnd w:id="22"/>
    </w:p>
    <w:p w:rsidR="00BA3C65" w:rsidRPr="004107D2" w:rsidRDefault="00BA3C65" w:rsidP="00F45782">
      <w:pPr>
        <w:pStyle w:val="CM2"/>
        <w:numPr>
          <w:ilvl w:val="1"/>
          <w:numId w:val="29"/>
        </w:numPr>
        <w:spacing w:before="240" w:after="120" w:line="276" w:lineRule="auto"/>
        <w:ind w:left="360"/>
        <w:jc w:val="both"/>
        <w:rPr>
          <w:color w:val="000000"/>
          <w:sz w:val="20"/>
          <w:szCs w:val="20"/>
        </w:rPr>
      </w:pPr>
      <w:r w:rsidRPr="004107D2">
        <w:rPr>
          <w:color w:val="000000"/>
          <w:sz w:val="20"/>
          <w:szCs w:val="20"/>
        </w:rPr>
        <w:t>When appointing their Representatives to the AICHR, Member States shall give due consideration to gender equality, integrity and competence in the field of human rights.</w:t>
      </w:r>
    </w:p>
    <w:p w:rsidR="00BA3C65" w:rsidRPr="004107D2" w:rsidRDefault="00BA3C65" w:rsidP="00F45782">
      <w:pPr>
        <w:pStyle w:val="CM2"/>
        <w:numPr>
          <w:ilvl w:val="1"/>
          <w:numId w:val="29"/>
        </w:numPr>
        <w:spacing w:before="240" w:after="120" w:line="276" w:lineRule="auto"/>
        <w:ind w:left="360"/>
        <w:jc w:val="both"/>
        <w:rPr>
          <w:color w:val="000000"/>
          <w:sz w:val="20"/>
          <w:szCs w:val="20"/>
        </w:rPr>
      </w:pPr>
      <w:r w:rsidRPr="004107D2">
        <w:rPr>
          <w:color w:val="000000"/>
          <w:sz w:val="20"/>
          <w:szCs w:val="20"/>
        </w:rPr>
        <w:t>Member States should consult, if required by their respective internal processes, with appropriate stakeholders in the appointment of their Representatives to the AICHR.</w:t>
      </w:r>
    </w:p>
    <w:p w:rsidR="00BA3C65" w:rsidRPr="004107D2" w:rsidRDefault="00BA3C65" w:rsidP="000F183E">
      <w:pPr>
        <w:pStyle w:val="Heading2"/>
      </w:pPr>
      <w:bookmarkStart w:id="23" w:name="_Toc243907457"/>
      <w:bookmarkStart w:id="24" w:name="_Toc463259298"/>
      <w:bookmarkStart w:id="25" w:name="_Toc26878602"/>
      <w:r w:rsidRPr="004107D2">
        <w:t>Term of Office</w:t>
      </w:r>
      <w:bookmarkEnd w:id="23"/>
      <w:bookmarkEnd w:id="24"/>
      <w:bookmarkEnd w:id="25"/>
    </w:p>
    <w:p w:rsidR="00BA3C65" w:rsidRPr="004107D2" w:rsidRDefault="00BA3C65" w:rsidP="00F45782">
      <w:pPr>
        <w:pStyle w:val="CM2"/>
        <w:numPr>
          <w:ilvl w:val="1"/>
          <w:numId w:val="29"/>
        </w:numPr>
        <w:spacing w:before="240" w:after="120" w:line="276" w:lineRule="auto"/>
        <w:ind w:left="360"/>
        <w:jc w:val="both"/>
        <w:rPr>
          <w:color w:val="000000"/>
          <w:sz w:val="20"/>
          <w:szCs w:val="20"/>
        </w:rPr>
      </w:pPr>
      <w:r w:rsidRPr="004107D2">
        <w:rPr>
          <w:color w:val="000000"/>
          <w:sz w:val="20"/>
          <w:szCs w:val="20"/>
        </w:rPr>
        <w:t>Each Representative serves a term of three years and may be consecutively re-appointed for only one more term.</w:t>
      </w:r>
    </w:p>
    <w:p w:rsidR="00BA3C65" w:rsidRPr="004107D2" w:rsidRDefault="00F45782" w:rsidP="00F45782">
      <w:pPr>
        <w:pStyle w:val="CM2"/>
        <w:numPr>
          <w:ilvl w:val="1"/>
          <w:numId w:val="29"/>
        </w:numPr>
        <w:spacing w:before="240" w:after="120" w:line="276" w:lineRule="auto"/>
        <w:ind w:left="360"/>
        <w:jc w:val="both"/>
        <w:rPr>
          <w:color w:val="000000"/>
          <w:sz w:val="20"/>
          <w:szCs w:val="20"/>
        </w:rPr>
      </w:pPr>
      <w:r w:rsidRPr="004107D2">
        <w:rPr>
          <w:color w:val="000000"/>
          <w:sz w:val="20"/>
          <w:szCs w:val="20"/>
        </w:rPr>
        <w:t>Notwithstanding paragraph 5.</w:t>
      </w:r>
      <w:r w:rsidR="00BA3C65" w:rsidRPr="004107D2">
        <w:rPr>
          <w:color w:val="000000"/>
          <w:sz w:val="20"/>
          <w:szCs w:val="20"/>
        </w:rPr>
        <w:t>5, the appointing Government may decide, at its discretion, to replace its Representative.</w:t>
      </w:r>
    </w:p>
    <w:p w:rsidR="00BA3C65" w:rsidRPr="004107D2" w:rsidRDefault="00BA3C65" w:rsidP="000F183E">
      <w:pPr>
        <w:pStyle w:val="Heading2"/>
      </w:pPr>
      <w:bookmarkStart w:id="26" w:name="_Toc243907458"/>
      <w:bookmarkStart w:id="27" w:name="_Toc463259299"/>
      <w:bookmarkStart w:id="28" w:name="_Toc26878603"/>
      <w:r w:rsidRPr="004107D2">
        <w:t>Responsibility</w:t>
      </w:r>
      <w:bookmarkEnd w:id="26"/>
      <w:bookmarkEnd w:id="27"/>
      <w:bookmarkEnd w:id="28"/>
    </w:p>
    <w:p w:rsidR="00BA3C65" w:rsidRPr="004107D2" w:rsidRDefault="00BA3C65" w:rsidP="00F45782">
      <w:pPr>
        <w:pStyle w:val="CM2"/>
        <w:numPr>
          <w:ilvl w:val="1"/>
          <w:numId w:val="29"/>
        </w:numPr>
        <w:spacing w:before="240" w:after="120" w:line="276" w:lineRule="auto"/>
        <w:ind w:left="360"/>
        <w:jc w:val="both"/>
        <w:rPr>
          <w:color w:val="000000"/>
          <w:sz w:val="20"/>
          <w:szCs w:val="20"/>
        </w:rPr>
      </w:pPr>
      <w:r w:rsidRPr="004107D2">
        <w:rPr>
          <w:color w:val="000000"/>
          <w:sz w:val="20"/>
          <w:szCs w:val="20"/>
        </w:rPr>
        <w:t>Each Representative, in the discharge of his or her duties, shall act impartially in accordance with the ASEAN Charter and this TOR.</w:t>
      </w:r>
    </w:p>
    <w:p w:rsidR="00BA3C65" w:rsidRPr="004107D2" w:rsidRDefault="00BA3C65" w:rsidP="00F45782">
      <w:pPr>
        <w:pStyle w:val="CM2"/>
        <w:numPr>
          <w:ilvl w:val="1"/>
          <w:numId w:val="29"/>
        </w:numPr>
        <w:spacing w:before="240" w:after="120" w:line="276" w:lineRule="auto"/>
        <w:ind w:left="360"/>
        <w:jc w:val="both"/>
        <w:rPr>
          <w:color w:val="000000"/>
          <w:sz w:val="20"/>
          <w:szCs w:val="20"/>
        </w:rPr>
      </w:pPr>
      <w:r w:rsidRPr="004107D2">
        <w:rPr>
          <w:color w:val="000000"/>
          <w:sz w:val="20"/>
          <w:szCs w:val="20"/>
        </w:rPr>
        <w:t>Representatives shall have the obligation to attend AICHR meetings. If a Representative is unable to attend a meeting due to exceptional circumstances, the Government concerned shall formally notify the Chair of the AICHR of the appointment of a temporary representative with a full mandate to represent the Member State concerned.</w:t>
      </w:r>
    </w:p>
    <w:p w:rsidR="00BA3C65" w:rsidRPr="004107D2" w:rsidRDefault="00BA3C65" w:rsidP="000F183E">
      <w:pPr>
        <w:pStyle w:val="Heading2"/>
      </w:pPr>
      <w:bookmarkStart w:id="29" w:name="_Toc243907459"/>
      <w:bookmarkStart w:id="30" w:name="_Toc463259300"/>
      <w:bookmarkStart w:id="31" w:name="_Toc26878604"/>
      <w:r w:rsidRPr="004107D2">
        <w:t>Chair of the AICHR</w:t>
      </w:r>
      <w:bookmarkEnd w:id="29"/>
      <w:bookmarkEnd w:id="30"/>
      <w:bookmarkEnd w:id="31"/>
    </w:p>
    <w:p w:rsidR="00BA3C65" w:rsidRPr="004107D2" w:rsidRDefault="00BA3C65" w:rsidP="00F45782">
      <w:pPr>
        <w:pStyle w:val="CM2"/>
        <w:numPr>
          <w:ilvl w:val="1"/>
          <w:numId w:val="29"/>
        </w:numPr>
        <w:spacing w:before="240" w:after="120" w:line="276" w:lineRule="auto"/>
        <w:ind w:left="360"/>
        <w:jc w:val="both"/>
        <w:rPr>
          <w:color w:val="000000"/>
          <w:sz w:val="20"/>
          <w:szCs w:val="20"/>
        </w:rPr>
      </w:pPr>
      <w:r w:rsidRPr="004107D2">
        <w:rPr>
          <w:color w:val="000000"/>
          <w:sz w:val="20"/>
          <w:szCs w:val="20"/>
        </w:rPr>
        <w:t>The Chair of the AICHR shall be the Representative of the Member State holding the Chairmanship of ASEAN.</w:t>
      </w:r>
    </w:p>
    <w:p w:rsidR="00BA3C65" w:rsidRPr="004107D2" w:rsidRDefault="00BA3C65" w:rsidP="00F45782">
      <w:pPr>
        <w:pStyle w:val="CM2"/>
        <w:numPr>
          <w:ilvl w:val="1"/>
          <w:numId w:val="29"/>
        </w:numPr>
        <w:spacing w:before="240" w:after="120" w:line="276" w:lineRule="auto"/>
        <w:ind w:left="540" w:hanging="540"/>
        <w:jc w:val="both"/>
        <w:rPr>
          <w:color w:val="000000"/>
          <w:sz w:val="20"/>
          <w:szCs w:val="20"/>
        </w:rPr>
      </w:pPr>
      <w:r w:rsidRPr="004107D2">
        <w:rPr>
          <w:color w:val="000000"/>
          <w:sz w:val="20"/>
          <w:szCs w:val="20"/>
        </w:rPr>
        <w:t>The Chair of the AICHR shall exercise his or her role in accordance with this TOR, which shall include:</w:t>
      </w:r>
    </w:p>
    <w:p w:rsidR="00BA3C65" w:rsidRPr="004107D2" w:rsidRDefault="00BA3C65" w:rsidP="004107D2">
      <w:pPr>
        <w:pStyle w:val="CM11"/>
        <w:numPr>
          <w:ilvl w:val="0"/>
          <w:numId w:val="30"/>
        </w:numPr>
        <w:spacing w:before="240" w:after="120" w:line="276" w:lineRule="auto"/>
        <w:jc w:val="both"/>
        <w:rPr>
          <w:color w:val="000000"/>
          <w:sz w:val="20"/>
          <w:szCs w:val="20"/>
        </w:rPr>
      </w:pPr>
      <w:r w:rsidRPr="004107D2">
        <w:rPr>
          <w:color w:val="000000"/>
          <w:sz w:val="20"/>
          <w:szCs w:val="20"/>
        </w:rPr>
        <w:lastRenderedPageBreak/>
        <w:t>leading in the preparation of reports of the AICHR and presenting such reports to the ASEAN Foreign Ministers Meeting;</w:t>
      </w:r>
    </w:p>
    <w:p w:rsidR="00BA3C65" w:rsidRPr="004107D2" w:rsidRDefault="00BA3C65" w:rsidP="004107D2">
      <w:pPr>
        <w:pStyle w:val="CM11"/>
        <w:numPr>
          <w:ilvl w:val="0"/>
          <w:numId w:val="30"/>
        </w:numPr>
        <w:spacing w:before="240" w:after="120" w:line="276" w:lineRule="auto"/>
        <w:jc w:val="both"/>
        <w:rPr>
          <w:color w:val="000000"/>
          <w:sz w:val="20"/>
          <w:szCs w:val="20"/>
        </w:rPr>
      </w:pPr>
      <w:r w:rsidRPr="004107D2">
        <w:rPr>
          <w:color w:val="000000"/>
          <w:sz w:val="20"/>
          <w:szCs w:val="20"/>
        </w:rPr>
        <w:t>coordinating with the AICHR’s Representatives in between meetings of the AICHR and with the relevant ASEAN bodies;</w:t>
      </w:r>
    </w:p>
    <w:p w:rsidR="00BA3C65" w:rsidRPr="004107D2" w:rsidRDefault="00BA3C65" w:rsidP="004107D2">
      <w:pPr>
        <w:pStyle w:val="CM11"/>
        <w:numPr>
          <w:ilvl w:val="0"/>
          <w:numId w:val="30"/>
        </w:numPr>
        <w:spacing w:before="240" w:after="120" w:line="276" w:lineRule="auto"/>
        <w:jc w:val="both"/>
        <w:rPr>
          <w:color w:val="000000"/>
          <w:sz w:val="20"/>
          <w:szCs w:val="20"/>
        </w:rPr>
      </w:pPr>
      <w:r w:rsidRPr="004107D2">
        <w:rPr>
          <w:color w:val="000000"/>
          <w:sz w:val="20"/>
          <w:szCs w:val="20"/>
        </w:rPr>
        <w:t>representing the AICHR at regional and international events pertaining to the promotion and protection of human rights as entrusted by the AICHR; and</w:t>
      </w:r>
    </w:p>
    <w:p w:rsidR="00BA3C65" w:rsidRPr="004107D2" w:rsidRDefault="00BA3C65" w:rsidP="004107D2">
      <w:pPr>
        <w:pStyle w:val="CM11"/>
        <w:numPr>
          <w:ilvl w:val="0"/>
          <w:numId w:val="30"/>
        </w:numPr>
        <w:spacing w:before="240" w:after="120" w:line="276" w:lineRule="auto"/>
        <w:jc w:val="both"/>
        <w:rPr>
          <w:color w:val="000000"/>
          <w:sz w:val="20"/>
          <w:szCs w:val="20"/>
        </w:rPr>
      </w:pPr>
      <w:r w:rsidRPr="004107D2">
        <w:rPr>
          <w:color w:val="000000"/>
          <w:sz w:val="20"/>
          <w:szCs w:val="20"/>
        </w:rPr>
        <w:t>undertaking other specific functions entrusted by the AICHR in accordance with this TOR.</w:t>
      </w:r>
    </w:p>
    <w:p w:rsidR="00BA3C65" w:rsidRPr="004107D2" w:rsidRDefault="00BA3C65" w:rsidP="000F183E">
      <w:pPr>
        <w:pStyle w:val="Heading2"/>
      </w:pPr>
      <w:bookmarkStart w:id="32" w:name="_Toc243907460"/>
      <w:bookmarkStart w:id="33" w:name="_Toc463259301"/>
      <w:bookmarkStart w:id="34" w:name="_Toc26878605"/>
      <w:r w:rsidRPr="004107D2">
        <w:t>Immunities and Privileges</w:t>
      </w:r>
      <w:bookmarkEnd w:id="32"/>
      <w:bookmarkEnd w:id="33"/>
      <w:bookmarkEnd w:id="34"/>
    </w:p>
    <w:p w:rsidR="00BA3C65" w:rsidRPr="004107D2" w:rsidRDefault="00BA3C65" w:rsidP="004107D2">
      <w:pPr>
        <w:pStyle w:val="CM2"/>
        <w:numPr>
          <w:ilvl w:val="1"/>
          <w:numId w:val="29"/>
        </w:numPr>
        <w:spacing w:before="240" w:after="120" w:line="276" w:lineRule="auto"/>
        <w:ind w:left="540" w:hanging="540"/>
        <w:jc w:val="both"/>
        <w:rPr>
          <w:color w:val="000000"/>
          <w:sz w:val="20"/>
          <w:szCs w:val="20"/>
        </w:rPr>
      </w:pPr>
      <w:r w:rsidRPr="004107D2">
        <w:rPr>
          <w:color w:val="000000"/>
          <w:sz w:val="20"/>
          <w:szCs w:val="20"/>
        </w:rPr>
        <w:t>In accordance with Article 19 of the ASEAN Charter, Representatives participating in official activities of the AICHR shall enjoy such immunities and privileges as are necessary for the exercise of their functions.</w:t>
      </w:r>
    </w:p>
    <w:p w:rsidR="00BA3C65" w:rsidRPr="004107D2" w:rsidRDefault="00BA3C65" w:rsidP="00F45782">
      <w:pPr>
        <w:pStyle w:val="Heading1"/>
        <w:rPr>
          <w:rFonts w:cs="Arial"/>
          <w:sz w:val="20"/>
          <w:szCs w:val="20"/>
        </w:rPr>
      </w:pPr>
      <w:bookmarkStart w:id="35" w:name="_Toc243907461"/>
      <w:bookmarkStart w:id="36" w:name="_Toc463259302"/>
      <w:bookmarkStart w:id="37" w:name="_Toc26878606"/>
      <w:r w:rsidRPr="004107D2">
        <w:rPr>
          <w:rFonts w:cs="Arial"/>
          <w:sz w:val="20"/>
          <w:szCs w:val="20"/>
        </w:rPr>
        <w:t>MODALITIES</w:t>
      </w:r>
      <w:bookmarkEnd w:id="35"/>
      <w:bookmarkEnd w:id="36"/>
      <w:bookmarkEnd w:id="37"/>
    </w:p>
    <w:p w:rsidR="00BA3C65" w:rsidRPr="004107D2" w:rsidRDefault="00BA3C65" w:rsidP="000F183E">
      <w:pPr>
        <w:pStyle w:val="Heading2"/>
      </w:pPr>
      <w:bookmarkStart w:id="38" w:name="_Toc243907462"/>
      <w:bookmarkStart w:id="39" w:name="_Toc463259303"/>
      <w:bookmarkStart w:id="40" w:name="_Toc26878607"/>
      <w:r w:rsidRPr="004107D2">
        <w:t>Decision-making</w:t>
      </w:r>
      <w:bookmarkEnd w:id="38"/>
      <w:bookmarkEnd w:id="39"/>
      <w:bookmarkEnd w:id="40"/>
    </w:p>
    <w:p w:rsidR="00BA3C65" w:rsidRPr="004107D2" w:rsidRDefault="00BA3C65" w:rsidP="004107D2">
      <w:pPr>
        <w:pStyle w:val="CM2"/>
        <w:numPr>
          <w:ilvl w:val="1"/>
          <w:numId w:val="29"/>
        </w:numPr>
        <w:spacing w:before="240" w:after="120" w:line="276" w:lineRule="auto"/>
        <w:ind w:left="540" w:hanging="540"/>
        <w:jc w:val="both"/>
        <w:rPr>
          <w:color w:val="000000"/>
          <w:sz w:val="20"/>
          <w:szCs w:val="20"/>
        </w:rPr>
      </w:pPr>
      <w:r w:rsidRPr="004107D2">
        <w:rPr>
          <w:color w:val="000000"/>
          <w:sz w:val="20"/>
          <w:szCs w:val="20"/>
        </w:rPr>
        <w:t>Decision-making in the AICHR shall be based on consultation and consensus in accordance with Article 20 of the ASEAN Charter.</w:t>
      </w:r>
    </w:p>
    <w:p w:rsidR="00BA3C65" w:rsidRPr="004107D2" w:rsidRDefault="00BA3C65" w:rsidP="000F183E">
      <w:pPr>
        <w:pStyle w:val="Heading2"/>
      </w:pPr>
      <w:bookmarkStart w:id="41" w:name="_Toc243907463"/>
      <w:bookmarkStart w:id="42" w:name="_Toc463259304"/>
      <w:bookmarkStart w:id="43" w:name="_Toc26878608"/>
      <w:r w:rsidRPr="004107D2">
        <w:t>Number of Meetings</w:t>
      </w:r>
      <w:bookmarkEnd w:id="41"/>
      <w:bookmarkEnd w:id="42"/>
      <w:bookmarkEnd w:id="43"/>
    </w:p>
    <w:p w:rsidR="00BA3C65" w:rsidRPr="004107D2" w:rsidRDefault="00BA3C65" w:rsidP="004107D2">
      <w:pPr>
        <w:pStyle w:val="CM2"/>
        <w:numPr>
          <w:ilvl w:val="1"/>
          <w:numId w:val="29"/>
        </w:numPr>
        <w:spacing w:before="240" w:after="120" w:line="276" w:lineRule="auto"/>
        <w:ind w:left="540" w:hanging="540"/>
        <w:jc w:val="both"/>
        <w:rPr>
          <w:color w:val="000000"/>
          <w:sz w:val="20"/>
          <w:szCs w:val="20"/>
        </w:rPr>
      </w:pPr>
      <w:r w:rsidRPr="004107D2">
        <w:rPr>
          <w:color w:val="000000"/>
          <w:sz w:val="20"/>
          <w:szCs w:val="20"/>
        </w:rPr>
        <w:t>The AICHR shall convene two regular meetings per year. Each meeting shall normally be not more than five days.</w:t>
      </w:r>
    </w:p>
    <w:p w:rsidR="00BA3C65" w:rsidRPr="004107D2" w:rsidRDefault="00BA3C65" w:rsidP="004107D2">
      <w:pPr>
        <w:pStyle w:val="CM2"/>
        <w:numPr>
          <w:ilvl w:val="1"/>
          <w:numId w:val="29"/>
        </w:numPr>
        <w:spacing w:before="240" w:after="120" w:line="276" w:lineRule="auto"/>
        <w:ind w:left="540" w:hanging="540"/>
        <w:jc w:val="both"/>
        <w:rPr>
          <w:color w:val="000000"/>
          <w:sz w:val="20"/>
          <w:szCs w:val="20"/>
        </w:rPr>
      </w:pPr>
      <w:r w:rsidRPr="004107D2">
        <w:rPr>
          <w:color w:val="000000"/>
          <w:sz w:val="20"/>
          <w:szCs w:val="20"/>
        </w:rPr>
        <w:t>Regular meetings of the AICHR shall be held alternately at the ASEAN Secretariat and the Member State holding the Chair of ASEAN.</w:t>
      </w:r>
    </w:p>
    <w:p w:rsidR="00BA3C65" w:rsidRPr="004107D2" w:rsidRDefault="00BA3C65" w:rsidP="004107D2">
      <w:pPr>
        <w:pStyle w:val="CM2"/>
        <w:numPr>
          <w:ilvl w:val="1"/>
          <w:numId w:val="29"/>
        </w:numPr>
        <w:spacing w:before="240" w:after="120" w:line="276" w:lineRule="auto"/>
        <w:ind w:left="540" w:hanging="540"/>
        <w:jc w:val="both"/>
        <w:rPr>
          <w:color w:val="000000"/>
          <w:sz w:val="20"/>
          <w:szCs w:val="20"/>
        </w:rPr>
      </w:pPr>
      <w:r w:rsidRPr="004107D2">
        <w:rPr>
          <w:color w:val="000000"/>
          <w:sz w:val="20"/>
          <w:szCs w:val="20"/>
        </w:rPr>
        <w:t>As and when appropriate, the AICHR may hold additional meetings at the ASEAN Secretariat or at a venue to be agreed upon by the Representatives.</w:t>
      </w:r>
    </w:p>
    <w:p w:rsidR="00BA3C65" w:rsidRPr="004107D2" w:rsidRDefault="00BA3C65" w:rsidP="004107D2">
      <w:pPr>
        <w:pStyle w:val="CM2"/>
        <w:numPr>
          <w:ilvl w:val="1"/>
          <w:numId w:val="29"/>
        </w:numPr>
        <w:spacing w:before="240" w:after="120" w:line="276" w:lineRule="auto"/>
        <w:ind w:left="540" w:hanging="540"/>
        <w:jc w:val="both"/>
        <w:rPr>
          <w:color w:val="000000"/>
          <w:sz w:val="20"/>
          <w:szCs w:val="20"/>
        </w:rPr>
      </w:pPr>
      <w:r w:rsidRPr="004107D2">
        <w:rPr>
          <w:color w:val="000000"/>
          <w:sz w:val="20"/>
          <w:szCs w:val="20"/>
        </w:rPr>
        <w:t>When necessary, the ASEAN Foreign Ministers may instruct the AICHR to meet.</w:t>
      </w:r>
    </w:p>
    <w:p w:rsidR="00BA3C65" w:rsidRPr="004107D2" w:rsidRDefault="00BA3C65" w:rsidP="000F183E">
      <w:pPr>
        <w:pStyle w:val="Heading2"/>
      </w:pPr>
      <w:bookmarkStart w:id="44" w:name="_Toc243907464"/>
      <w:bookmarkStart w:id="45" w:name="_Toc463259305"/>
      <w:bookmarkStart w:id="46" w:name="_Toc26878609"/>
      <w:r w:rsidRPr="004107D2">
        <w:t>Line of Reporting</w:t>
      </w:r>
      <w:bookmarkEnd w:id="44"/>
      <w:bookmarkEnd w:id="45"/>
      <w:bookmarkEnd w:id="46"/>
    </w:p>
    <w:p w:rsidR="000362E1" w:rsidRPr="004107D2" w:rsidRDefault="00BA3C65" w:rsidP="004107D2">
      <w:pPr>
        <w:pStyle w:val="CM2"/>
        <w:numPr>
          <w:ilvl w:val="1"/>
          <w:numId w:val="29"/>
        </w:numPr>
        <w:spacing w:before="240" w:after="120" w:line="276" w:lineRule="auto"/>
        <w:ind w:left="540" w:hanging="540"/>
        <w:jc w:val="both"/>
        <w:rPr>
          <w:color w:val="000000"/>
          <w:sz w:val="20"/>
          <w:szCs w:val="20"/>
        </w:rPr>
      </w:pPr>
      <w:r w:rsidRPr="004107D2">
        <w:rPr>
          <w:color w:val="000000"/>
          <w:sz w:val="20"/>
          <w:szCs w:val="20"/>
        </w:rPr>
        <w:t>The AICHR shall submit an annual report and other appropriate reports to the ASEAN Foreign Ministers Meeting for its consideration.</w:t>
      </w:r>
    </w:p>
    <w:p w:rsidR="00BA3C65" w:rsidRPr="004107D2" w:rsidRDefault="00BA3C65" w:rsidP="000F183E">
      <w:pPr>
        <w:pStyle w:val="Heading2"/>
      </w:pPr>
      <w:bookmarkStart w:id="47" w:name="_Toc243907465"/>
      <w:bookmarkStart w:id="48" w:name="_Toc463259306"/>
      <w:bookmarkStart w:id="49" w:name="_Toc26878610"/>
      <w:r w:rsidRPr="004107D2">
        <w:t>Public Information</w:t>
      </w:r>
      <w:bookmarkEnd w:id="47"/>
      <w:bookmarkEnd w:id="48"/>
      <w:bookmarkEnd w:id="49"/>
    </w:p>
    <w:p w:rsidR="00BA3C65" w:rsidRPr="004107D2" w:rsidRDefault="00BA3C65" w:rsidP="004107D2">
      <w:pPr>
        <w:pStyle w:val="CM2"/>
        <w:numPr>
          <w:ilvl w:val="1"/>
          <w:numId w:val="29"/>
        </w:numPr>
        <w:spacing w:before="240" w:after="120" w:line="276" w:lineRule="auto"/>
        <w:ind w:left="540" w:hanging="540"/>
        <w:jc w:val="both"/>
        <w:rPr>
          <w:color w:val="000000"/>
          <w:sz w:val="20"/>
          <w:szCs w:val="20"/>
        </w:rPr>
      </w:pPr>
      <w:r w:rsidRPr="004107D2">
        <w:rPr>
          <w:color w:val="000000"/>
          <w:sz w:val="20"/>
          <w:szCs w:val="20"/>
        </w:rPr>
        <w:t>The AICHR shall keep the public periodically informed of its work and activities through appropriate public information materials produced by the AICHR.</w:t>
      </w:r>
    </w:p>
    <w:p w:rsidR="00BA3C65" w:rsidRPr="004107D2" w:rsidRDefault="000F183E" w:rsidP="000F183E">
      <w:pPr>
        <w:pStyle w:val="Heading2"/>
      </w:pPr>
      <w:bookmarkStart w:id="50" w:name="_Toc243907466"/>
      <w:bookmarkStart w:id="51" w:name="_Toc463259307"/>
      <w:r w:rsidRPr="004107D2">
        <w:br w:type="page"/>
      </w:r>
      <w:bookmarkStart w:id="52" w:name="_Toc26878611"/>
      <w:r w:rsidR="00BA3C65" w:rsidRPr="004107D2">
        <w:lastRenderedPageBreak/>
        <w:t>Relationship with Other Human Rights Bodies within ASEAN</w:t>
      </w:r>
      <w:bookmarkEnd w:id="50"/>
      <w:bookmarkEnd w:id="51"/>
      <w:bookmarkEnd w:id="52"/>
    </w:p>
    <w:p w:rsidR="00BA3C65" w:rsidRPr="004107D2" w:rsidRDefault="00BA3C65" w:rsidP="004107D2">
      <w:pPr>
        <w:pStyle w:val="CM2"/>
        <w:numPr>
          <w:ilvl w:val="1"/>
          <w:numId w:val="29"/>
        </w:numPr>
        <w:spacing w:before="240" w:after="120" w:line="276" w:lineRule="auto"/>
        <w:ind w:left="540" w:hanging="540"/>
        <w:jc w:val="both"/>
        <w:rPr>
          <w:color w:val="000000"/>
          <w:sz w:val="20"/>
          <w:szCs w:val="20"/>
        </w:rPr>
      </w:pPr>
      <w:r w:rsidRPr="004107D2">
        <w:rPr>
          <w:color w:val="000000"/>
          <w:sz w:val="20"/>
          <w:szCs w:val="20"/>
        </w:rPr>
        <w:t>The AICHR is the overarching human rights institution in ASEAN with overall responsibility for the promotion and protection of human rights in ASEAN.</w:t>
      </w:r>
    </w:p>
    <w:p w:rsidR="00BA3C65" w:rsidRPr="004107D2" w:rsidRDefault="00BA3C65" w:rsidP="004107D2">
      <w:pPr>
        <w:pStyle w:val="CM2"/>
        <w:numPr>
          <w:ilvl w:val="1"/>
          <w:numId w:val="29"/>
        </w:numPr>
        <w:spacing w:before="240" w:after="120" w:line="276" w:lineRule="auto"/>
        <w:ind w:left="540" w:hanging="540"/>
        <w:jc w:val="both"/>
        <w:rPr>
          <w:color w:val="000000"/>
          <w:sz w:val="20"/>
          <w:szCs w:val="20"/>
        </w:rPr>
      </w:pPr>
      <w:r w:rsidRPr="004107D2">
        <w:rPr>
          <w:color w:val="000000"/>
          <w:sz w:val="20"/>
          <w:szCs w:val="20"/>
        </w:rPr>
        <w:t>The AICHR shall work with all ASEAN sectoral bodies dealing with human rights to expeditiously determine the modalities for their ultimate alignment with the AICHR. To this end, the AICHR shall closely consult, coordinate and collaborate with such bodies in order to promote synergy and coherence in ASEAN’s promotion and protection of human rights.</w:t>
      </w:r>
    </w:p>
    <w:p w:rsidR="00BA3C65" w:rsidRPr="004107D2" w:rsidRDefault="00BA3C65" w:rsidP="00F45782">
      <w:pPr>
        <w:pStyle w:val="Heading1"/>
        <w:rPr>
          <w:rFonts w:cs="Arial"/>
          <w:sz w:val="20"/>
          <w:szCs w:val="20"/>
        </w:rPr>
      </w:pPr>
      <w:bookmarkStart w:id="53" w:name="_Toc243907467"/>
      <w:bookmarkStart w:id="54" w:name="_Toc463259308"/>
      <w:bookmarkStart w:id="55" w:name="_Toc26878612"/>
      <w:r w:rsidRPr="004107D2">
        <w:rPr>
          <w:rFonts w:cs="Arial"/>
          <w:sz w:val="20"/>
          <w:szCs w:val="20"/>
        </w:rPr>
        <w:t>ROLE OF THE SECRETARY-GENERAL AND ASEAN SECRETARIAT</w:t>
      </w:r>
      <w:bookmarkEnd w:id="53"/>
      <w:bookmarkEnd w:id="54"/>
      <w:bookmarkEnd w:id="55"/>
    </w:p>
    <w:p w:rsidR="00BA3C65" w:rsidRPr="004107D2" w:rsidRDefault="00BA3C65" w:rsidP="004107D2">
      <w:pPr>
        <w:pStyle w:val="CM2"/>
        <w:numPr>
          <w:ilvl w:val="1"/>
          <w:numId w:val="29"/>
        </w:numPr>
        <w:spacing w:before="240" w:after="120" w:line="276" w:lineRule="auto"/>
        <w:ind w:left="540" w:hanging="540"/>
        <w:jc w:val="both"/>
        <w:rPr>
          <w:color w:val="000000"/>
          <w:sz w:val="20"/>
          <w:szCs w:val="20"/>
        </w:rPr>
      </w:pPr>
      <w:r w:rsidRPr="004107D2">
        <w:rPr>
          <w:color w:val="000000"/>
          <w:sz w:val="20"/>
          <w:szCs w:val="20"/>
        </w:rPr>
        <w:t>The Secretary-General of ASEAN may bring relevant issues to the attention of the AICHR in accordance with Article 11.2 (a) and (b) of the ASEAN Charter. In so doing, the Secretary-General of ASEAN shall concurrently inform the ASEAN Foreign Ministers of these issues.</w:t>
      </w:r>
    </w:p>
    <w:p w:rsidR="00BA3C65" w:rsidRPr="004107D2" w:rsidRDefault="00BA3C65" w:rsidP="004107D2">
      <w:pPr>
        <w:pStyle w:val="CM2"/>
        <w:numPr>
          <w:ilvl w:val="1"/>
          <w:numId w:val="29"/>
        </w:numPr>
        <w:spacing w:before="240" w:after="120" w:line="276" w:lineRule="auto"/>
        <w:ind w:left="540" w:hanging="540"/>
        <w:jc w:val="both"/>
        <w:rPr>
          <w:color w:val="000000"/>
          <w:sz w:val="20"/>
          <w:szCs w:val="20"/>
        </w:rPr>
      </w:pPr>
      <w:r w:rsidRPr="004107D2">
        <w:rPr>
          <w:color w:val="000000"/>
          <w:sz w:val="20"/>
          <w:szCs w:val="20"/>
        </w:rPr>
        <w:t>The ASEAN Secretariat shall provide the necessary secretarial support to the AICHR to ensure its effective performance. To facilitate the Secretariat’s support to the AICHR, ASEAN Member States may, with the concurrence of the Secretary-General of ASEAN, second their officials to the ASEAN Secretariat.</w:t>
      </w:r>
    </w:p>
    <w:p w:rsidR="00BA3C65" w:rsidRPr="004107D2" w:rsidRDefault="00BA3C65" w:rsidP="00F45782">
      <w:pPr>
        <w:pStyle w:val="Heading1"/>
        <w:rPr>
          <w:rFonts w:cs="Arial"/>
          <w:sz w:val="20"/>
          <w:szCs w:val="20"/>
        </w:rPr>
      </w:pPr>
      <w:bookmarkStart w:id="56" w:name="_Toc243907468"/>
      <w:bookmarkStart w:id="57" w:name="_Toc463259309"/>
      <w:bookmarkStart w:id="58" w:name="_Toc26878613"/>
      <w:r w:rsidRPr="004107D2">
        <w:rPr>
          <w:rFonts w:cs="Arial"/>
          <w:sz w:val="20"/>
          <w:szCs w:val="20"/>
        </w:rPr>
        <w:t>WORK PLAN AND FUNDING</w:t>
      </w:r>
      <w:bookmarkEnd w:id="56"/>
      <w:bookmarkEnd w:id="57"/>
      <w:bookmarkEnd w:id="58"/>
    </w:p>
    <w:p w:rsidR="00BA3C65" w:rsidRPr="004107D2" w:rsidRDefault="00BA3C65" w:rsidP="004107D2">
      <w:pPr>
        <w:pStyle w:val="CM2"/>
        <w:numPr>
          <w:ilvl w:val="1"/>
          <w:numId w:val="29"/>
        </w:numPr>
        <w:spacing w:before="240" w:after="120" w:line="276" w:lineRule="auto"/>
        <w:ind w:left="540" w:hanging="540"/>
        <w:jc w:val="both"/>
        <w:rPr>
          <w:color w:val="000000"/>
          <w:sz w:val="20"/>
          <w:szCs w:val="20"/>
        </w:rPr>
      </w:pPr>
      <w:r w:rsidRPr="004107D2">
        <w:rPr>
          <w:color w:val="000000"/>
          <w:sz w:val="20"/>
          <w:szCs w:val="20"/>
        </w:rPr>
        <w:t>The AICHR shall prepare and submit a Work Plan of programmes and activities with indicative budget for a cycle of five years to be approved by the ASEAN Foreign Ministers Meeting, upon the recommendation of the Committee of Permanent Representatives to ASEAN.</w:t>
      </w:r>
    </w:p>
    <w:p w:rsidR="00BA3C65" w:rsidRPr="004107D2" w:rsidRDefault="00BA3C65" w:rsidP="004107D2">
      <w:pPr>
        <w:pStyle w:val="CM2"/>
        <w:numPr>
          <w:ilvl w:val="1"/>
          <w:numId w:val="29"/>
        </w:numPr>
        <w:spacing w:before="240" w:after="120" w:line="276" w:lineRule="auto"/>
        <w:ind w:left="540" w:hanging="540"/>
        <w:jc w:val="both"/>
        <w:rPr>
          <w:color w:val="000000"/>
          <w:sz w:val="20"/>
          <w:szCs w:val="20"/>
        </w:rPr>
      </w:pPr>
      <w:r w:rsidRPr="004107D2">
        <w:rPr>
          <w:color w:val="000000"/>
          <w:sz w:val="20"/>
          <w:szCs w:val="20"/>
        </w:rPr>
        <w:t>The AICHR shall also prepare and submit an annual budget to support high priority programmes and activities, which shall be approved by the ASEAN Foreign Ministers Meeting, upon the recommendation of the Committee of Permanent Representatives to ASEAN.</w:t>
      </w:r>
    </w:p>
    <w:p w:rsidR="00BA3C65" w:rsidRPr="004107D2" w:rsidRDefault="00BA3C65" w:rsidP="004107D2">
      <w:pPr>
        <w:pStyle w:val="CM2"/>
        <w:numPr>
          <w:ilvl w:val="1"/>
          <w:numId w:val="29"/>
        </w:numPr>
        <w:spacing w:before="240" w:after="120" w:line="276" w:lineRule="auto"/>
        <w:ind w:left="540" w:hanging="540"/>
        <w:jc w:val="both"/>
        <w:rPr>
          <w:color w:val="000000"/>
          <w:sz w:val="20"/>
          <w:szCs w:val="20"/>
        </w:rPr>
      </w:pPr>
      <w:r w:rsidRPr="004107D2">
        <w:rPr>
          <w:color w:val="000000"/>
          <w:sz w:val="20"/>
          <w:szCs w:val="20"/>
        </w:rPr>
        <w:t>The annual budget shall be funded on equal sharing basis by ASEAN Member States.</w:t>
      </w:r>
    </w:p>
    <w:p w:rsidR="00BA3C65" w:rsidRPr="004107D2" w:rsidRDefault="00BA3C65" w:rsidP="004107D2">
      <w:pPr>
        <w:pStyle w:val="CM2"/>
        <w:numPr>
          <w:ilvl w:val="1"/>
          <w:numId w:val="29"/>
        </w:numPr>
        <w:spacing w:before="240" w:after="120" w:line="276" w:lineRule="auto"/>
        <w:ind w:left="540" w:hanging="540"/>
        <w:jc w:val="both"/>
        <w:rPr>
          <w:color w:val="000000"/>
          <w:sz w:val="20"/>
          <w:szCs w:val="20"/>
        </w:rPr>
      </w:pPr>
      <w:r w:rsidRPr="004107D2">
        <w:rPr>
          <w:color w:val="000000"/>
          <w:sz w:val="20"/>
          <w:szCs w:val="20"/>
        </w:rPr>
        <w:t>The AICHR may also receive resources from any ASEAN Member States for specific extra-budgetary programmes from the Work Plan.</w:t>
      </w:r>
    </w:p>
    <w:p w:rsidR="00BA3C65" w:rsidRPr="004107D2" w:rsidRDefault="00BA3C65" w:rsidP="004107D2">
      <w:pPr>
        <w:pStyle w:val="CM2"/>
        <w:numPr>
          <w:ilvl w:val="1"/>
          <w:numId w:val="29"/>
        </w:numPr>
        <w:spacing w:before="240" w:after="120" w:line="276" w:lineRule="auto"/>
        <w:ind w:left="540" w:hanging="540"/>
        <w:jc w:val="both"/>
        <w:rPr>
          <w:color w:val="000000"/>
          <w:sz w:val="20"/>
          <w:szCs w:val="20"/>
        </w:rPr>
      </w:pPr>
      <w:r w:rsidRPr="004107D2">
        <w:rPr>
          <w:color w:val="000000"/>
          <w:sz w:val="20"/>
          <w:szCs w:val="20"/>
        </w:rPr>
        <w:t>The AICHR shall also establish an endowment fund which consists of voluntary contributions from ASEAN Member States and other sources.</w:t>
      </w:r>
    </w:p>
    <w:p w:rsidR="00BA3C65" w:rsidRPr="004107D2" w:rsidRDefault="00BA3C65" w:rsidP="004107D2">
      <w:pPr>
        <w:pStyle w:val="CM2"/>
        <w:numPr>
          <w:ilvl w:val="1"/>
          <w:numId w:val="29"/>
        </w:numPr>
        <w:spacing w:before="240" w:after="120" w:line="276" w:lineRule="auto"/>
        <w:ind w:left="540" w:hanging="540"/>
        <w:jc w:val="both"/>
        <w:rPr>
          <w:color w:val="000000"/>
          <w:sz w:val="20"/>
          <w:szCs w:val="20"/>
        </w:rPr>
      </w:pPr>
      <w:r w:rsidRPr="004107D2">
        <w:rPr>
          <w:color w:val="000000"/>
          <w:sz w:val="20"/>
          <w:szCs w:val="20"/>
        </w:rPr>
        <w:t>Funding and other resources from non-ASEAN Member States shall be solely for human rights promotion, capacity building and education.</w:t>
      </w:r>
    </w:p>
    <w:p w:rsidR="00BA3C65" w:rsidRPr="004107D2" w:rsidRDefault="00BA3C65" w:rsidP="004107D2">
      <w:pPr>
        <w:pStyle w:val="CM2"/>
        <w:numPr>
          <w:ilvl w:val="1"/>
          <w:numId w:val="29"/>
        </w:numPr>
        <w:spacing w:before="240" w:after="120" w:line="276" w:lineRule="auto"/>
        <w:ind w:left="540" w:hanging="540"/>
        <w:jc w:val="both"/>
        <w:rPr>
          <w:color w:val="000000"/>
          <w:sz w:val="20"/>
          <w:szCs w:val="20"/>
        </w:rPr>
      </w:pPr>
      <w:r w:rsidRPr="004107D2">
        <w:rPr>
          <w:color w:val="000000"/>
          <w:sz w:val="20"/>
          <w:szCs w:val="20"/>
        </w:rPr>
        <w:t>All funds used by the AICHR shall be managed and disbursed in conformity with the general financial rules of ASEAN.</w:t>
      </w:r>
    </w:p>
    <w:p w:rsidR="00BA3C65" w:rsidRPr="004107D2" w:rsidRDefault="00BA3C65" w:rsidP="004107D2">
      <w:pPr>
        <w:pStyle w:val="CM2"/>
        <w:numPr>
          <w:ilvl w:val="1"/>
          <w:numId w:val="29"/>
        </w:numPr>
        <w:spacing w:before="240" w:after="120" w:line="276" w:lineRule="auto"/>
        <w:ind w:left="540" w:hanging="540"/>
        <w:jc w:val="both"/>
        <w:rPr>
          <w:color w:val="000000"/>
          <w:sz w:val="20"/>
          <w:szCs w:val="20"/>
        </w:rPr>
      </w:pPr>
      <w:r w:rsidRPr="004107D2">
        <w:rPr>
          <w:color w:val="000000"/>
          <w:sz w:val="20"/>
          <w:szCs w:val="20"/>
        </w:rPr>
        <w:t>Secretarial support for the AICHR shall be funded by the ASEAN Secretariat’s annual operational budget.</w:t>
      </w:r>
    </w:p>
    <w:p w:rsidR="00BA3C65" w:rsidRPr="004107D2" w:rsidRDefault="004107D2" w:rsidP="00F45782">
      <w:pPr>
        <w:pStyle w:val="Heading1"/>
        <w:rPr>
          <w:rFonts w:cs="Arial"/>
          <w:sz w:val="20"/>
          <w:szCs w:val="20"/>
        </w:rPr>
      </w:pPr>
      <w:bookmarkStart w:id="59" w:name="_Toc243907469"/>
      <w:bookmarkStart w:id="60" w:name="_Toc463259310"/>
      <w:r w:rsidRPr="004107D2">
        <w:rPr>
          <w:rFonts w:cs="Arial"/>
          <w:sz w:val="20"/>
          <w:szCs w:val="20"/>
        </w:rPr>
        <w:br w:type="page"/>
      </w:r>
      <w:bookmarkStart w:id="61" w:name="_Toc26878614"/>
      <w:r w:rsidR="00BA3C65" w:rsidRPr="004107D2">
        <w:rPr>
          <w:rFonts w:cs="Arial"/>
          <w:sz w:val="20"/>
          <w:szCs w:val="20"/>
        </w:rPr>
        <w:lastRenderedPageBreak/>
        <w:t>GENERAL AND FINAL PROVISIONS</w:t>
      </w:r>
      <w:bookmarkEnd w:id="59"/>
      <w:bookmarkEnd w:id="60"/>
      <w:bookmarkEnd w:id="61"/>
    </w:p>
    <w:p w:rsidR="00BA3C65" w:rsidRPr="004107D2" w:rsidRDefault="00BA3C65" w:rsidP="004107D2">
      <w:pPr>
        <w:pStyle w:val="CM2"/>
        <w:numPr>
          <w:ilvl w:val="1"/>
          <w:numId w:val="29"/>
        </w:numPr>
        <w:spacing w:before="240" w:after="120" w:line="276" w:lineRule="auto"/>
        <w:ind w:left="540" w:hanging="540"/>
        <w:jc w:val="both"/>
        <w:rPr>
          <w:color w:val="000000"/>
          <w:sz w:val="20"/>
          <w:szCs w:val="20"/>
        </w:rPr>
      </w:pPr>
      <w:r w:rsidRPr="004107D2">
        <w:rPr>
          <w:color w:val="000000"/>
          <w:sz w:val="20"/>
          <w:szCs w:val="20"/>
        </w:rPr>
        <w:t>This TOR shall come into force upon the approval of the ASEAN Foreign Ministers Meeting.</w:t>
      </w:r>
    </w:p>
    <w:p w:rsidR="00BA3C65" w:rsidRPr="004107D2" w:rsidRDefault="00BA3C65" w:rsidP="000F183E">
      <w:pPr>
        <w:pStyle w:val="Heading2"/>
      </w:pPr>
      <w:bookmarkStart w:id="62" w:name="_Toc243907470"/>
      <w:bookmarkStart w:id="63" w:name="_Toc463259311"/>
      <w:bookmarkStart w:id="64" w:name="_Toc26878615"/>
      <w:r w:rsidRPr="004107D2">
        <w:t>Amendments</w:t>
      </w:r>
      <w:bookmarkEnd w:id="62"/>
      <w:bookmarkEnd w:id="63"/>
      <w:bookmarkEnd w:id="64"/>
    </w:p>
    <w:p w:rsidR="00BA3C65" w:rsidRPr="004107D2" w:rsidRDefault="00BA3C65" w:rsidP="004107D2">
      <w:pPr>
        <w:pStyle w:val="CM2"/>
        <w:numPr>
          <w:ilvl w:val="1"/>
          <w:numId w:val="29"/>
        </w:numPr>
        <w:spacing w:before="240" w:after="120" w:line="276" w:lineRule="auto"/>
        <w:ind w:left="540" w:hanging="540"/>
        <w:jc w:val="both"/>
        <w:rPr>
          <w:color w:val="000000"/>
          <w:sz w:val="20"/>
          <w:szCs w:val="20"/>
        </w:rPr>
      </w:pPr>
      <w:r w:rsidRPr="004107D2">
        <w:rPr>
          <w:color w:val="000000"/>
          <w:sz w:val="20"/>
          <w:szCs w:val="20"/>
        </w:rPr>
        <w:t>Any Member State may submit a formal request for an amendment of this TOR.</w:t>
      </w:r>
    </w:p>
    <w:p w:rsidR="00BA3C65" w:rsidRPr="004107D2" w:rsidRDefault="00BA3C65" w:rsidP="004107D2">
      <w:pPr>
        <w:pStyle w:val="CM2"/>
        <w:numPr>
          <w:ilvl w:val="1"/>
          <w:numId w:val="29"/>
        </w:numPr>
        <w:spacing w:before="240" w:after="120" w:line="276" w:lineRule="auto"/>
        <w:ind w:left="540" w:hanging="540"/>
        <w:jc w:val="both"/>
        <w:rPr>
          <w:color w:val="000000"/>
          <w:sz w:val="20"/>
          <w:szCs w:val="20"/>
        </w:rPr>
      </w:pPr>
      <w:r w:rsidRPr="004107D2">
        <w:rPr>
          <w:color w:val="000000"/>
          <w:sz w:val="20"/>
          <w:szCs w:val="20"/>
        </w:rPr>
        <w:t>The request for amendment shall be considered by the Committee of Permanent Representatives to ASEAN in consultation with the AICHR, and presented to the ASEAN Foreign Ministers Meeting for approval.</w:t>
      </w:r>
    </w:p>
    <w:p w:rsidR="00BA3C65" w:rsidRPr="004107D2" w:rsidRDefault="00BA3C65" w:rsidP="004107D2">
      <w:pPr>
        <w:pStyle w:val="CM2"/>
        <w:numPr>
          <w:ilvl w:val="1"/>
          <w:numId w:val="29"/>
        </w:numPr>
        <w:spacing w:before="240" w:after="120" w:line="276" w:lineRule="auto"/>
        <w:ind w:left="540" w:hanging="540"/>
        <w:jc w:val="both"/>
        <w:rPr>
          <w:color w:val="000000"/>
          <w:sz w:val="20"/>
          <w:szCs w:val="20"/>
        </w:rPr>
      </w:pPr>
      <w:r w:rsidRPr="004107D2">
        <w:rPr>
          <w:color w:val="000000"/>
          <w:sz w:val="20"/>
          <w:szCs w:val="20"/>
        </w:rPr>
        <w:t>Such amendments shall enter into force upon the approval of the ASEAN Foreign Ministers Meeting.</w:t>
      </w:r>
    </w:p>
    <w:p w:rsidR="00BA3C65" w:rsidRPr="004107D2" w:rsidRDefault="00BA3C65" w:rsidP="004107D2">
      <w:pPr>
        <w:pStyle w:val="CM2"/>
        <w:numPr>
          <w:ilvl w:val="1"/>
          <w:numId w:val="29"/>
        </w:numPr>
        <w:spacing w:before="240" w:after="120" w:line="276" w:lineRule="auto"/>
        <w:ind w:left="540" w:hanging="540"/>
        <w:jc w:val="both"/>
        <w:rPr>
          <w:color w:val="000000"/>
          <w:sz w:val="20"/>
          <w:szCs w:val="20"/>
        </w:rPr>
      </w:pPr>
      <w:r w:rsidRPr="004107D2">
        <w:rPr>
          <w:color w:val="000000"/>
          <w:sz w:val="20"/>
          <w:szCs w:val="20"/>
        </w:rPr>
        <w:t>Such amendments shall not prejudice the rights and obligations arising from or based on this TOR before or up to the date of such amendments.</w:t>
      </w:r>
    </w:p>
    <w:p w:rsidR="00BA3C65" w:rsidRPr="004107D2" w:rsidRDefault="00BA3C65" w:rsidP="000F183E">
      <w:pPr>
        <w:pStyle w:val="Heading2"/>
      </w:pPr>
      <w:bookmarkStart w:id="65" w:name="_Toc243907471"/>
      <w:bookmarkStart w:id="66" w:name="_Toc463259312"/>
      <w:bookmarkStart w:id="67" w:name="_Toc26878616"/>
      <w:r w:rsidRPr="004107D2">
        <w:t>Review</w:t>
      </w:r>
      <w:bookmarkEnd w:id="65"/>
      <w:bookmarkEnd w:id="66"/>
      <w:bookmarkEnd w:id="67"/>
    </w:p>
    <w:p w:rsidR="00BA3C65" w:rsidRPr="004107D2" w:rsidRDefault="00BA3C65" w:rsidP="004107D2">
      <w:pPr>
        <w:pStyle w:val="CM2"/>
        <w:numPr>
          <w:ilvl w:val="1"/>
          <w:numId w:val="29"/>
        </w:numPr>
        <w:spacing w:before="240" w:after="120" w:line="276" w:lineRule="auto"/>
        <w:ind w:left="540" w:hanging="540"/>
        <w:jc w:val="both"/>
        <w:rPr>
          <w:color w:val="000000"/>
          <w:sz w:val="20"/>
          <w:szCs w:val="20"/>
        </w:rPr>
      </w:pPr>
      <w:r w:rsidRPr="004107D2">
        <w:rPr>
          <w:color w:val="000000"/>
          <w:sz w:val="20"/>
          <w:szCs w:val="20"/>
        </w:rPr>
        <w:t>This TOR shall be initially reviewed five years after its entry into force. This review and subsequent reviews shall be undertaken by the ASEAN Foreign Ministers Meeting, with a view to further enhancing the promotion and protection of human rights within ASEAN.</w:t>
      </w:r>
    </w:p>
    <w:p w:rsidR="00BA3C65" w:rsidRPr="004107D2" w:rsidRDefault="00BA3C65" w:rsidP="004107D2">
      <w:pPr>
        <w:pStyle w:val="CM2"/>
        <w:numPr>
          <w:ilvl w:val="1"/>
          <w:numId w:val="29"/>
        </w:numPr>
        <w:spacing w:before="240" w:after="120" w:line="276" w:lineRule="auto"/>
        <w:ind w:left="540" w:hanging="540"/>
        <w:jc w:val="both"/>
        <w:rPr>
          <w:color w:val="000000"/>
          <w:sz w:val="20"/>
          <w:szCs w:val="20"/>
        </w:rPr>
      </w:pPr>
      <w:r w:rsidRPr="004107D2">
        <w:rPr>
          <w:color w:val="000000"/>
          <w:sz w:val="20"/>
          <w:szCs w:val="20"/>
        </w:rPr>
        <w:t>In this connection, the AICHR shall assess its work and submit recommendations for the consideration of the ASEAN Foreign Ministers Meeting on future efforts that could be undertaken in the promotion and protection of human rights within ASEAN consistent with the principles and purposes of the ASEAN Charter and this TOR.</w:t>
      </w:r>
    </w:p>
    <w:p w:rsidR="00BA3C65" w:rsidRPr="004107D2" w:rsidRDefault="00BA3C65" w:rsidP="000F183E">
      <w:pPr>
        <w:pStyle w:val="Heading2"/>
      </w:pPr>
      <w:bookmarkStart w:id="68" w:name="_Toc243907472"/>
      <w:bookmarkStart w:id="69" w:name="_Toc463259313"/>
      <w:bookmarkStart w:id="70" w:name="_Toc26878617"/>
      <w:r w:rsidRPr="004107D2">
        <w:t>Interpretation</w:t>
      </w:r>
      <w:bookmarkEnd w:id="68"/>
      <w:bookmarkEnd w:id="69"/>
      <w:bookmarkEnd w:id="70"/>
    </w:p>
    <w:p w:rsidR="00BA3C65" w:rsidRPr="004107D2" w:rsidRDefault="00BA3C65" w:rsidP="004107D2">
      <w:pPr>
        <w:pStyle w:val="CM2"/>
        <w:numPr>
          <w:ilvl w:val="1"/>
          <w:numId w:val="29"/>
        </w:numPr>
        <w:spacing w:before="240" w:after="120" w:line="276" w:lineRule="auto"/>
        <w:ind w:left="540" w:hanging="540"/>
        <w:jc w:val="both"/>
        <w:rPr>
          <w:color w:val="000000"/>
          <w:sz w:val="20"/>
          <w:szCs w:val="20"/>
        </w:rPr>
      </w:pPr>
      <w:r w:rsidRPr="004107D2">
        <w:rPr>
          <w:color w:val="000000"/>
          <w:sz w:val="20"/>
          <w:szCs w:val="20"/>
        </w:rPr>
        <w:t>Any difference concerning the interpretation of this TOR which cannot be resolved shall be referred to the ASEAN Foreign Ministers Meeting for a decision</w:t>
      </w:r>
      <w:r w:rsidR="00964D4B" w:rsidRPr="004107D2">
        <w:rPr>
          <w:color w:val="000000"/>
          <w:sz w:val="20"/>
          <w:szCs w:val="20"/>
        </w:rPr>
        <w:t>.</w:t>
      </w:r>
    </w:p>
    <w:sectPr w:rsidR="00BA3C65" w:rsidRPr="004107D2"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B24" w:rsidRDefault="00F65B24" w:rsidP="00F61B4F">
      <w:pPr>
        <w:spacing w:after="0" w:line="240" w:lineRule="auto"/>
      </w:pPr>
      <w:r>
        <w:separator/>
      </w:r>
    </w:p>
  </w:endnote>
  <w:endnote w:type="continuationSeparator" w:id="0">
    <w:p w:rsidR="00F65B24" w:rsidRDefault="00F65B24" w:rsidP="00F61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4F" w:rsidRDefault="00F61B4F" w:rsidP="00F61B4F">
    <w:pPr>
      <w:pStyle w:val="Footer"/>
      <w:tabs>
        <w:tab w:val="clear" w:pos="9360"/>
        <w:tab w:val="right" w:pos="8931"/>
      </w:tabs>
      <w:jc w:val="right"/>
    </w:pPr>
  </w:p>
  <w:p w:rsidR="00F61B4F" w:rsidRPr="00C27561" w:rsidRDefault="00F61B4F" w:rsidP="00C27561">
    <w:pPr>
      <w:pStyle w:val="Footer"/>
      <w:pBdr>
        <w:top w:val="single" w:sz="4" w:space="7" w:color="auto"/>
      </w:pBdr>
      <w:tabs>
        <w:tab w:val="clear" w:pos="9360"/>
        <w:tab w:val="right" w:pos="8931"/>
      </w:tabs>
      <w:jc w:val="both"/>
      <w:rPr>
        <w:rFonts w:ascii="Arial" w:hAnsi="Arial" w:cs="Arial"/>
        <w:color w:val="7F7F7F"/>
        <w:sz w:val="16"/>
        <w:szCs w:val="16"/>
      </w:rPr>
    </w:pPr>
    <w:r w:rsidRPr="00C27561">
      <w:rPr>
        <w:rStyle w:val="CILFooterChar"/>
      </w:rPr>
      <w:t xml:space="preserve">UNOFFICIAL TEXT · CENTRE FOR INTERNATIONAL LAW · </w:t>
    </w:r>
    <w:hyperlink r:id="rId1" w:history="1">
      <w:r w:rsidRPr="00C27561">
        <w:rPr>
          <w:rStyle w:val="CILFooterChar"/>
        </w:rPr>
        <w:t>www.cil.nus.edu.sg</w:t>
      </w:r>
    </w:hyperlink>
    <w:r w:rsidRPr="00C27561">
      <w:rPr>
        <w:rFonts w:ascii="Arial" w:hAnsi="Arial" w:cs="Arial"/>
        <w:color w:val="7F7F7F"/>
        <w:sz w:val="16"/>
        <w:szCs w:val="16"/>
      </w:rPr>
      <w:t xml:space="preserve">                           </w:t>
    </w:r>
    <w:r w:rsidRPr="00C27561">
      <w:rPr>
        <w:rFonts w:ascii="Arial" w:hAnsi="Arial" w:cs="Arial"/>
        <w:color w:val="7F7F7F"/>
        <w:sz w:val="16"/>
        <w:szCs w:val="16"/>
      </w:rPr>
      <w:tab/>
      <w:t xml:space="preserve">     Page </w:t>
    </w:r>
    <w:r w:rsidRPr="00C27561">
      <w:rPr>
        <w:rFonts w:ascii="Arial" w:hAnsi="Arial" w:cs="Arial"/>
        <w:color w:val="7F7F7F"/>
        <w:sz w:val="16"/>
        <w:szCs w:val="16"/>
      </w:rPr>
      <w:fldChar w:fldCharType="begin"/>
    </w:r>
    <w:r w:rsidRPr="00C27561">
      <w:rPr>
        <w:rFonts w:ascii="Arial" w:hAnsi="Arial" w:cs="Arial"/>
        <w:color w:val="7F7F7F"/>
        <w:sz w:val="16"/>
        <w:szCs w:val="16"/>
      </w:rPr>
      <w:instrText xml:space="preserve"> PAGE </w:instrText>
    </w:r>
    <w:r w:rsidRPr="00C27561">
      <w:rPr>
        <w:rFonts w:ascii="Arial" w:hAnsi="Arial" w:cs="Arial"/>
        <w:color w:val="7F7F7F"/>
        <w:sz w:val="16"/>
        <w:szCs w:val="16"/>
      </w:rPr>
      <w:fldChar w:fldCharType="separate"/>
    </w:r>
    <w:r w:rsidR="004107D2">
      <w:rPr>
        <w:rFonts w:ascii="Arial" w:hAnsi="Arial" w:cs="Arial"/>
        <w:noProof/>
        <w:color w:val="7F7F7F"/>
        <w:sz w:val="16"/>
        <w:szCs w:val="16"/>
      </w:rPr>
      <w:t>4</w:t>
    </w:r>
    <w:r w:rsidRPr="00C27561">
      <w:rPr>
        <w:rFonts w:ascii="Arial" w:hAnsi="Arial" w:cs="Arial"/>
        <w:color w:val="7F7F7F"/>
        <w:sz w:val="16"/>
        <w:szCs w:val="16"/>
      </w:rPr>
      <w:fldChar w:fldCharType="end"/>
    </w:r>
    <w:r w:rsidRPr="00C27561">
      <w:rPr>
        <w:rFonts w:ascii="Arial" w:hAnsi="Arial" w:cs="Arial"/>
        <w:color w:val="7F7F7F"/>
        <w:sz w:val="16"/>
        <w:szCs w:val="16"/>
      </w:rPr>
      <w:t xml:space="preserve"> of </w:t>
    </w:r>
    <w:r w:rsidRPr="00C27561">
      <w:rPr>
        <w:rFonts w:ascii="Arial" w:hAnsi="Arial" w:cs="Arial"/>
        <w:color w:val="7F7F7F"/>
        <w:sz w:val="16"/>
        <w:szCs w:val="16"/>
      </w:rPr>
      <w:fldChar w:fldCharType="begin"/>
    </w:r>
    <w:r w:rsidRPr="00C27561">
      <w:rPr>
        <w:rFonts w:ascii="Arial" w:hAnsi="Arial" w:cs="Arial"/>
        <w:color w:val="7F7F7F"/>
        <w:sz w:val="16"/>
        <w:szCs w:val="16"/>
      </w:rPr>
      <w:instrText xml:space="preserve"> NUMPAGES  </w:instrText>
    </w:r>
    <w:r w:rsidRPr="00C27561">
      <w:rPr>
        <w:rFonts w:ascii="Arial" w:hAnsi="Arial" w:cs="Arial"/>
        <w:color w:val="7F7F7F"/>
        <w:sz w:val="16"/>
        <w:szCs w:val="16"/>
      </w:rPr>
      <w:fldChar w:fldCharType="separate"/>
    </w:r>
    <w:r w:rsidR="004107D2">
      <w:rPr>
        <w:rFonts w:ascii="Arial" w:hAnsi="Arial" w:cs="Arial"/>
        <w:noProof/>
        <w:color w:val="7F7F7F"/>
        <w:sz w:val="16"/>
        <w:szCs w:val="16"/>
      </w:rPr>
      <w:t>7</w:t>
    </w:r>
    <w:r w:rsidRPr="00C27561">
      <w:rPr>
        <w:rFonts w:ascii="Arial" w:hAnsi="Arial"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4F" w:rsidRDefault="00F61B4F" w:rsidP="00F61B4F">
    <w:pPr>
      <w:pStyle w:val="Footer"/>
      <w:tabs>
        <w:tab w:val="clear" w:pos="9360"/>
        <w:tab w:val="right" w:pos="8931"/>
      </w:tabs>
      <w:jc w:val="right"/>
    </w:pPr>
  </w:p>
  <w:p w:rsidR="00F61B4F" w:rsidRPr="00EC4E1C" w:rsidRDefault="00F61B4F" w:rsidP="00EC4E1C">
    <w:pPr>
      <w:pStyle w:val="CILFooter"/>
      <w:jc w:val="both"/>
      <w:rPr>
        <w:rFonts w:ascii="Arial" w:hAnsi="Arial"/>
      </w:rPr>
    </w:pPr>
    <w:r w:rsidRPr="00EC4E1C">
      <w:rPr>
        <w:rFonts w:ascii="Arial" w:hAnsi="Arial"/>
      </w:rPr>
      <w:t xml:space="preserve">UNOFFICIAL TEXT · CENTRE FOR INTERNATIONAL LAW · </w:t>
    </w:r>
    <w:hyperlink r:id="rId1" w:history="1">
      <w:r w:rsidRPr="00EC4E1C">
        <w:rPr>
          <w:rStyle w:val="Hyperlink"/>
          <w:rFonts w:ascii="Arial" w:hAnsi="Arial"/>
          <w:color w:val="808080"/>
          <w:u w:val="none"/>
        </w:rPr>
        <w:t>www.cil.nus.edu.sg</w:t>
      </w:r>
    </w:hyperlink>
    <w:r w:rsidRPr="00EC4E1C">
      <w:rPr>
        <w:rFonts w:ascii="Arial" w:hAnsi="Arial"/>
      </w:rPr>
      <w:t xml:space="preserve">                           </w:t>
    </w:r>
    <w:r w:rsidRPr="00EC4E1C">
      <w:rPr>
        <w:rFonts w:ascii="Arial" w:hAnsi="Aria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B24" w:rsidRDefault="00F65B24" w:rsidP="00F61B4F">
      <w:pPr>
        <w:spacing w:after="0" w:line="240" w:lineRule="auto"/>
      </w:pPr>
      <w:r>
        <w:separator/>
      </w:r>
    </w:p>
  </w:footnote>
  <w:footnote w:type="continuationSeparator" w:id="0">
    <w:p w:rsidR="00F65B24" w:rsidRDefault="00F65B24" w:rsidP="00F61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4F" w:rsidRPr="00964D4B" w:rsidRDefault="00E515DB" w:rsidP="00E515DB">
    <w:pPr>
      <w:pStyle w:val="Header"/>
      <w:pBdr>
        <w:bottom w:val="single" w:sz="4" w:space="1" w:color="auto"/>
      </w:pBdr>
      <w:rPr>
        <w:rFonts w:ascii="Arial" w:hAnsi="Arial" w:cs="Arial"/>
        <w:caps/>
        <w:color w:val="808080"/>
        <w:sz w:val="16"/>
        <w:szCs w:val="16"/>
      </w:rPr>
    </w:pPr>
    <w:r>
      <w:rPr>
        <w:rFonts w:ascii="Arial" w:hAnsi="Arial" w:cs="Arial"/>
        <w:caps/>
        <w:color w:val="808080"/>
        <w:sz w:val="16"/>
        <w:szCs w:val="16"/>
      </w:rPr>
      <w:t>2009 Terms of reference of the ase</w:t>
    </w:r>
    <w:r w:rsidR="00964D4B" w:rsidRPr="00964D4B">
      <w:rPr>
        <w:rFonts w:ascii="Arial" w:hAnsi="Arial" w:cs="Arial"/>
        <w:caps/>
        <w:color w:val="808080"/>
        <w:sz w:val="16"/>
        <w:szCs w:val="16"/>
      </w:rPr>
      <w:t>an intergovernmental commission on human rights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D71"/>
    <w:multiLevelType w:val="hybridMultilevel"/>
    <w:tmpl w:val="EBC68FA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A3B2D0B"/>
    <w:multiLevelType w:val="hybridMultilevel"/>
    <w:tmpl w:val="8DE62A8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BAC0497"/>
    <w:multiLevelType w:val="hybridMultilevel"/>
    <w:tmpl w:val="25D4B02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CDC087C"/>
    <w:multiLevelType w:val="hybridMultilevel"/>
    <w:tmpl w:val="6DFCDF2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F6E29D1"/>
    <w:multiLevelType w:val="hybridMultilevel"/>
    <w:tmpl w:val="D556063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33512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965F08"/>
    <w:multiLevelType w:val="hybridMultilevel"/>
    <w:tmpl w:val="54640E7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BBD604A"/>
    <w:multiLevelType w:val="hybridMultilevel"/>
    <w:tmpl w:val="9CACF4E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0F6266E"/>
    <w:multiLevelType w:val="hybridMultilevel"/>
    <w:tmpl w:val="115EBB6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3604794"/>
    <w:multiLevelType w:val="hybridMultilevel"/>
    <w:tmpl w:val="6B4A5FF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3A24880"/>
    <w:multiLevelType w:val="multilevel"/>
    <w:tmpl w:val="F5C41E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D538DC"/>
    <w:multiLevelType w:val="hybridMultilevel"/>
    <w:tmpl w:val="DB365B5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FB156A0"/>
    <w:multiLevelType w:val="multilevel"/>
    <w:tmpl w:val="F5C41E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2954877"/>
    <w:multiLevelType w:val="hybridMultilevel"/>
    <w:tmpl w:val="8A5AFE9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67A31F3"/>
    <w:multiLevelType w:val="hybridMultilevel"/>
    <w:tmpl w:val="F91AEF50"/>
    <w:lvl w:ilvl="0" w:tplc="4809000F">
      <w:start w:val="1"/>
      <w:numFmt w:val="decimal"/>
      <w:lvlText w:val="%1."/>
      <w:lvlJc w:val="left"/>
      <w:pPr>
        <w:ind w:left="720" w:hanging="360"/>
      </w:pPr>
    </w:lvl>
    <w:lvl w:ilvl="1" w:tplc="20001A78">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7697215"/>
    <w:multiLevelType w:val="hybridMultilevel"/>
    <w:tmpl w:val="B772083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D7B1D43"/>
    <w:multiLevelType w:val="hybridMultilevel"/>
    <w:tmpl w:val="7248AEE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F72205F"/>
    <w:multiLevelType w:val="hybridMultilevel"/>
    <w:tmpl w:val="FC1C5B90"/>
    <w:lvl w:ilvl="0" w:tplc="4809000F">
      <w:start w:val="1"/>
      <w:numFmt w:val="decimal"/>
      <w:lvlText w:val="%1."/>
      <w:lvlJc w:val="left"/>
      <w:pPr>
        <w:ind w:left="720" w:hanging="360"/>
      </w:pPr>
      <w:rPr>
        <w:rFonts w:hint="default"/>
      </w:rPr>
    </w:lvl>
    <w:lvl w:ilvl="1" w:tplc="20001A78">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09E01D8"/>
    <w:multiLevelType w:val="multilevel"/>
    <w:tmpl w:val="F5C41E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208465E"/>
    <w:multiLevelType w:val="hybridMultilevel"/>
    <w:tmpl w:val="F7F05318"/>
    <w:lvl w:ilvl="0" w:tplc="04090017">
      <w:start w:val="1"/>
      <w:numFmt w:val="lowerLetter"/>
      <w:lvlText w:val="%1)"/>
      <w:lvlJc w:val="left"/>
      <w:pPr>
        <w:ind w:left="720" w:hanging="360"/>
      </w:pPr>
    </w:lvl>
    <w:lvl w:ilvl="1" w:tplc="20001A78">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9294049"/>
    <w:multiLevelType w:val="hybridMultilevel"/>
    <w:tmpl w:val="F7F05318"/>
    <w:lvl w:ilvl="0" w:tplc="04090017">
      <w:start w:val="1"/>
      <w:numFmt w:val="lowerLetter"/>
      <w:lvlText w:val="%1)"/>
      <w:lvlJc w:val="left"/>
      <w:pPr>
        <w:ind w:left="720" w:hanging="360"/>
      </w:pPr>
    </w:lvl>
    <w:lvl w:ilvl="1" w:tplc="20001A78">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2785025"/>
    <w:multiLevelType w:val="hybridMultilevel"/>
    <w:tmpl w:val="B0B218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3883535"/>
    <w:multiLevelType w:val="hybridMultilevel"/>
    <w:tmpl w:val="237A4F5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3E50CA2"/>
    <w:multiLevelType w:val="hybridMultilevel"/>
    <w:tmpl w:val="94DE8D9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CB64463"/>
    <w:multiLevelType w:val="hybridMultilevel"/>
    <w:tmpl w:val="940C062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DA346BF"/>
    <w:multiLevelType w:val="multilevel"/>
    <w:tmpl w:val="30E0664C"/>
    <w:lvl w:ilvl="0">
      <w:start w:val="1"/>
      <w:numFmt w:val="decimal"/>
      <w:pStyle w:val="Heading1"/>
      <w:lvlText w:val="%1."/>
      <w:lvlJc w:val="left"/>
      <w:pPr>
        <w:ind w:left="720" w:hanging="360"/>
      </w:pPr>
      <w:rPr>
        <w:rFonts w:hint="default"/>
      </w:rPr>
    </w:lvl>
    <w:lvl w:ilvl="1">
      <w:start w:val="1"/>
      <w:numFmt w:val="decimal"/>
      <w:isLgl/>
      <w:lvlText w:val="%1.%2"/>
      <w:lvlJc w:val="left"/>
      <w:pPr>
        <w:ind w:left="63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FF420EF"/>
    <w:multiLevelType w:val="hybridMultilevel"/>
    <w:tmpl w:val="48B4790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3C22CC8"/>
    <w:multiLevelType w:val="hybridMultilevel"/>
    <w:tmpl w:val="EAB02224"/>
    <w:lvl w:ilvl="0" w:tplc="4809000F">
      <w:start w:val="1"/>
      <w:numFmt w:val="decimal"/>
      <w:lvlText w:val="%1."/>
      <w:lvlJc w:val="left"/>
      <w:pPr>
        <w:ind w:left="720" w:hanging="360"/>
      </w:pPr>
      <w:rPr>
        <w:rFonts w:hint="default"/>
      </w:rPr>
    </w:lvl>
    <w:lvl w:ilvl="1" w:tplc="13226230">
      <w:start w:val="1"/>
      <w:numFmt w:val="lowerLetter"/>
      <w:lvlText w:val="%2)"/>
      <w:lvlJc w:val="left"/>
      <w:pPr>
        <w:ind w:left="1080" w:hanging="360"/>
      </w:pPr>
      <w:rPr>
        <w:rFonts w:hint="default"/>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79F32B19"/>
    <w:multiLevelType w:val="multilevel"/>
    <w:tmpl w:val="99D636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D8B005B"/>
    <w:multiLevelType w:val="hybridMultilevel"/>
    <w:tmpl w:val="98F8D94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2"/>
  </w:num>
  <w:num w:numId="2">
    <w:abstractNumId w:val="9"/>
  </w:num>
  <w:num w:numId="3">
    <w:abstractNumId w:val="5"/>
  </w:num>
  <w:num w:numId="4">
    <w:abstractNumId w:val="17"/>
  </w:num>
  <w:num w:numId="5">
    <w:abstractNumId w:val="14"/>
  </w:num>
  <w:num w:numId="6">
    <w:abstractNumId w:val="4"/>
  </w:num>
  <w:num w:numId="7">
    <w:abstractNumId w:val="6"/>
  </w:num>
  <w:num w:numId="8">
    <w:abstractNumId w:val="1"/>
  </w:num>
  <w:num w:numId="9">
    <w:abstractNumId w:val="27"/>
  </w:num>
  <w:num w:numId="10">
    <w:abstractNumId w:val="26"/>
  </w:num>
  <w:num w:numId="11">
    <w:abstractNumId w:val="24"/>
  </w:num>
  <w:num w:numId="12">
    <w:abstractNumId w:val="7"/>
  </w:num>
  <w:num w:numId="13">
    <w:abstractNumId w:val="16"/>
  </w:num>
  <w:num w:numId="14">
    <w:abstractNumId w:val="8"/>
  </w:num>
  <w:num w:numId="15">
    <w:abstractNumId w:val="11"/>
  </w:num>
  <w:num w:numId="16">
    <w:abstractNumId w:val="21"/>
  </w:num>
  <w:num w:numId="17">
    <w:abstractNumId w:val="23"/>
  </w:num>
  <w:num w:numId="18">
    <w:abstractNumId w:val="2"/>
  </w:num>
  <w:num w:numId="19">
    <w:abstractNumId w:val="3"/>
  </w:num>
  <w:num w:numId="20">
    <w:abstractNumId w:val="22"/>
  </w:num>
  <w:num w:numId="21">
    <w:abstractNumId w:val="15"/>
  </w:num>
  <w:num w:numId="22">
    <w:abstractNumId w:val="0"/>
  </w:num>
  <w:num w:numId="23">
    <w:abstractNumId w:val="13"/>
  </w:num>
  <w:num w:numId="24">
    <w:abstractNumId w:val="29"/>
  </w:num>
  <w:num w:numId="25">
    <w:abstractNumId w:val="18"/>
  </w:num>
  <w:num w:numId="26">
    <w:abstractNumId w:val="28"/>
  </w:num>
  <w:num w:numId="27">
    <w:abstractNumId w:val="10"/>
  </w:num>
  <w:num w:numId="28">
    <w:abstractNumId w:val="20"/>
  </w:num>
  <w:num w:numId="29">
    <w:abstractNumId w:val="2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7"/>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65"/>
    <w:rsid w:val="00000FB0"/>
    <w:rsid w:val="000043E5"/>
    <w:rsid w:val="00011723"/>
    <w:rsid w:val="00013D73"/>
    <w:rsid w:val="000173F4"/>
    <w:rsid w:val="00022AE1"/>
    <w:rsid w:val="00023AFA"/>
    <w:rsid w:val="00025831"/>
    <w:rsid w:val="000260A8"/>
    <w:rsid w:val="00032218"/>
    <w:rsid w:val="00032623"/>
    <w:rsid w:val="00032C84"/>
    <w:rsid w:val="0003432F"/>
    <w:rsid w:val="00036034"/>
    <w:rsid w:val="000362E1"/>
    <w:rsid w:val="00040670"/>
    <w:rsid w:val="00045076"/>
    <w:rsid w:val="00045F9A"/>
    <w:rsid w:val="000460FD"/>
    <w:rsid w:val="00046C7E"/>
    <w:rsid w:val="0005003E"/>
    <w:rsid w:val="00055254"/>
    <w:rsid w:val="00055923"/>
    <w:rsid w:val="00061193"/>
    <w:rsid w:val="00061B8B"/>
    <w:rsid w:val="000627D9"/>
    <w:rsid w:val="00063C84"/>
    <w:rsid w:val="0007234F"/>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0BC"/>
    <w:rsid w:val="000D31BC"/>
    <w:rsid w:val="000D6DF5"/>
    <w:rsid w:val="000D7512"/>
    <w:rsid w:val="000E1DDB"/>
    <w:rsid w:val="000E2394"/>
    <w:rsid w:val="000F183E"/>
    <w:rsid w:val="000F2D66"/>
    <w:rsid w:val="001013AD"/>
    <w:rsid w:val="0010259B"/>
    <w:rsid w:val="00102B66"/>
    <w:rsid w:val="001063A1"/>
    <w:rsid w:val="001077E4"/>
    <w:rsid w:val="00111688"/>
    <w:rsid w:val="00111A4C"/>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AA3"/>
    <w:rsid w:val="0020147F"/>
    <w:rsid w:val="002226CD"/>
    <w:rsid w:val="002238CF"/>
    <w:rsid w:val="00224582"/>
    <w:rsid w:val="00224E12"/>
    <w:rsid w:val="002251FC"/>
    <w:rsid w:val="002423B7"/>
    <w:rsid w:val="00244645"/>
    <w:rsid w:val="0025204F"/>
    <w:rsid w:val="002520E2"/>
    <w:rsid w:val="00256484"/>
    <w:rsid w:val="002566AC"/>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4607"/>
    <w:rsid w:val="003A46AB"/>
    <w:rsid w:val="003A6709"/>
    <w:rsid w:val="003B1B3D"/>
    <w:rsid w:val="003C3ABB"/>
    <w:rsid w:val="003C4214"/>
    <w:rsid w:val="003C47FA"/>
    <w:rsid w:val="003C696E"/>
    <w:rsid w:val="003C70F3"/>
    <w:rsid w:val="003D682E"/>
    <w:rsid w:val="003D6E5B"/>
    <w:rsid w:val="003E0C85"/>
    <w:rsid w:val="003E69D4"/>
    <w:rsid w:val="003F148C"/>
    <w:rsid w:val="003F1817"/>
    <w:rsid w:val="003F78BE"/>
    <w:rsid w:val="00401F7F"/>
    <w:rsid w:val="00405210"/>
    <w:rsid w:val="004107D2"/>
    <w:rsid w:val="0042164B"/>
    <w:rsid w:val="0042562D"/>
    <w:rsid w:val="00432B9B"/>
    <w:rsid w:val="004410EB"/>
    <w:rsid w:val="00445DDA"/>
    <w:rsid w:val="00452091"/>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2177"/>
    <w:rsid w:val="004F129B"/>
    <w:rsid w:val="004F21D5"/>
    <w:rsid w:val="00504C42"/>
    <w:rsid w:val="00507CA6"/>
    <w:rsid w:val="0051026B"/>
    <w:rsid w:val="00510555"/>
    <w:rsid w:val="0051224B"/>
    <w:rsid w:val="00516331"/>
    <w:rsid w:val="00522388"/>
    <w:rsid w:val="005325F9"/>
    <w:rsid w:val="00534217"/>
    <w:rsid w:val="00535BF3"/>
    <w:rsid w:val="00537A67"/>
    <w:rsid w:val="00537D81"/>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08F"/>
    <w:rsid w:val="005F5FD1"/>
    <w:rsid w:val="006056CA"/>
    <w:rsid w:val="006077DA"/>
    <w:rsid w:val="00615E91"/>
    <w:rsid w:val="00620043"/>
    <w:rsid w:val="00624B74"/>
    <w:rsid w:val="0062758C"/>
    <w:rsid w:val="00627B91"/>
    <w:rsid w:val="00642035"/>
    <w:rsid w:val="0064206B"/>
    <w:rsid w:val="00646905"/>
    <w:rsid w:val="006477C3"/>
    <w:rsid w:val="006633EA"/>
    <w:rsid w:val="00666445"/>
    <w:rsid w:val="00666A0C"/>
    <w:rsid w:val="006829B2"/>
    <w:rsid w:val="00686294"/>
    <w:rsid w:val="006878B4"/>
    <w:rsid w:val="00695153"/>
    <w:rsid w:val="006A181F"/>
    <w:rsid w:val="006A368A"/>
    <w:rsid w:val="006A5BC7"/>
    <w:rsid w:val="006B0864"/>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468AF"/>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3AA4"/>
    <w:rsid w:val="00871D6D"/>
    <w:rsid w:val="00875863"/>
    <w:rsid w:val="008761FC"/>
    <w:rsid w:val="00881E1B"/>
    <w:rsid w:val="008A2C17"/>
    <w:rsid w:val="008A3A39"/>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4D4B"/>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A0085A"/>
    <w:rsid w:val="00A03EE4"/>
    <w:rsid w:val="00A04D76"/>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90E"/>
    <w:rsid w:val="00AA6452"/>
    <w:rsid w:val="00AA6802"/>
    <w:rsid w:val="00AB26B5"/>
    <w:rsid w:val="00AB38E2"/>
    <w:rsid w:val="00AB6F60"/>
    <w:rsid w:val="00AB7A69"/>
    <w:rsid w:val="00AC1691"/>
    <w:rsid w:val="00AC1CA8"/>
    <w:rsid w:val="00AC4C08"/>
    <w:rsid w:val="00AC7F91"/>
    <w:rsid w:val="00AD44B5"/>
    <w:rsid w:val="00AE05B5"/>
    <w:rsid w:val="00AE3DEB"/>
    <w:rsid w:val="00AE6181"/>
    <w:rsid w:val="00AE64FF"/>
    <w:rsid w:val="00AF5172"/>
    <w:rsid w:val="00AF5D32"/>
    <w:rsid w:val="00B01951"/>
    <w:rsid w:val="00B05254"/>
    <w:rsid w:val="00B05F3A"/>
    <w:rsid w:val="00B0640C"/>
    <w:rsid w:val="00B14396"/>
    <w:rsid w:val="00B173B5"/>
    <w:rsid w:val="00B22684"/>
    <w:rsid w:val="00B267DC"/>
    <w:rsid w:val="00B308F2"/>
    <w:rsid w:val="00B30DEB"/>
    <w:rsid w:val="00B34B14"/>
    <w:rsid w:val="00B420A0"/>
    <w:rsid w:val="00B456B7"/>
    <w:rsid w:val="00B45912"/>
    <w:rsid w:val="00B5211D"/>
    <w:rsid w:val="00B54E3F"/>
    <w:rsid w:val="00B61944"/>
    <w:rsid w:val="00B62E0A"/>
    <w:rsid w:val="00B6351C"/>
    <w:rsid w:val="00B736A5"/>
    <w:rsid w:val="00B74778"/>
    <w:rsid w:val="00B74FC8"/>
    <w:rsid w:val="00B76163"/>
    <w:rsid w:val="00B8232C"/>
    <w:rsid w:val="00B8350D"/>
    <w:rsid w:val="00B85BB1"/>
    <w:rsid w:val="00B85DB0"/>
    <w:rsid w:val="00B96E99"/>
    <w:rsid w:val="00BA1C72"/>
    <w:rsid w:val="00BA3538"/>
    <w:rsid w:val="00BA3C65"/>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7BA5"/>
    <w:rsid w:val="00C0692C"/>
    <w:rsid w:val="00C12E92"/>
    <w:rsid w:val="00C1575D"/>
    <w:rsid w:val="00C27561"/>
    <w:rsid w:val="00C27F88"/>
    <w:rsid w:val="00C33322"/>
    <w:rsid w:val="00C3632D"/>
    <w:rsid w:val="00C436C7"/>
    <w:rsid w:val="00C4584B"/>
    <w:rsid w:val="00C479E0"/>
    <w:rsid w:val="00C539B9"/>
    <w:rsid w:val="00C55B05"/>
    <w:rsid w:val="00C55D41"/>
    <w:rsid w:val="00C573FC"/>
    <w:rsid w:val="00C60DAE"/>
    <w:rsid w:val="00C6101A"/>
    <w:rsid w:val="00C61524"/>
    <w:rsid w:val="00C617E1"/>
    <w:rsid w:val="00C666BA"/>
    <w:rsid w:val="00C66F46"/>
    <w:rsid w:val="00C73155"/>
    <w:rsid w:val="00C83600"/>
    <w:rsid w:val="00C86BF0"/>
    <w:rsid w:val="00C9065C"/>
    <w:rsid w:val="00C90B5B"/>
    <w:rsid w:val="00C91236"/>
    <w:rsid w:val="00C921EF"/>
    <w:rsid w:val="00CA21A1"/>
    <w:rsid w:val="00CA449F"/>
    <w:rsid w:val="00CA540E"/>
    <w:rsid w:val="00CA5A41"/>
    <w:rsid w:val="00CB0C6C"/>
    <w:rsid w:val="00CB2E1A"/>
    <w:rsid w:val="00CB485A"/>
    <w:rsid w:val="00CC2470"/>
    <w:rsid w:val="00CC2F8C"/>
    <w:rsid w:val="00CC535D"/>
    <w:rsid w:val="00CD2BE4"/>
    <w:rsid w:val="00CD6EC7"/>
    <w:rsid w:val="00CE31C8"/>
    <w:rsid w:val="00CE4330"/>
    <w:rsid w:val="00CE567F"/>
    <w:rsid w:val="00CE59E6"/>
    <w:rsid w:val="00CE7679"/>
    <w:rsid w:val="00CF277F"/>
    <w:rsid w:val="00CF4CBB"/>
    <w:rsid w:val="00D00ACC"/>
    <w:rsid w:val="00D07EE1"/>
    <w:rsid w:val="00D13015"/>
    <w:rsid w:val="00D133A2"/>
    <w:rsid w:val="00D13F5C"/>
    <w:rsid w:val="00D15AD4"/>
    <w:rsid w:val="00D1649F"/>
    <w:rsid w:val="00D20538"/>
    <w:rsid w:val="00D211DC"/>
    <w:rsid w:val="00D250B0"/>
    <w:rsid w:val="00D368AA"/>
    <w:rsid w:val="00D43EA3"/>
    <w:rsid w:val="00D45FAB"/>
    <w:rsid w:val="00D470FC"/>
    <w:rsid w:val="00D472FE"/>
    <w:rsid w:val="00D52236"/>
    <w:rsid w:val="00D528FE"/>
    <w:rsid w:val="00D56D91"/>
    <w:rsid w:val="00D67A09"/>
    <w:rsid w:val="00D804A1"/>
    <w:rsid w:val="00D86B2E"/>
    <w:rsid w:val="00D901BD"/>
    <w:rsid w:val="00D91710"/>
    <w:rsid w:val="00D92975"/>
    <w:rsid w:val="00DA4CF4"/>
    <w:rsid w:val="00DB3B2A"/>
    <w:rsid w:val="00DB6E09"/>
    <w:rsid w:val="00DB7B56"/>
    <w:rsid w:val="00DC27F4"/>
    <w:rsid w:val="00DC3275"/>
    <w:rsid w:val="00DC5022"/>
    <w:rsid w:val="00DC5793"/>
    <w:rsid w:val="00DD1735"/>
    <w:rsid w:val="00DD1945"/>
    <w:rsid w:val="00DD2204"/>
    <w:rsid w:val="00DD7A7D"/>
    <w:rsid w:val="00DE4868"/>
    <w:rsid w:val="00DE4917"/>
    <w:rsid w:val="00DE57D4"/>
    <w:rsid w:val="00DF3DF6"/>
    <w:rsid w:val="00DF4E11"/>
    <w:rsid w:val="00DF64FF"/>
    <w:rsid w:val="00DF72C5"/>
    <w:rsid w:val="00E005B9"/>
    <w:rsid w:val="00E03D03"/>
    <w:rsid w:val="00E13279"/>
    <w:rsid w:val="00E15214"/>
    <w:rsid w:val="00E22F62"/>
    <w:rsid w:val="00E23211"/>
    <w:rsid w:val="00E23830"/>
    <w:rsid w:val="00E2703D"/>
    <w:rsid w:val="00E36432"/>
    <w:rsid w:val="00E41649"/>
    <w:rsid w:val="00E42A9B"/>
    <w:rsid w:val="00E46A83"/>
    <w:rsid w:val="00E47C45"/>
    <w:rsid w:val="00E501FD"/>
    <w:rsid w:val="00E515DB"/>
    <w:rsid w:val="00E53F2E"/>
    <w:rsid w:val="00E71017"/>
    <w:rsid w:val="00E71AEC"/>
    <w:rsid w:val="00E80D04"/>
    <w:rsid w:val="00E82ED4"/>
    <w:rsid w:val="00E853A3"/>
    <w:rsid w:val="00E854D8"/>
    <w:rsid w:val="00E87AA3"/>
    <w:rsid w:val="00E925D7"/>
    <w:rsid w:val="00E94458"/>
    <w:rsid w:val="00EA1963"/>
    <w:rsid w:val="00EA422B"/>
    <w:rsid w:val="00EA44D0"/>
    <w:rsid w:val="00EA6B9C"/>
    <w:rsid w:val="00EC2FAE"/>
    <w:rsid w:val="00EC4E1C"/>
    <w:rsid w:val="00EC57B1"/>
    <w:rsid w:val="00ED01F1"/>
    <w:rsid w:val="00ED5238"/>
    <w:rsid w:val="00ED61BD"/>
    <w:rsid w:val="00ED6DF2"/>
    <w:rsid w:val="00EE207B"/>
    <w:rsid w:val="00EF63CD"/>
    <w:rsid w:val="00F01D85"/>
    <w:rsid w:val="00F05438"/>
    <w:rsid w:val="00F1258E"/>
    <w:rsid w:val="00F2602E"/>
    <w:rsid w:val="00F30635"/>
    <w:rsid w:val="00F306A7"/>
    <w:rsid w:val="00F30761"/>
    <w:rsid w:val="00F31524"/>
    <w:rsid w:val="00F4092C"/>
    <w:rsid w:val="00F41173"/>
    <w:rsid w:val="00F41BB1"/>
    <w:rsid w:val="00F45782"/>
    <w:rsid w:val="00F521E0"/>
    <w:rsid w:val="00F53E6A"/>
    <w:rsid w:val="00F57A3C"/>
    <w:rsid w:val="00F61B4F"/>
    <w:rsid w:val="00F63201"/>
    <w:rsid w:val="00F64335"/>
    <w:rsid w:val="00F645C0"/>
    <w:rsid w:val="00F65B24"/>
    <w:rsid w:val="00F6608A"/>
    <w:rsid w:val="00F701DD"/>
    <w:rsid w:val="00F71AE4"/>
    <w:rsid w:val="00F82FDC"/>
    <w:rsid w:val="00F8564E"/>
    <w:rsid w:val="00F86908"/>
    <w:rsid w:val="00F8738F"/>
    <w:rsid w:val="00F87BC0"/>
    <w:rsid w:val="00F97B12"/>
    <w:rsid w:val="00FA08BD"/>
    <w:rsid w:val="00FA0BDA"/>
    <w:rsid w:val="00FA1EB2"/>
    <w:rsid w:val="00FA4AD8"/>
    <w:rsid w:val="00FA4CBA"/>
    <w:rsid w:val="00FA7B32"/>
    <w:rsid w:val="00FB35F7"/>
    <w:rsid w:val="00FB4CD5"/>
    <w:rsid w:val="00FB6164"/>
    <w:rsid w:val="00FB7DF5"/>
    <w:rsid w:val="00FC45CB"/>
    <w:rsid w:val="00FC5496"/>
    <w:rsid w:val="00FD1758"/>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2F714"/>
  <w15:chartTrackingRefBased/>
  <w15:docId w15:val="{2065FDF2-08F2-4D93-823F-718D88B6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C65"/>
    <w:pPr>
      <w:spacing w:after="200" w:line="276" w:lineRule="auto"/>
    </w:pPr>
    <w:rPr>
      <w:rFonts w:eastAsia="Times New Roman"/>
      <w:sz w:val="22"/>
      <w:szCs w:val="22"/>
    </w:rPr>
  </w:style>
  <w:style w:type="paragraph" w:styleId="Heading1">
    <w:name w:val="heading 1"/>
    <w:basedOn w:val="Normal"/>
    <w:next w:val="Normal"/>
    <w:link w:val="Heading1Char"/>
    <w:autoRedefine/>
    <w:uiPriority w:val="9"/>
    <w:qFormat/>
    <w:rsid w:val="00F45782"/>
    <w:pPr>
      <w:keepNext/>
      <w:keepLines/>
      <w:numPr>
        <w:numId w:val="29"/>
      </w:numPr>
      <w:spacing w:before="240" w:after="120"/>
      <w:jc w:val="center"/>
      <w:outlineLvl w:val="0"/>
    </w:pPr>
    <w:rPr>
      <w:rFonts w:ascii="Arial" w:hAnsi="Arial"/>
      <w:b/>
      <w:bCs/>
      <w:caps/>
      <w:sz w:val="28"/>
      <w:szCs w:val="28"/>
    </w:rPr>
  </w:style>
  <w:style w:type="paragraph" w:styleId="Heading2">
    <w:name w:val="heading 2"/>
    <w:basedOn w:val="Normal"/>
    <w:next w:val="Normal"/>
    <w:link w:val="Heading2Char"/>
    <w:autoRedefine/>
    <w:uiPriority w:val="9"/>
    <w:unhideWhenUsed/>
    <w:qFormat/>
    <w:rsid w:val="000F183E"/>
    <w:pPr>
      <w:spacing w:before="240" w:after="120"/>
      <w:jc w:val="center"/>
      <w:outlineLvl w:val="1"/>
    </w:pPr>
    <w:rPr>
      <w:rFonts w:ascii="Arial" w:hAnsi="Arial" w:cs="Arial"/>
      <w:b/>
      <w:bCs/>
      <w:caps/>
      <w:sz w:val="20"/>
      <w:szCs w:val="20"/>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F45782"/>
    <w:rPr>
      <w:rFonts w:ascii="Arial" w:eastAsia="Times New Roman" w:hAnsi="Arial"/>
      <w:b/>
      <w:bCs/>
      <w:caps/>
      <w:sz w:val="28"/>
      <w:szCs w:val="28"/>
    </w:rPr>
  </w:style>
  <w:style w:type="paragraph" w:customStyle="1" w:styleId="CIL2Heading">
    <w:name w:val="CIL 2 Heading"/>
    <w:basedOn w:val="Heading2"/>
    <w:autoRedefine/>
    <w:rsid w:val="00A359D5"/>
    <w:rPr>
      <w:rFonts w:eastAsia="Batang"/>
      <w:b w:val="0"/>
      <w:iCs/>
      <w:caps w:val="0"/>
      <w:szCs w:val="28"/>
      <w:lang w:val="en-GB" w:eastAsia="ko-KR"/>
    </w:rPr>
  </w:style>
  <w:style w:type="character" w:customStyle="1" w:styleId="Heading2Char">
    <w:name w:val="Heading 2 Char"/>
    <w:link w:val="Heading2"/>
    <w:uiPriority w:val="9"/>
    <w:rsid w:val="000F183E"/>
    <w:rPr>
      <w:rFonts w:ascii="Arial" w:eastAsia="Times New Roman" w:hAnsi="Arial" w:cs="Arial"/>
      <w:b/>
      <w:bCs/>
      <w:cap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D44B5"/>
    <w:pPr>
      <w:jc w:val="center"/>
    </w:pPr>
    <w:rPr>
      <w:rFonts w:ascii="Arial" w:eastAsia="Batang" w:hAnsi="Arial" w:cs="Arial"/>
      <w:i/>
      <w:sz w:val="20"/>
      <w:szCs w:val="20"/>
      <w:lang w:val="en-GB" w:eastAsia="ko-KR"/>
    </w:rPr>
  </w:style>
  <w:style w:type="character" w:customStyle="1" w:styleId="CILSubtitleChar">
    <w:name w:val="CIL Subtitle Char"/>
    <w:link w:val="CILSubtitle"/>
    <w:rsid w:val="00AD44B5"/>
    <w:rPr>
      <w:rFonts w:ascii="Arial" w:eastAsia="Batang" w:hAnsi="Arial" w:cs="Arial"/>
      <w:i/>
      <w:lang w:eastAsia="ko-KR"/>
    </w:rPr>
  </w:style>
  <w:style w:type="paragraph" w:customStyle="1" w:styleId="CILTitle">
    <w:name w:val="CIL Title"/>
    <w:basedOn w:val="Normal"/>
    <w:autoRedefine/>
    <w:qFormat/>
    <w:rsid w:val="00AD44B5"/>
    <w:pPr>
      <w:spacing w:before="240" w:after="120"/>
      <w:jc w:val="center"/>
    </w:pPr>
    <w:rPr>
      <w:rFonts w:ascii="Arial" w:eastAsia="Batang" w:hAnsi="Arial"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4107D2"/>
    <w:pPr>
      <w:tabs>
        <w:tab w:val="left" w:pos="180"/>
        <w:tab w:val="right" w:leader="dot" w:pos="9017"/>
      </w:tabs>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after="0" w:line="240" w:lineRule="auto"/>
      <w:ind w:left="720"/>
    </w:pPr>
    <w:rPr>
      <w:rFonts w:ascii="Cambria" w:eastAsia="MS Mincho" w:hAnsi="Cambria"/>
      <w:sz w:val="24"/>
      <w:szCs w:val="24"/>
    </w:rPr>
  </w:style>
  <w:style w:type="paragraph" w:styleId="TOC5">
    <w:name w:val="toc 5"/>
    <w:basedOn w:val="Normal"/>
    <w:next w:val="Normal"/>
    <w:autoRedefine/>
    <w:uiPriority w:val="39"/>
    <w:unhideWhenUsed/>
    <w:rsid w:val="00A27F6D"/>
    <w:pPr>
      <w:spacing w:after="0" w:line="240" w:lineRule="auto"/>
      <w:ind w:left="960"/>
    </w:pPr>
    <w:rPr>
      <w:rFonts w:ascii="Cambria" w:eastAsia="MS Mincho" w:hAnsi="Cambria"/>
      <w:sz w:val="24"/>
      <w:szCs w:val="24"/>
    </w:rPr>
  </w:style>
  <w:style w:type="paragraph" w:styleId="TOC6">
    <w:name w:val="toc 6"/>
    <w:basedOn w:val="Normal"/>
    <w:next w:val="Normal"/>
    <w:autoRedefine/>
    <w:uiPriority w:val="39"/>
    <w:unhideWhenUsed/>
    <w:rsid w:val="00A27F6D"/>
    <w:pPr>
      <w:spacing w:after="0" w:line="240" w:lineRule="auto"/>
      <w:ind w:left="1200"/>
    </w:pPr>
    <w:rPr>
      <w:rFonts w:ascii="Cambria" w:eastAsia="MS Mincho" w:hAnsi="Cambria"/>
      <w:sz w:val="24"/>
      <w:szCs w:val="24"/>
    </w:rPr>
  </w:style>
  <w:style w:type="paragraph" w:styleId="TOC7">
    <w:name w:val="toc 7"/>
    <w:basedOn w:val="Normal"/>
    <w:next w:val="Normal"/>
    <w:autoRedefine/>
    <w:uiPriority w:val="39"/>
    <w:unhideWhenUsed/>
    <w:rsid w:val="00A27F6D"/>
    <w:pPr>
      <w:spacing w:after="0" w:line="240" w:lineRule="auto"/>
      <w:ind w:left="1440"/>
    </w:pPr>
    <w:rPr>
      <w:rFonts w:ascii="Cambria" w:eastAsia="MS Mincho" w:hAnsi="Cambria"/>
      <w:sz w:val="24"/>
      <w:szCs w:val="24"/>
    </w:rPr>
  </w:style>
  <w:style w:type="paragraph" w:styleId="TOC8">
    <w:name w:val="toc 8"/>
    <w:basedOn w:val="Normal"/>
    <w:next w:val="Normal"/>
    <w:autoRedefine/>
    <w:uiPriority w:val="39"/>
    <w:unhideWhenUsed/>
    <w:rsid w:val="00A27F6D"/>
    <w:pPr>
      <w:spacing w:after="0" w:line="240" w:lineRule="auto"/>
      <w:ind w:left="1680"/>
    </w:pPr>
    <w:rPr>
      <w:rFonts w:ascii="Cambria" w:eastAsia="MS Mincho" w:hAnsi="Cambria"/>
      <w:sz w:val="24"/>
      <w:szCs w:val="24"/>
    </w:rPr>
  </w:style>
  <w:style w:type="paragraph" w:styleId="TOC9">
    <w:name w:val="toc 9"/>
    <w:basedOn w:val="Normal"/>
    <w:next w:val="Normal"/>
    <w:autoRedefine/>
    <w:uiPriority w:val="39"/>
    <w:unhideWhenUsed/>
    <w:rsid w:val="00A27F6D"/>
    <w:pPr>
      <w:spacing w:after="0" w:line="240" w:lineRule="auto"/>
      <w:ind w:left="1920"/>
    </w:pPr>
    <w:rPr>
      <w:rFonts w:ascii="Cambria" w:eastAsia="MS Mincho" w:hAnsi="Cambria"/>
      <w:sz w:val="24"/>
      <w:szCs w:val="24"/>
    </w:rPr>
  </w:style>
  <w:style w:type="character" w:styleId="PageNumber">
    <w:name w:val="page number"/>
    <w:uiPriority w:val="99"/>
    <w:semiHidden/>
    <w:unhideWhenUsed/>
    <w:rsid w:val="00A27F6D"/>
  </w:style>
  <w:style w:type="paragraph" w:customStyle="1" w:styleId="Default">
    <w:name w:val="Default"/>
    <w:rsid w:val="00BA3C65"/>
    <w:pPr>
      <w:widowControl w:val="0"/>
      <w:autoSpaceDE w:val="0"/>
      <w:autoSpaceDN w:val="0"/>
      <w:adjustRightInd w:val="0"/>
    </w:pPr>
    <w:rPr>
      <w:rFonts w:ascii="Arial" w:eastAsia="Times New Roman" w:hAnsi="Arial" w:cs="Arial"/>
      <w:color w:val="000000"/>
      <w:sz w:val="24"/>
      <w:szCs w:val="24"/>
    </w:rPr>
  </w:style>
  <w:style w:type="paragraph" w:customStyle="1" w:styleId="CM10">
    <w:name w:val="CM10"/>
    <w:basedOn w:val="Default"/>
    <w:next w:val="Default"/>
    <w:uiPriority w:val="99"/>
    <w:rsid w:val="00BA3C65"/>
    <w:rPr>
      <w:color w:val="auto"/>
    </w:rPr>
  </w:style>
  <w:style w:type="paragraph" w:customStyle="1" w:styleId="CM11">
    <w:name w:val="CM11"/>
    <w:basedOn w:val="Default"/>
    <w:next w:val="Default"/>
    <w:uiPriority w:val="99"/>
    <w:rsid w:val="00BA3C65"/>
    <w:rPr>
      <w:color w:val="auto"/>
    </w:rPr>
  </w:style>
  <w:style w:type="paragraph" w:customStyle="1" w:styleId="CM2">
    <w:name w:val="CM2"/>
    <w:basedOn w:val="Default"/>
    <w:next w:val="Default"/>
    <w:uiPriority w:val="99"/>
    <w:rsid w:val="00BA3C65"/>
    <w:pPr>
      <w:spacing w:line="371" w:lineRule="atLeast"/>
    </w:pPr>
    <w:rPr>
      <w:color w:val="auto"/>
    </w:rPr>
  </w:style>
  <w:style w:type="paragraph" w:customStyle="1" w:styleId="CM12">
    <w:name w:val="CM12"/>
    <w:basedOn w:val="Default"/>
    <w:next w:val="Default"/>
    <w:uiPriority w:val="99"/>
    <w:rsid w:val="00BA3C65"/>
    <w:rPr>
      <w:color w:val="auto"/>
    </w:rPr>
  </w:style>
  <w:style w:type="paragraph" w:customStyle="1" w:styleId="CM3">
    <w:name w:val="CM3"/>
    <w:basedOn w:val="Default"/>
    <w:next w:val="Default"/>
    <w:uiPriority w:val="99"/>
    <w:rsid w:val="00BA3C65"/>
    <w:pPr>
      <w:spacing w:line="373" w:lineRule="atLeast"/>
    </w:pPr>
    <w:rPr>
      <w:color w:val="auto"/>
    </w:rPr>
  </w:style>
  <w:style w:type="paragraph" w:customStyle="1" w:styleId="CM16">
    <w:name w:val="CM16"/>
    <w:basedOn w:val="Default"/>
    <w:next w:val="Default"/>
    <w:uiPriority w:val="99"/>
    <w:rsid w:val="00BA3C65"/>
    <w:rPr>
      <w:color w:val="auto"/>
    </w:rPr>
  </w:style>
  <w:style w:type="paragraph" w:customStyle="1" w:styleId="CM5">
    <w:name w:val="CM5"/>
    <w:basedOn w:val="Default"/>
    <w:next w:val="Default"/>
    <w:uiPriority w:val="99"/>
    <w:rsid w:val="00BA3C65"/>
    <w:pPr>
      <w:spacing w:line="323" w:lineRule="atLeast"/>
    </w:pPr>
    <w:rPr>
      <w:color w:val="auto"/>
    </w:rPr>
  </w:style>
  <w:style w:type="paragraph" w:customStyle="1" w:styleId="CM13">
    <w:name w:val="CM13"/>
    <w:basedOn w:val="Default"/>
    <w:next w:val="Default"/>
    <w:uiPriority w:val="99"/>
    <w:rsid w:val="00BA3C65"/>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1D668-F105-4AE9-866B-BE14B694D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7</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14301</CharactersWithSpaces>
  <SharedDoc>false</SharedDoc>
  <HLinks>
    <vt:vector size="150" baseType="variant">
      <vt:variant>
        <vt:i4>1376306</vt:i4>
      </vt:variant>
      <vt:variant>
        <vt:i4>134</vt:i4>
      </vt:variant>
      <vt:variant>
        <vt:i4>0</vt:i4>
      </vt:variant>
      <vt:variant>
        <vt:i4>5</vt:i4>
      </vt:variant>
      <vt:variant>
        <vt:lpwstr/>
      </vt:variant>
      <vt:variant>
        <vt:lpwstr>_Toc464555740</vt:lpwstr>
      </vt:variant>
      <vt:variant>
        <vt:i4>1179698</vt:i4>
      </vt:variant>
      <vt:variant>
        <vt:i4>128</vt:i4>
      </vt:variant>
      <vt:variant>
        <vt:i4>0</vt:i4>
      </vt:variant>
      <vt:variant>
        <vt:i4>5</vt:i4>
      </vt:variant>
      <vt:variant>
        <vt:lpwstr/>
      </vt:variant>
      <vt:variant>
        <vt:lpwstr>_Toc464555739</vt:lpwstr>
      </vt:variant>
      <vt:variant>
        <vt:i4>1179698</vt:i4>
      </vt:variant>
      <vt:variant>
        <vt:i4>122</vt:i4>
      </vt:variant>
      <vt:variant>
        <vt:i4>0</vt:i4>
      </vt:variant>
      <vt:variant>
        <vt:i4>5</vt:i4>
      </vt:variant>
      <vt:variant>
        <vt:lpwstr/>
      </vt:variant>
      <vt:variant>
        <vt:lpwstr>_Toc464555738</vt:lpwstr>
      </vt:variant>
      <vt:variant>
        <vt:i4>1179698</vt:i4>
      </vt:variant>
      <vt:variant>
        <vt:i4>116</vt:i4>
      </vt:variant>
      <vt:variant>
        <vt:i4>0</vt:i4>
      </vt:variant>
      <vt:variant>
        <vt:i4>5</vt:i4>
      </vt:variant>
      <vt:variant>
        <vt:lpwstr/>
      </vt:variant>
      <vt:variant>
        <vt:lpwstr>_Toc464555737</vt:lpwstr>
      </vt:variant>
      <vt:variant>
        <vt:i4>1179698</vt:i4>
      </vt:variant>
      <vt:variant>
        <vt:i4>110</vt:i4>
      </vt:variant>
      <vt:variant>
        <vt:i4>0</vt:i4>
      </vt:variant>
      <vt:variant>
        <vt:i4>5</vt:i4>
      </vt:variant>
      <vt:variant>
        <vt:lpwstr/>
      </vt:variant>
      <vt:variant>
        <vt:lpwstr>_Toc464555736</vt:lpwstr>
      </vt:variant>
      <vt:variant>
        <vt:i4>1179698</vt:i4>
      </vt:variant>
      <vt:variant>
        <vt:i4>104</vt:i4>
      </vt:variant>
      <vt:variant>
        <vt:i4>0</vt:i4>
      </vt:variant>
      <vt:variant>
        <vt:i4>5</vt:i4>
      </vt:variant>
      <vt:variant>
        <vt:lpwstr/>
      </vt:variant>
      <vt:variant>
        <vt:lpwstr>_Toc464555735</vt:lpwstr>
      </vt:variant>
      <vt:variant>
        <vt:i4>1179698</vt:i4>
      </vt:variant>
      <vt:variant>
        <vt:i4>98</vt:i4>
      </vt:variant>
      <vt:variant>
        <vt:i4>0</vt:i4>
      </vt:variant>
      <vt:variant>
        <vt:i4>5</vt:i4>
      </vt:variant>
      <vt:variant>
        <vt:lpwstr/>
      </vt:variant>
      <vt:variant>
        <vt:lpwstr>_Toc464555734</vt:lpwstr>
      </vt:variant>
      <vt:variant>
        <vt:i4>1179698</vt:i4>
      </vt:variant>
      <vt:variant>
        <vt:i4>92</vt:i4>
      </vt:variant>
      <vt:variant>
        <vt:i4>0</vt:i4>
      </vt:variant>
      <vt:variant>
        <vt:i4>5</vt:i4>
      </vt:variant>
      <vt:variant>
        <vt:lpwstr/>
      </vt:variant>
      <vt:variant>
        <vt:lpwstr>_Toc464555733</vt:lpwstr>
      </vt:variant>
      <vt:variant>
        <vt:i4>1179698</vt:i4>
      </vt:variant>
      <vt:variant>
        <vt:i4>86</vt:i4>
      </vt:variant>
      <vt:variant>
        <vt:i4>0</vt:i4>
      </vt:variant>
      <vt:variant>
        <vt:i4>5</vt:i4>
      </vt:variant>
      <vt:variant>
        <vt:lpwstr/>
      </vt:variant>
      <vt:variant>
        <vt:lpwstr>_Toc464555732</vt:lpwstr>
      </vt:variant>
      <vt:variant>
        <vt:i4>1179698</vt:i4>
      </vt:variant>
      <vt:variant>
        <vt:i4>80</vt:i4>
      </vt:variant>
      <vt:variant>
        <vt:i4>0</vt:i4>
      </vt:variant>
      <vt:variant>
        <vt:i4>5</vt:i4>
      </vt:variant>
      <vt:variant>
        <vt:lpwstr/>
      </vt:variant>
      <vt:variant>
        <vt:lpwstr>_Toc464555731</vt:lpwstr>
      </vt:variant>
      <vt:variant>
        <vt:i4>1179698</vt:i4>
      </vt:variant>
      <vt:variant>
        <vt:i4>74</vt:i4>
      </vt:variant>
      <vt:variant>
        <vt:i4>0</vt:i4>
      </vt:variant>
      <vt:variant>
        <vt:i4>5</vt:i4>
      </vt:variant>
      <vt:variant>
        <vt:lpwstr/>
      </vt:variant>
      <vt:variant>
        <vt:lpwstr>_Toc464555730</vt:lpwstr>
      </vt:variant>
      <vt:variant>
        <vt:i4>1245234</vt:i4>
      </vt:variant>
      <vt:variant>
        <vt:i4>68</vt:i4>
      </vt:variant>
      <vt:variant>
        <vt:i4>0</vt:i4>
      </vt:variant>
      <vt:variant>
        <vt:i4>5</vt:i4>
      </vt:variant>
      <vt:variant>
        <vt:lpwstr/>
      </vt:variant>
      <vt:variant>
        <vt:lpwstr>_Toc464555729</vt:lpwstr>
      </vt:variant>
      <vt:variant>
        <vt:i4>1245234</vt:i4>
      </vt:variant>
      <vt:variant>
        <vt:i4>62</vt:i4>
      </vt:variant>
      <vt:variant>
        <vt:i4>0</vt:i4>
      </vt:variant>
      <vt:variant>
        <vt:i4>5</vt:i4>
      </vt:variant>
      <vt:variant>
        <vt:lpwstr/>
      </vt:variant>
      <vt:variant>
        <vt:lpwstr>_Toc464555728</vt:lpwstr>
      </vt:variant>
      <vt:variant>
        <vt:i4>1245234</vt:i4>
      </vt:variant>
      <vt:variant>
        <vt:i4>56</vt:i4>
      </vt:variant>
      <vt:variant>
        <vt:i4>0</vt:i4>
      </vt:variant>
      <vt:variant>
        <vt:i4>5</vt:i4>
      </vt:variant>
      <vt:variant>
        <vt:lpwstr/>
      </vt:variant>
      <vt:variant>
        <vt:lpwstr>_Toc464555727</vt:lpwstr>
      </vt:variant>
      <vt:variant>
        <vt:i4>1245234</vt:i4>
      </vt:variant>
      <vt:variant>
        <vt:i4>50</vt:i4>
      </vt:variant>
      <vt:variant>
        <vt:i4>0</vt:i4>
      </vt:variant>
      <vt:variant>
        <vt:i4>5</vt:i4>
      </vt:variant>
      <vt:variant>
        <vt:lpwstr/>
      </vt:variant>
      <vt:variant>
        <vt:lpwstr>_Toc464555726</vt:lpwstr>
      </vt:variant>
      <vt:variant>
        <vt:i4>1245234</vt:i4>
      </vt:variant>
      <vt:variant>
        <vt:i4>44</vt:i4>
      </vt:variant>
      <vt:variant>
        <vt:i4>0</vt:i4>
      </vt:variant>
      <vt:variant>
        <vt:i4>5</vt:i4>
      </vt:variant>
      <vt:variant>
        <vt:lpwstr/>
      </vt:variant>
      <vt:variant>
        <vt:lpwstr>_Toc464555725</vt:lpwstr>
      </vt:variant>
      <vt:variant>
        <vt:i4>1245234</vt:i4>
      </vt:variant>
      <vt:variant>
        <vt:i4>38</vt:i4>
      </vt:variant>
      <vt:variant>
        <vt:i4>0</vt:i4>
      </vt:variant>
      <vt:variant>
        <vt:i4>5</vt:i4>
      </vt:variant>
      <vt:variant>
        <vt:lpwstr/>
      </vt:variant>
      <vt:variant>
        <vt:lpwstr>_Toc464555724</vt:lpwstr>
      </vt:variant>
      <vt:variant>
        <vt:i4>1245234</vt:i4>
      </vt:variant>
      <vt:variant>
        <vt:i4>32</vt:i4>
      </vt:variant>
      <vt:variant>
        <vt:i4>0</vt:i4>
      </vt:variant>
      <vt:variant>
        <vt:i4>5</vt:i4>
      </vt:variant>
      <vt:variant>
        <vt:lpwstr/>
      </vt:variant>
      <vt:variant>
        <vt:lpwstr>_Toc464555723</vt:lpwstr>
      </vt:variant>
      <vt:variant>
        <vt:i4>1245234</vt:i4>
      </vt:variant>
      <vt:variant>
        <vt:i4>26</vt:i4>
      </vt:variant>
      <vt:variant>
        <vt:i4>0</vt:i4>
      </vt:variant>
      <vt:variant>
        <vt:i4>5</vt:i4>
      </vt:variant>
      <vt:variant>
        <vt:lpwstr/>
      </vt:variant>
      <vt:variant>
        <vt:lpwstr>_Toc464555722</vt:lpwstr>
      </vt:variant>
      <vt:variant>
        <vt:i4>1245234</vt:i4>
      </vt:variant>
      <vt:variant>
        <vt:i4>20</vt:i4>
      </vt:variant>
      <vt:variant>
        <vt:i4>0</vt:i4>
      </vt:variant>
      <vt:variant>
        <vt:i4>5</vt:i4>
      </vt:variant>
      <vt:variant>
        <vt:lpwstr/>
      </vt:variant>
      <vt:variant>
        <vt:lpwstr>_Toc464555721</vt:lpwstr>
      </vt:variant>
      <vt:variant>
        <vt:i4>1245234</vt:i4>
      </vt:variant>
      <vt:variant>
        <vt:i4>14</vt:i4>
      </vt:variant>
      <vt:variant>
        <vt:i4>0</vt:i4>
      </vt:variant>
      <vt:variant>
        <vt:i4>5</vt:i4>
      </vt:variant>
      <vt:variant>
        <vt:lpwstr/>
      </vt:variant>
      <vt:variant>
        <vt:lpwstr>_Toc464555720</vt:lpwstr>
      </vt:variant>
      <vt:variant>
        <vt:i4>1048626</vt:i4>
      </vt:variant>
      <vt:variant>
        <vt:i4>8</vt:i4>
      </vt:variant>
      <vt:variant>
        <vt:i4>0</vt:i4>
      </vt:variant>
      <vt:variant>
        <vt:i4>5</vt:i4>
      </vt:variant>
      <vt:variant>
        <vt:lpwstr/>
      </vt:variant>
      <vt:variant>
        <vt:lpwstr>_Toc464555719</vt:lpwstr>
      </vt:variant>
      <vt:variant>
        <vt:i4>1048626</vt:i4>
      </vt:variant>
      <vt:variant>
        <vt:i4>2</vt:i4>
      </vt:variant>
      <vt:variant>
        <vt:i4>0</vt:i4>
      </vt:variant>
      <vt:variant>
        <vt:i4>5</vt:i4>
      </vt:variant>
      <vt:variant>
        <vt:lpwstr/>
      </vt:variant>
      <vt:variant>
        <vt:lpwstr>_Toc464555718</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dcterms:created xsi:type="dcterms:W3CDTF">2019-12-10T05:59:00Z</dcterms:created>
  <dcterms:modified xsi:type="dcterms:W3CDTF">2019-12-10T05:59:00Z</dcterms:modified>
</cp:coreProperties>
</file>