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4F" w:rsidRDefault="00707BF0" w:rsidP="00876304">
      <w:pPr>
        <w:pStyle w:val="CILTitle"/>
      </w:pPr>
      <w:r>
        <w:t>2009 Memorandum of Understanding between the secretariat of the association of southeast Asian nations and the secretariat general of the cooperation council for the arab states of the gulf</w:t>
      </w:r>
    </w:p>
    <w:p w:rsidR="00707BF0" w:rsidRDefault="00707BF0" w:rsidP="00876304">
      <w:pPr>
        <w:pStyle w:val="CILSubtitle"/>
      </w:pPr>
      <w:r>
        <w:t>Signed in Manama, Kingdom of Bahrain on 30 June 2009</w:t>
      </w:r>
    </w:p>
    <w:p w:rsidR="00707BF0" w:rsidRDefault="00707BF0" w:rsidP="00876304">
      <w:r>
        <w:t>The Secretariat of the Association of Southeast Asian Nations, hereinafter referred to as "the ASEAN Secretariat", represented by the Secretary-General of the Association of Southeast Asian Nations, of the part one</w:t>
      </w:r>
      <w:r w:rsidR="00957D37">
        <w:rPr>
          <w:rStyle w:val="FootnoteReference"/>
        </w:rPr>
        <w:footnoteReference w:id="1"/>
      </w:r>
    </w:p>
    <w:p w:rsidR="00707BF0" w:rsidRDefault="00707BF0" w:rsidP="00957D37">
      <w:pPr>
        <w:jc w:val="center"/>
      </w:pPr>
      <w:r>
        <w:t>And</w:t>
      </w:r>
    </w:p>
    <w:p w:rsidR="00707BF0" w:rsidRDefault="00707BF0" w:rsidP="00876304">
      <w:r>
        <w:t>The Secretariat General of the Cooperation Council for the Arab States of the Gulf, hereinafter referred to as "the GCC Secretariat General", represented by the Secretary-General of the Gulf Cooperation Council, of the other part</w:t>
      </w:r>
    </w:p>
    <w:p w:rsidR="00707BF0" w:rsidRDefault="00707BF0" w:rsidP="00876304">
      <w:r>
        <w:t>DESIRING to take measures for cooperation and collaboration between the two Secretariats in the various fields;</w:t>
      </w:r>
    </w:p>
    <w:p w:rsidR="00707BF0" w:rsidRDefault="00707BF0" w:rsidP="00876304">
      <w:r>
        <w:t>RESPECTING the purposes and principles of ASEAN and GCC as set out in the ASEAN Charter and the Charter of the GCC;</w:t>
      </w:r>
    </w:p>
    <w:p w:rsidR="00707BF0" w:rsidRDefault="00707BF0" w:rsidP="00957D37">
      <w:pPr>
        <w:jc w:val="center"/>
      </w:pPr>
      <w:r>
        <w:t>And</w:t>
      </w:r>
    </w:p>
    <w:p w:rsidR="00707BF0" w:rsidRDefault="00707BF0" w:rsidP="00876304">
      <w:r>
        <w:t>REALIZING the need to enable a more effective and mutually beneficial cooperation between ASEAN and GCC;</w:t>
      </w:r>
    </w:p>
    <w:p w:rsidR="00707BF0" w:rsidRDefault="00707BF0" w:rsidP="00876304">
      <w:r>
        <w:t>RECOGNISING that this Memorandum of Understanding will not be legally binding under the International law;</w:t>
      </w:r>
    </w:p>
    <w:p w:rsidR="00707BF0" w:rsidRDefault="00707BF0" w:rsidP="00957D37">
      <w:pPr>
        <w:jc w:val="center"/>
      </w:pPr>
      <w:r>
        <w:t>Have reached the following understanding:</w:t>
      </w:r>
    </w:p>
    <w:p w:rsidR="00707BF0" w:rsidRDefault="00707BF0" w:rsidP="00876304">
      <w:pPr>
        <w:pStyle w:val="Heading1"/>
        <w:spacing w:after="120"/>
      </w:pPr>
      <w:r>
        <w:t xml:space="preserve">SECTION I </w:t>
      </w:r>
      <w:r w:rsidR="003F222C">
        <w:br/>
      </w:r>
      <w:r>
        <w:t>AREAS OF COOPERATION</w:t>
      </w:r>
    </w:p>
    <w:p w:rsidR="00707BF0" w:rsidRDefault="00707BF0" w:rsidP="00876304">
      <w:r>
        <w:t>The ASEAN Secretariat and the GCC Secretariat General shall through exchange of information, best practices and experiences initially cooperate in the following areas;</w:t>
      </w:r>
    </w:p>
    <w:p w:rsidR="00707BF0" w:rsidRDefault="00707BF0" w:rsidP="00876304">
      <w:pPr>
        <w:pStyle w:val="ListParagraph"/>
        <w:numPr>
          <w:ilvl w:val="0"/>
          <w:numId w:val="2"/>
        </w:numPr>
        <w:ind w:left="1134" w:hanging="425"/>
        <w:contextualSpacing w:val="0"/>
      </w:pPr>
      <w:r>
        <w:t>Trade and Investment;</w:t>
      </w:r>
    </w:p>
    <w:p w:rsidR="00707BF0" w:rsidRDefault="00707BF0" w:rsidP="00876304">
      <w:pPr>
        <w:pStyle w:val="ListParagraph"/>
        <w:numPr>
          <w:ilvl w:val="0"/>
          <w:numId w:val="2"/>
        </w:numPr>
        <w:ind w:left="1134" w:hanging="425"/>
        <w:contextualSpacing w:val="0"/>
      </w:pPr>
      <w:r>
        <w:t>Food security;</w:t>
      </w:r>
    </w:p>
    <w:p w:rsidR="00707BF0" w:rsidRDefault="00707BF0" w:rsidP="00876304">
      <w:pPr>
        <w:pStyle w:val="ListParagraph"/>
        <w:numPr>
          <w:ilvl w:val="0"/>
          <w:numId w:val="2"/>
        </w:numPr>
        <w:ind w:left="1134" w:hanging="425"/>
        <w:contextualSpacing w:val="0"/>
      </w:pPr>
      <w:r>
        <w:t>Tourism; and</w:t>
      </w:r>
    </w:p>
    <w:p w:rsidR="00707BF0" w:rsidRDefault="00707BF0" w:rsidP="00876304">
      <w:pPr>
        <w:pStyle w:val="ListParagraph"/>
        <w:numPr>
          <w:ilvl w:val="0"/>
          <w:numId w:val="2"/>
        </w:numPr>
        <w:ind w:left="1134" w:hanging="425"/>
        <w:contextualSpacing w:val="0"/>
      </w:pPr>
      <w:r>
        <w:t>Energy.</w:t>
      </w:r>
    </w:p>
    <w:p w:rsidR="00707BF0" w:rsidRDefault="00707BF0" w:rsidP="003F222C">
      <w:pPr>
        <w:jc w:val="left"/>
      </w:pPr>
      <w:r>
        <w:lastRenderedPageBreak/>
        <w:t>The two sides may in the future add any other fields of cooperation that has consulted with the Memb</w:t>
      </w:r>
      <w:r w:rsidR="003F222C">
        <w:t>er States of each organization.</w:t>
      </w:r>
    </w:p>
    <w:p w:rsidR="00707BF0" w:rsidRDefault="00707BF0" w:rsidP="00876304">
      <w:pPr>
        <w:pStyle w:val="Heading1"/>
        <w:spacing w:after="120"/>
      </w:pPr>
      <w:r>
        <w:t xml:space="preserve">SECTION II </w:t>
      </w:r>
      <w:r w:rsidR="003F222C">
        <w:br/>
      </w:r>
      <w:r>
        <w:t>METHODS OF COOPERATION</w:t>
      </w:r>
    </w:p>
    <w:p w:rsidR="00707BF0" w:rsidRDefault="00707BF0" w:rsidP="00957D37">
      <w:pPr>
        <w:pStyle w:val="ListParagraph"/>
        <w:numPr>
          <w:ilvl w:val="0"/>
          <w:numId w:val="4"/>
        </w:numPr>
        <w:ind w:left="360" w:hanging="357"/>
        <w:contextualSpacing w:val="0"/>
      </w:pPr>
      <w:r>
        <w:t>The ASEAN Secretariat and the GCC Secretariat General shall draft a Work Plan to implement the above-mentioned areas of cooperation.</w:t>
      </w:r>
    </w:p>
    <w:p w:rsidR="00707BF0" w:rsidRDefault="00707BF0" w:rsidP="00957D37">
      <w:pPr>
        <w:pStyle w:val="ListParagraph"/>
        <w:numPr>
          <w:ilvl w:val="0"/>
          <w:numId w:val="4"/>
        </w:numPr>
        <w:ind w:left="360" w:hanging="357"/>
        <w:contextualSpacing w:val="0"/>
      </w:pPr>
      <w:r>
        <w:t>The Secretary-General of the Association of Southeast Asian Nations and the Secretary-General of the Gulf Cooperation Council agree to undertake yearly consultations, or as and when necessary, at the Secretariats of the two organizations alternately.</w:t>
      </w:r>
    </w:p>
    <w:p w:rsidR="00707BF0" w:rsidRDefault="00707BF0" w:rsidP="00957D37">
      <w:pPr>
        <w:pStyle w:val="ListParagraph"/>
        <w:numPr>
          <w:ilvl w:val="0"/>
          <w:numId w:val="4"/>
        </w:numPr>
        <w:ind w:left="360" w:hanging="357"/>
        <w:contextualSpacing w:val="0"/>
      </w:pPr>
      <w:r>
        <w:t>Any further specific technical and sectoral cooperation shall be accommodated by supplementary Exchange of Letters between the two Secretariats as mutually agreed upon.</w:t>
      </w:r>
    </w:p>
    <w:p w:rsidR="00707BF0" w:rsidRDefault="00707BF0" w:rsidP="00876304">
      <w:pPr>
        <w:pStyle w:val="Heading1"/>
        <w:spacing w:after="120"/>
      </w:pPr>
      <w:r>
        <w:t xml:space="preserve">SECTION III </w:t>
      </w:r>
      <w:r w:rsidR="003F222C">
        <w:br/>
      </w:r>
      <w:r>
        <w:t>SETTLEMENT OF DISPUTE</w:t>
      </w:r>
    </w:p>
    <w:p w:rsidR="00707BF0" w:rsidRDefault="00707BF0" w:rsidP="00876304">
      <w:r>
        <w:t>Any difference or dispute arising from the interpretation or implementation of this MOU will be settled amicably by consultation or negotiation between the ASEAN Secretariat and the GCC Secretariat General.</w:t>
      </w:r>
    </w:p>
    <w:p w:rsidR="00707BF0" w:rsidRDefault="00707BF0" w:rsidP="00876304">
      <w:pPr>
        <w:pStyle w:val="Heading1"/>
        <w:spacing w:after="120"/>
      </w:pPr>
      <w:r>
        <w:t xml:space="preserve">SECTION IV </w:t>
      </w:r>
      <w:r w:rsidR="003F222C">
        <w:br/>
      </w:r>
      <w:r>
        <w:t>AMENDMENT</w:t>
      </w:r>
    </w:p>
    <w:p w:rsidR="00707BF0" w:rsidRDefault="00707BF0" w:rsidP="00876304">
      <w:r>
        <w:t>This MOU may be amended by written consent of the ASEAN Secretariat and the GCC Secretariat General.</w:t>
      </w:r>
    </w:p>
    <w:p w:rsidR="00707BF0" w:rsidRDefault="00707BF0" w:rsidP="00876304">
      <w:pPr>
        <w:pStyle w:val="Heading1"/>
        <w:spacing w:after="120"/>
      </w:pPr>
      <w:r>
        <w:t xml:space="preserve">SECTION V </w:t>
      </w:r>
      <w:r w:rsidR="003F222C">
        <w:br/>
      </w:r>
      <w:r>
        <w:t>FINAL PROVISIONS</w:t>
      </w:r>
    </w:p>
    <w:p w:rsidR="00707BF0" w:rsidRDefault="00707BF0" w:rsidP="00957D37">
      <w:pPr>
        <w:pStyle w:val="ListParagraph"/>
        <w:numPr>
          <w:ilvl w:val="0"/>
          <w:numId w:val="6"/>
        </w:numPr>
        <w:ind w:left="360" w:hanging="357"/>
        <w:contextualSpacing w:val="0"/>
      </w:pPr>
      <w:r>
        <w:t>This MOU will be regarded as an administrative arrangement between the ASEAN Secretariat and the GCC Secretariat General.</w:t>
      </w:r>
    </w:p>
    <w:p w:rsidR="00707BF0" w:rsidRDefault="00707BF0" w:rsidP="00957D37">
      <w:pPr>
        <w:pStyle w:val="ListParagraph"/>
        <w:numPr>
          <w:ilvl w:val="0"/>
          <w:numId w:val="6"/>
        </w:numPr>
        <w:ind w:left="360" w:hanging="357"/>
        <w:contextualSpacing w:val="0"/>
      </w:pPr>
      <w:r>
        <w:t>The ASEAN Secretariat and the GCC Secretariat General will implement this MOU in conformity with their respective regulations, rules and administrative practices.</w:t>
      </w:r>
    </w:p>
    <w:p w:rsidR="00957D37" w:rsidRDefault="00957D37" w:rsidP="00876304"/>
    <w:p w:rsidR="00707BF0" w:rsidRDefault="00707BF0" w:rsidP="00876304">
      <w:r>
        <w:t>SIGNED in Manama, Kingdom of Bahrain, on the 30th of June 2009, in two original copies in the Arabic and English languages, all texts being equally authentic.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23"/>
      </w:tblGrid>
      <w:tr w:rsidR="00957D37" w:rsidTr="00967C3A">
        <w:tc>
          <w:tcPr>
            <w:tcW w:w="4504" w:type="dxa"/>
          </w:tcPr>
          <w:p w:rsidR="00957D37" w:rsidRDefault="00957D37" w:rsidP="00957D37">
            <w:pPr>
              <w:spacing w:line="240" w:lineRule="auto"/>
              <w:jc w:val="center"/>
            </w:pPr>
            <w:r w:rsidRPr="00707BF0">
              <w:rPr>
                <w:b/>
              </w:rPr>
              <w:t>DR. SURIN PITSUWAN</w:t>
            </w:r>
          </w:p>
          <w:p w:rsidR="00957D37" w:rsidRDefault="00957D37" w:rsidP="00957D37">
            <w:pPr>
              <w:spacing w:line="240" w:lineRule="auto"/>
              <w:jc w:val="center"/>
            </w:pPr>
            <w:r>
              <w:t>Secretary-General of ASEAN</w:t>
            </w:r>
          </w:p>
          <w:p w:rsidR="00957D37" w:rsidRDefault="00957D37" w:rsidP="00957D37">
            <w:pPr>
              <w:spacing w:line="240" w:lineRule="auto"/>
              <w:jc w:val="center"/>
            </w:pPr>
          </w:p>
        </w:tc>
        <w:tc>
          <w:tcPr>
            <w:tcW w:w="4523" w:type="dxa"/>
          </w:tcPr>
          <w:p w:rsidR="00957D37" w:rsidRDefault="00957D37" w:rsidP="00957D37">
            <w:pPr>
              <w:spacing w:line="240" w:lineRule="auto"/>
              <w:jc w:val="center"/>
            </w:pPr>
            <w:r w:rsidRPr="00707BF0">
              <w:rPr>
                <w:b/>
              </w:rPr>
              <w:t>ABDULRAHMAN H. AL-ATTIYAH</w:t>
            </w:r>
          </w:p>
          <w:p w:rsidR="00957D37" w:rsidRPr="009C1F90" w:rsidRDefault="00957D37" w:rsidP="00957D37">
            <w:pPr>
              <w:spacing w:line="240" w:lineRule="auto"/>
              <w:jc w:val="center"/>
            </w:pPr>
            <w:r>
              <w:t>Secretary-General of GCC</w:t>
            </w:r>
          </w:p>
          <w:p w:rsidR="00957D37" w:rsidRDefault="00957D37" w:rsidP="00957D37">
            <w:pPr>
              <w:spacing w:line="240" w:lineRule="auto"/>
              <w:jc w:val="center"/>
            </w:pPr>
          </w:p>
        </w:tc>
      </w:tr>
    </w:tbl>
    <w:p w:rsidR="00957D37" w:rsidRDefault="00957D37" w:rsidP="00876304">
      <w:bookmarkStart w:id="0" w:name="_GoBack"/>
      <w:bookmarkEnd w:id="0"/>
    </w:p>
    <w:sectPr w:rsidR="00957D37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0D" w:rsidRDefault="00C9610D" w:rsidP="00F61B4F">
      <w:pPr>
        <w:spacing w:before="0" w:after="0" w:line="240" w:lineRule="auto"/>
      </w:pPr>
      <w:r>
        <w:separator/>
      </w:r>
    </w:p>
  </w:endnote>
  <w:endnote w:type="continuationSeparator" w:id="0">
    <w:p w:rsidR="00C9610D" w:rsidRDefault="00C9610D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967C3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967C3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0D" w:rsidRDefault="00C9610D" w:rsidP="00F61B4F">
      <w:pPr>
        <w:spacing w:before="0" w:after="0" w:line="240" w:lineRule="auto"/>
      </w:pPr>
      <w:r>
        <w:separator/>
      </w:r>
    </w:p>
  </w:footnote>
  <w:footnote w:type="continuationSeparator" w:id="0">
    <w:p w:rsidR="00C9610D" w:rsidRDefault="00C9610D" w:rsidP="00F61B4F">
      <w:pPr>
        <w:spacing w:before="0" w:after="0" w:line="240" w:lineRule="auto"/>
      </w:pPr>
      <w:r>
        <w:continuationSeparator/>
      </w:r>
    </w:p>
  </w:footnote>
  <w:footnote w:id="1">
    <w:p w:rsidR="00957D37" w:rsidRPr="00957D37" w:rsidRDefault="00957D37">
      <w:pPr>
        <w:pStyle w:val="FootnoteText"/>
        <w:rPr>
          <w:sz w:val="16"/>
          <w:szCs w:val="16"/>
        </w:rPr>
      </w:pPr>
      <w:r w:rsidRPr="00957D37">
        <w:rPr>
          <w:rStyle w:val="FootnoteReference"/>
          <w:sz w:val="16"/>
          <w:szCs w:val="16"/>
        </w:rPr>
        <w:footnoteRef/>
      </w:r>
      <w:r w:rsidRPr="00957D37">
        <w:rPr>
          <w:sz w:val="16"/>
          <w:szCs w:val="16"/>
        </w:rPr>
        <w:t xml:space="preserve"> CIL note: Typographical error present in the original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Pr="00F61B4F" w:rsidRDefault="00707BF0" w:rsidP="00957D37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 xml:space="preserve">2009 </w:t>
    </w:r>
    <w:r w:rsidR="00957D37">
      <w:rPr>
        <w:rFonts w:cs="Arial"/>
        <w:caps/>
        <w:color w:val="808080"/>
        <w:sz w:val="16"/>
        <w:szCs w:val="16"/>
      </w:rPr>
      <w:t>MOU between asec and gcc secretariat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1E2"/>
    <w:multiLevelType w:val="hybridMultilevel"/>
    <w:tmpl w:val="6EBC93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70CB"/>
    <w:multiLevelType w:val="hybridMultilevel"/>
    <w:tmpl w:val="E3B665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701"/>
    <w:multiLevelType w:val="hybridMultilevel"/>
    <w:tmpl w:val="169A5D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C2717"/>
    <w:multiLevelType w:val="hybridMultilevel"/>
    <w:tmpl w:val="01DEE100"/>
    <w:lvl w:ilvl="0" w:tplc="4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726" w:hanging="360"/>
      </w:pPr>
    </w:lvl>
    <w:lvl w:ilvl="2" w:tplc="4809001B" w:tentative="1">
      <w:start w:val="1"/>
      <w:numFmt w:val="lowerRoman"/>
      <w:lvlText w:val="%3."/>
      <w:lvlJc w:val="right"/>
      <w:pPr>
        <w:ind w:left="1446" w:hanging="180"/>
      </w:pPr>
    </w:lvl>
    <w:lvl w:ilvl="3" w:tplc="4809000F" w:tentative="1">
      <w:start w:val="1"/>
      <w:numFmt w:val="decimal"/>
      <w:lvlText w:val="%4."/>
      <w:lvlJc w:val="left"/>
      <w:pPr>
        <w:ind w:left="2166" w:hanging="360"/>
      </w:pPr>
    </w:lvl>
    <w:lvl w:ilvl="4" w:tplc="48090019" w:tentative="1">
      <w:start w:val="1"/>
      <w:numFmt w:val="lowerLetter"/>
      <w:lvlText w:val="%5."/>
      <w:lvlJc w:val="left"/>
      <w:pPr>
        <w:ind w:left="2886" w:hanging="360"/>
      </w:pPr>
    </w:lvl>
    <w:lvl w:ilvl="5" w:tplc="4809001B" w:tentative="1">
      <w:start w:val="1"/>
      <w:numFmt w:val="lowerRoman"/>
      <w:lvlText w:val="%6."/>
      <w:lvlJc w:val="right"/>
      <w:pPr>
        <w:ind w:left="3606" w:hanging="180"/>
      </w:pPr>
    </w:lvl>
    <w:lvl w:ilvl="6" w:tplc="4809000F" w:tentative="1">
      <w:start w:val="1"/>
      <w:numFmt w:val="decimal"/>
      <w:lvlText w:val="%7."/>
      <w:lvlJc w:val="left"/>
      <w:pPr>
        <w:ind w:left="4326" w:hanging="360"/>
      </w:pPr>
    </w:lvl>
    <w:lvl w:ilvl="7" w:tplc="48090019" w:tentative="1">
      <w:start w:val="1"/>
      <w:numFmt w:val="lowerLetter"/>
      <w:lvlText w:val="%8."/>
      <w:lvlJc w:val="left"/>
      <w:pPr>
        <w:ind w:left="5046" w:hanging="360"/>
      </w:pPr>
    </w:lvl>
    <w:lvl w:ilvl="8" w:tplc="4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65385105"/>
    <w:multiLevelType w:val="hybridMultilevel"/>
    <w:tmpl w:val="F8962150"/>
    <w:lvl w:ilvl="0" w:tplc="B5006848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25" w:hanging="360"/>
      </w:pPr>
    </w:lvl>
    <w:lvl w:ilvl="2" w:tplc="4809001B" w:tentative="1">
      <w:start w:val="1"/>
      <w:numFmt w:val="lowerRoman"/>
      <w:lvlText w:val="%3."/>
      <w:lvlJc w:val="right"/>
      <w:pPr>
        <w:ind w:left="3945" w:hanging="180"/>
      </w:pPr>
    </w:lvl>
    <w:lvl w:ilvl="3" w:tplc="4809000F" w:tentative="1">
      <w:start w:val="1"/>
      <w:numFmt w:val="decimal"/>
      <w:lvlText w:val="%4."/>
      <w:lvlJc w:val="left"/>
      <w:pPr>
        <w:ind w:left="4665" w:hanging="360"/>
      </w:pPr>
    </w:lvl>
    <w:lvl w:ilvl="4" w:tplc="48090019" w:tentative="1">
      <w:start w:val="1"/>
      <w:numFmt w:val="lowerLetter"/>
      <w:lvlText w:val="%5."/>
      <w:lvlJc w:val="left"/>
      <w:pPr>
        <w:ind w:left="5385" w:hanging="360"/>
      </w:pPr>
    </w:lvl>
    <w:lvl w:ilvl="5" w:tplc="4809001B" w:tentative="1">
      <w:start w:val="1"/>
      <w:numFmt w:val="lowerRoman"/>
      <w:lvlText w:val="%6."/>
      <w:lvlJc w:val="right"/>
      <w:pPr>
        <w:ind w:left="6105" w:hanging="180"/>
      </w:pPr>
    </w:lvl>
    <w:lvl w:ilvl="6" w:tplc="4809000F" w:tentative="1">
      <w:start w:val="1"/>
      <w:numFmt w:val="decimal"/>
      <w:lvlText w:val="%7."/>
      <w:lvlJc w:val="left"/>
      <w:pPr>
        <w:ind w:left="6825" w:hanging="360"/>
      </w:pPr>
    </w:lvl>
    <w:lvl w:ilvl="7" w:tplc="48090019" w:tentative="1">
      <w:start w:val="1"/>
      <w:numFmt w:val="lowerLetter"/>
      <w:lvlText w:val="%8."/>
      <w:lvlJc w:val="left"/>
      <w:pPr>
        <w:ind w:left="7545" w:hanging="360"/>
      </w:pPr>
    </w:lvl>
    <w:lvl w:ilvl="8" w:tplc="48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6B0B6251"/>
    <w:multiLevelType w:val="hybridMultilevel"/>
    <w:tmpl w:val="36408682"/>
    <w:lvl w:ilvl="0" w:tplc="B50068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F0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1C42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4F10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3F222C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2136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07BF0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76304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57D37"/>
    <w:rsid w:val="00965ACC"/>
    <w:rsid w:val="00966DC7"/>
    <w:rsid w:val="00967C3A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5A99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9610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068D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67C8"/>
  <w15:chartTrackingRefBased/>
  <w15:docId w15:val="{3B922822-A2AC-4ED2-99D5-E276544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707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7D3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D3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957D37"/>
    <w:rPr>
      <w:vertAlign w:val="superscript"/>
    </w:rPr>
  </w:style>
  <w:style w:type="table" w:styleId="TableGrid">
    <w:name w:val="Table Grid"/>
    <w:basedOn w:val="TableNormal"/>
    <w:uiPriority w:val="59"/>
    <w:rsid w:val="0095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MSH\Desktop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8FFF-5932-4909-B46F-70AAACD1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1</TotalTime>
  <Pages>2</Pages>
  <Words>466</Words>
  <Characters>2630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Shahul Hamid Bin Abdul Razak</dc:creator>
  <cp:keywords/>
  <cp:lastModifiedBy>Chan Sze Wei</cp:lastModifiedBy>
  <cp:revision>3</cp:revision>
  <dcterms:created xsi:type="dcterms:W3CDTF">2019-11-25T05:00:00Z</dcterms:created>
  <dcterms:modified xsi:type="dcterms:W3CDTF">2019-11-25T05:01:00Z</dcterms:modified>
</cp:coreProperties>
</file>