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449" w:rsidRPr="00E457CB" w:rsidRDefault="00A40347" w:rsidP="00370B24">
      <w:pPr>
        <w:spacing w:before="240" w:after="120"/>
        <w:jc w:val="center"/>
        <w:rPr>
          <w:rFonts w:ascii="Arial" w:hAnsi="Arial" w:cs="Arial"/>
          <w:b/>
          <w:caps/>
          <w:sz w:val="28"/>
          <w:szCs w:val="28"/>
          <w:lang w:val="en-SG"/>
        </w:rPr>
      </w:pPr>
      <w:r w:rsidRPr="00E457CB">
        <w:rPr>
          <w:rFonts w:ascii="Arial" w:hAnsi="Arial" w:cs="Arial"/>
          <w:b/>
          <w:caps/>
          <w:sz w:val="28"/>
          <w:szCs w:val="28"/>
          <w:lang w:val="en-SG"/>
        </w:rPr>
        <w:t>2010-2011</w:t>
      </w:r>
      <w:r w:rsidR="003848CF" w:rsidRPr="00E457CB">
        <w:rPr>
          <w:rFonts w:ascii="Arial" w:hAnsi="Arial" w:cs="Arial"/>
          <w:b/>
          <w:caps/>
          <w:sz w:val="28"/>
          <w:szCs w:val="28"/>
          <w:lang w:val="en-SG"/>
        </w:rPr>
        <w:t xml:space="preserve"> </w:t>
      </w:r>
      <w:r w:rsidR="00402FE2" w:rsidRPr="00E457CB">
        <w:rPr>
          <w:rFonts w:ascii="Arial" w:hAnsi="Arial" w:cs="Arial"/>
          <w:b/>
          <w:caps/>
          <w:sz w:val="28"/>
          <w:szCs w:val="28"/>
          <w:lang w:val="en-SG"/>
        </w:rPr>
        <w:t>ASEAN INTERGOVERNMENTAL COMMISSION ON HUAMAN RIGHTS</w:t>
      </w:r>
      <w:r w:rsidR="00402FE2" w:rsidRPr="00E457CB">
        <w:rPr>
          <w:rFonts w:ascii="Arial" w:hAnsi="Arial" w:cs="Arial"/>
          <w:b/>
          <w:caps/>
          <w:sz w:val="28"/>
          <w:szCs w:val="28"/>
          <w:lang w:val="en-SG"/>
        </w:rPr>
        <w:br/>
      </w:r>
      <w:r w:rsidR="003F2C26" w:rsidRPr="00E457CB">
        <w:rPr>
          <w:rFonts w:ascii="Arial" w:hAnsi="Arial" w:cs="Arial"/>
          <w:b/>
          <w:caps/>
          <w:sz w:val="28"/>
          <w:szCs w:val="28"/>
          <w:lang w:val="en-SG"/>
        </w:rPr>
        <w:t>Priority Programme</w:t>
      </w:r>
    </w:p>
    <w:p w:rsidR="00B461F7" w:rsidRPr="00E457CB" w:rsidRDefault="00A40347" w:rsidP="00370B24">
      <w:pPr>
        <w:spacing w:before="240" w:after="120"/>
        <w:jc w:val="center"/>
        <w:rPr>
          <w:rFonts w:ascii="Arial" w:hAnsi="Arial" w:cs="Arial"/>
          <w:i/>
          <w:sz w:val="20"/>
          <w:szCs w:val="24"/>
          <w:lang w:val="en-SG"/>
        </w:rPr>
      </w:pPr>
      <w:r w:rsidRPr="00E457CB">
        <w:rPr>
          <w:rFonts w:ascii="Arial" w:hAnsi="Arial" w:cs="Arial"/>
          <w:i/>
          <w:sz w:val="20"/>
          <w:szCs w:val="24"/>
          <w:lang w:val="en-SG"/>
        </w:rPr>
        <w:t xml:space="preserve">Adopted in Ha </w:t>
      </w:r>
      <w:proofErr w:type="spellStart"/>
      <w:r w:rsidRPr="00E457CB">
        <w:rPr>
          <w:rFonts w:ascii="Arial" w:hAnsi="Arial" w:cs="Arial"/>
          <w:i/>
          <w:sz w:val="20"/>
          <w:szCs w:val="24"/>
          <w:lang w:val="en-SG"/>
        </w:rPr>
        <w:t>Noi</w:t>
      </w:r>
      <w:proofErr w:type="spellEnd"/>
      <w:r w:rsidRPr="00E457CB">
        <w:rPr>
          <w:rFonts w:ascii="Arial" w:hAnsi="Arial" w:cs="Arial"/>
          <w:i/>
          <w:sz w:val="20"/>
          <w:szCs w:val="24"/>
          <w:lang w:val="en-SG"/>
        </w:rPr>
        <w:t>, Vietnam on 19 July 2010</w:t>
      </w:r>
    </w:p>
    <w:p w:rsidR="003F2C26" w:rsidRPr="00E457CB" w:rsidRDefault="003F2C26" w:rsidP="00370B24">
      <w:pPr>
        <w:spacing w:before="240" w:after="120"/>
        <w:jc w:val="both"/>
        <w:rPr>
          <w:rFonts w:ascii="Arial" w:hAnsi="Arial" w:cs="Arial"/>
          <w:lang w:val="en-SG"/>
        </w:rPr>
      </w:pPr>
    </w:p>
    <w:tbl>
      <w:tblPr>
        <w:tblW w:w="13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2"/>
        <w:gridCol w:w="7861"/>
      </w:tblGrid>
      <w:tr w:rsidR="00C91C48" w:rsidRPr="00E457CB" w:rsidTr="00C91C48">
        <w:trPr>
          <w:trHeight w:val="582"/>
        </w:trPr>
        <w:tc>
          <w:tcPr>
            <w:tcW w:w="6102" w:type="dxa"/>
            <w:tcBorders>
              <w:top w:val="single" w:sz="12" w:space="0" w:color="auto"/>
              <w:left w:val="single" w:sz="12" w:space="0" w:color="auto"/>
              <w:right w:val="single" w:sz="12" w:space="0" w:color="auto"/>
            </w:tcBorders>
            <w:shd w:val="clear" w:color="auto" w:fill="E0E0E0"/>
            <w:vAlign w:val="center"/>
          </w:tcPr>
          <w:p w:rsidR="00C91C48" w:rsidRPr="00E457CB" w:rsidRDefault="00C91C48" w:rsidP="00370B24">
            <w:pPr>
              <w:pStyle w:val="ListParagraph"/>
              <w:spacing w:before="240" w:after="120"/>
              <w:ind w:left="0"/>
              <w:contextualSpacing w:val="0"/>
              <w:jc w:val="both"/>
              <w:rPr>
                <w:rFonts w:ascii="Arial" w:eastAsia="Times New Roman" w:hAnsi="Arial" w:cs="Arial"/>
                <w:b/>
                <w:bCs/>
                <w:sz w:val="20"/>
                <w:szCs w:val="20"/>
                <w:lang w:val="en-SG"/>
              </w:rPr>
            </w:pPr>
            <w:bookmarkStart w:id="0" w:name="_Hlk254639588"/>
            <w:r w:rsidRPr="00E457CB">
              <w:rPr>
                <w:rFonts w:ascii="Arial" w:eastAsia="Times New Roman" w:hAnsi="Arial" w:cs="Arial"/>
                <w:b/>
                <w:bCs/>
                <w:sz w:val="20"/>
                <w:szCs w:val="20"/>
                <w:lang w:val="en-SG"/>
              </w:rPr>
              <w:t>Characteristics and Elements</w:t>
            </w:r>
          </w:p>
        </w:tc>
        <w:tc>
          <w:tcPr>
            <w:tcW w:w="7861" w:type="dxa"/>
            <w:tcBorders>
              <w:top w:val="single" w:sz="12" w:space="0" w:color="auto"/>
              <w:left w:val="single" w:sz="12" w:space="0" w:color="auto"/>
              <w:right w:val="single" w:sz="12" w:space="0" w:color="auto"/>
            </w:tcBorders>
            <w:shd w:val="clear" w:color="auto" w:fill="E0E0E0"/>
            <w:vAlign w:val="center"/>
          </w:tcPr>
          <w:p w:rsidR="00C91C48" w:rsidRPr="00E457CB" w:rsidRDefault="00C91C48" w:rsidP="00370B24">
            <w:pPr>
              <w:pStyle w:val="ListParagraph"/>
              <w:spacing w:before="240" w:after="120"/>
              <w:ind w:left="0"/>
              <w:contextualSpacing w:val="0"/>
              <w:jc w:val="both"/>
              <w:rPr>
                <w:rFonts w:ascii="Arial" w:eastAsia="Times New Roman" w:hAnsi="Arial" w:cs="Arial"/>
                <w:b/>
                <w:bCs/>
                <w:sz w:val="20"/>
                <w:szCs w:val="20"/>
                <w:lang w:val="en-SG"/>
              </w:rPr>
            </w:pPr>
            <w:r w:rsidRPr="00E457CB">
              <w:rPr>
                <w:rFonts w:ascii="Arial" w:eastAsia="Times New Roman" w:hAnsi="Arial" w:cs="Arial"/>
                <w:b/>
                <w:bCs/>
                <w:sz w:val="20"/>
                <w:szCs w:val="20"/>
                <w:lang w:val="en-SG"/>
              </w:rPr>
              <w:t>Activities</w:t>
            </w:r>
          </w:p>
        </w:tc>
      </w:tr>
      <w:bookmarkEnd w:id="0"/>
      <w:tr w:rsidR="003F2C26" w:rsidRPr="00E457CB" w:rsidTr="00C91C48">
        <w:tc>
          <w:tcPr>
            <w:tcW w:w="13963" w:type="dxa"/>
            <w:gridSpan w:val="2"/>
            <w:tcBorders>
              <w:top w:val="single" w:sz="12" w:space="0" w:color="auto"/>
              <w:left w:val="single" w:sz="12" w:space="0" w:color="auto"/>
              <w:bottom w:val="single" w:sz="12" w:space="0" w:color="auto"/>
              <w:right w:val="single" w:sz="12" w:space="0" w:color="auto"/>
            </w:tcBorders>
            <w:shd w:val="clear" w:color="auto" w:fill="CCFFFF"/>
          </w:tcPr>
          <w:p w:rsidR="003F2C26" w:rsidRPr="00E457CB" w:rsidRDefault="003F2C26" w:rsidP="00370B24">
            <w:pPr>
              <w:pStyle w:val="ListParagraph"/>
              <w:spacing w:before="240" w:after="120"/>
              <w:ind w:left="0"/>
              <w:contextualSpacing w:val="0"/>
              <w:jc w:val="both"/>
              <w:rPr>
                <w:rFonts w:ascii="Arial" w:eastAsia="Times New Roman" w:hAnsi="Arial" w:cs="Arial"/>
                <w:b/>
                <w:bCs/>
                <w:sz w:val="20"/>
                <w:szCs w:val="20"/>
                <w:lang w:val="en-SG"/>
              </w:rPr>
            </w:pPr>
            <w:r w:rsidRPr="00E457CB">
              <w:rPr>
                <w:rFonts w:ascii="Arial" w:eastAsia="Times New Roman" w:hAnsi="Arial" w:cs="Arial"/>
                <w:b/>
                <w:bCs/>
                <w:sz w:val="20"/>
                <w:szCs w:val="20"/>
                <w:lang w:val="en-SG"/>
              </w:rPr>
              <w:t>4.1. To develop strategies for the promotion and protection of human rights and fundamental freedoms to complement the building of the ASEAN Community;</w:t>
            </w:r>
          </w:p>
        </w:tc>
      </w:tr>
      <w:tr w:rsidR="00C91C48" w:rsidRPr="00E457CB" w:rsidTr="00C91C48">
        <w:tc>
          <w:tcPr>
            <w:tcW w:w="6102" w:type="dxa"/>
            <w:tcBorders>
              <w:top w:val="single" w:sz="12" w:space="0" w:color="auto"/>
              <w:left w:val="single" w:sz="12" w:space="0" w:color="auto"/>
              <w:bottom w:val="single" w:sz="4" w:space="0" w:color="auto"/>
              <w:right w:val="single" w:sz="12" w:space="0" w:color="auto"/>
            </w:tcBorders>
          </w:tcPr>
          <w:p w:rsidR="00C91C48" w:rsidRPr="00E457CB" w:rsidRDefault="00C91C48" w:rsidP="00370B24">
            <w:pPr>
              <w:numPr>
                <w:ilvl w:val="0"/>
                <w:numId w:val="14"/>
              </w:numPr>
              <w:autoSpaceDE w:val="0"/>
              <w:autoSpaceDN w:val="0"/>
              <w:adjustRightInd w:val="0"/>
              <w:spacing w:before="120" w:after="120"/>
              <w:jc w:val="both"/>
              <w:rPr>
                <w:rFonts w:ascii="Arial" w:eastAsia="Times New Roman" w:hAnsi="Arial" w:cs="Arial"/>
                <w:sz w:val="20"/>
                <w:szCs w:val="20"/>
                <w:lang w:val="en-SG"/>
              </w:rPr>
            </w:pPr>
            <w:r w:rsidRPr="00E457CB">
              <w:rPr>
                <w:rFonts w:ascii="Arial" w:eastAsia="Times New Roman" w:hAnsi="Arial" w:cs="Arial"/>
                <w:sz w:val="20"/>
                <w:szCs w:val="20"/>
                <w:lang w:val="en-SG"/>
              </w:rPr>
              <w:t>Develop Rules of Procedure of AICHR</w:t>
            </w:r>
          </w:p>
        </w:tc>
        <w:tc>
          <w:tcPr>
            <w:tcW w:w="7861" w:type="dxa"/>
            <w:tcBorders>
              <w:top w:val="single" w:sz="12" w:space="0" w:color="auto"/>
              <w:left w:val="single" w:sz="12" w:space="0" w:color="auto"/>
              <w:right w:val="single" w:sz="12" w:space="0" w:color="auto"/>
            </w:tcBorders>
          </w:tcPr>
          <w:p w:rsidR="00C91C48" w:rsidRPr="00E457CB" w:rsidRDefault="00C91C48" w:rsidP="00370B24">
            <w:pPr>
              <w:pStyle w:val="ListParagraph"/>
              <w:spacing w:before="120" w:after="120"/>
              <w:ind w:left="16"/>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Finalise the Rules of Procedure through Meetings of AICHR by October 2010 (Special Meetings/Ad-Hoc Task Force Meetings to be convened if necessary)</w:t>
            </w:r>
          </w:p>
        </w:tc>
      </w:tr>
      <w:tr w:rsidR="00C91C48" w:rsidRPr="00E457CB" w:rsidTr="00C91C48">
        <w:tc>
          <w:tcPr>
            <w:tcW w:w="6102" w:type="dxa"/>
            <w:tcBorders>
              <w:top w:val="single" w:sz="4" w:space="0" w:color="auto"/>
              <w:left w:val="single" w:sz="12" w:space="0" w:color="auto"/>
              <w:bottom w:val="single" w:sz="4" w:space="0" w:color="auto"/>
              <w:right w:val="single" w:sz="12" w:space="0" w:color="auto"/>
            </w:tcBorders>
          </w:tcPr>
          <w:p w:rsidR="00C91C48" w:rsidRPr="00E457CB" w:rsidRDefault="00C91C48" w:rsidP="00370B24">
            <w:pPr>
              <w:numPr>
                <w:ilvl w:val="0"/>
                <w:numId w:val="14"/>
              </w:numPr>
              <w:autoSpaceDE w:val="0"/>
              <w:autoSpaceDN w:val="0"/>
              <w:adjustRightInd w:val="0"/>
              <w:spacing w:before="120" w:after="120"/>
              <w:jc w:val="both"/>
              <w:rPr>
                <w:rFonts w:ascii="Arial" w:eastAsia="Times New Roman" w:hAnsi="Arial" w:cs="Arial"/>
                <w:sz w:val="20"/>
                <w:szCs w:val="20"/>
                <w:lang w:val="en-SG"/>
              </w:rPr>
            </w:pPr>
            <w:r w:rsidRPr="00E457CB">
              <w:rPr>
                <w:rFonts w:ascii="Arial" w:eastAsia="Times New Roman" w:hAnsi="Arial" w:cs="Arial"/>
                <w:sz w:val="20"/>
                <w:szCs w:val="20"/>
                <w:lang w:val="en-SG"/>
              </w:rPr>
              <w:t>Complete the Five-Year Work Plan</w:t>
            </w:r>
          </w:p>
        </w:tc>
        <w:tc>
          <w:tcPr>
            <w:tcW w:w="7861" w:type="dxa"/>
            <w:tcBorders>
              <w:left w:val="single" w:sz="12" w:space="0" w:color="auto"/>
              <w:right w:val="single" w:sz="12" w:space="0" w:color="auto"/>
            </w:tcBorders>
          </w:tcPr>
          <w:p w:rsidR="00C91C48" w:rsidRPr="00E457CB" w:rsidRDefault="00C91C48" w:rsidP="00370B24">
            <w:pPr>
              <w:pStyle w:val="ListParagraph"/>
              <w:numPr>
                <w:ilvl w:val="0"/>
                <w:numId w:val="15"/>
              </w:numPr>
              <w:spacing w:before="120" w:after="120"/>
              <w:ind w:left="561" w:hanging="185"/>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Complete Five Year Work Plan with proposed annual budget for 2010 and 2011 by July 2010</w:t>
            </w:r>
          </w:p>
          <w:p w:rsidR="00C91C48" w:rsidRPr="00E457CB" w:rsidRDefault="00C91C48" w:rsidP="00370B24">
            <w:pPr>
              <w:pStyle w:val="ListParagraph"/>
              <w:numPr>
                <w:ilvl w:val="0"/>
                <w:numId w:val="15"/>
              </w:numPr>
              <w:spacing w:before="120" w:after="120"/>
              <w:ind w:left="561" w:hanging="185"/>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Finalise Five-Year Work Plan with indicative budget for 2012-2015 by July 2011</w:t>
            </w:r>
          </w:p>
        </w:tc>
      </w:tr>
      <w:tr w:rsidR="00C91C48" w:rsidRPr="00E457CB" w:rsidTr="00C91C48">
        <w:tc>
          <w:tcPr>
            <w:tcW w:w="6102" w:type="dxa"/>
            <w:tcBorders>
              <w:top w:val="single" w:sz="4" w:space="0" w:color="auto"/>
              <w:left w:val="single" w:sz="12" w:space="0" w:color="auto"/>
              <w:bottom w:val="single" w:sz="4" w:space="0" w:color="auto"/>
              <w:right w:val="single" w:sz="12" w:space="0" w:color="auto"/>
            </w:tcBorders>
          </w:tcPr>
          <w:p w:rsidR="00C91C48" w:rsidRPr="00E457CB" w:rsidRDefault="00C91C48" w:rsidP="00370B24">
            <w:pPr>
              <w:numPr>
                <w:ilvl w:val="0"/>
                <w:numId w:val="14"/>
              </w:numPr>
              <w:autoSpaceDE w:val="0"/>
              <w:autoSpaceDN w:val="0"/>
              <w:adjustRightInd w:val="0"/>
              <w:spacing w:before="120" w:after="120"/>
              <w:jc w:val="both"/>
              <w:rPr>
                <w:rFonts w:ascii="Arial" w:eastAsia="Times New Roman" w:hAnsi="Arial" w:cs="Arial"/>
                <w:sz w:val="20"/>
                <w:szCs w:val="20"/>
                <w:lang w:val="en-SG"/>
              </w:rPr>
            </w:pPr>
            <w:r w:rsidRPr="00E457CB">
              <w:rPr>
                <w:rFonts w:ascii="Arial" w:eastAsia="Times New Roman" w:hAnsi="Arial" w:cs="Arial"/>
                <w:sz w:val="20"/>
                <w:szCs w:val="20"/>
                <w:lang w:val="en-SG"/>
              </w:rPr>
              <w:t>Dialogue and consult with the three Communities on their respective Blueprints concerning the promotion and protection of human rights, and submit to each of them recommendations for their consideration upon the review of their respective Blueprints</w:t>
            </w:r>
          </w:p>
        </w:tc>
        <w:tc>
          <w:tcPr>
            <w:tcW w:w="7861" w:type="dxa"/>
            <w:tcBorders>
              <w:left w:val="single" w:sz="12" w:space="0" w:color="auto"/>
              <w:right w:val="single" w:sz="12" w:space="0" w:color="auto"/>
            </w:tcBorders>
          </w:tcPr>
          <w:p w:rsidR="00C91C48" w:rsidRPr="00E457CB" w:rsidRDefault="00C91C48" w:rsidP="00370B24">
            <w:pPr>
              <w:pStyle w:val="ListParagraph"/>
              <w:numPr>
                <w:ilvl w:val="0"/>
                <w:numId w:val="16"/>
              </w:numPr>
              <w:spacing w:before="120" w:after="120"/>
              <w:ind w:left="561" w:hanging="168"/>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AICHR to study the three Blueprints to identify areas of cooperation concerning the promotion and protection of human rights, at the meeting in September 2010 in Malaysia</w:t>
            </w:r>
          </w:p>
          <w:p w:rsidR="00C91C48" w:rsidRPr="00E457CB" w:rsidRDefault="00C91C48" w:rsidP="00370B24">
            <w:pPr>
              <w:pStyle w:val="ListParagraph"/>
              <w:numPr>
                <w:ilvl w:val="0"/>
                <w:numId w:val="16"/>
              </w:numPr>
              <w:spacing w:before="120" w:after="120"/>
              <w:ind w:left="561" w:hanging="168"/>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 xml:space="preserve">Meeting with ACWC on the </w:t>
            </w:r>
            <w:proofErr w:type="spellStart"/>
            <w:r w:rsidRPr="00E457CB">
              <w:rPr>
                <w:rFonts w:ascii="Arial" w:eastAsia="Times New Roman" w:hAnsi="Arial" w:cs="Arial"/>
                <w:bCs/>
                <w:sz w:val="20"/>
                <w:szCs w:val="20"/>
                <w:lang w:val="en-SG"/>
              </w:rPr>
              <w:t>sidelines</w:t>
            </w:r>
            <w:proofErr w:type="spellEnd"/>
            <w:r w:rsidRPr="00E457CB">
              <w:rPr>
                <w:rFonts w:ascii="Arial" w:eastAsia="Times New Roman" w:hAnsi="Arial" w:cs="Arial"/>
                <w:bCs/>
                <w:sz w:val="20"/>
                <w:szCs w:val="20"/>
                <w:lang w:val="en-SG"/>
              </w:rPr>
              <w:t xml:space="preserve"> of the meeting in September 2010 in Malaysia</w:t>
            </w:r>
          </w:p>
        </w:tc>
      </w:tr>
      <w:tr w:rsidR="00C91C48" w:rsidRPr="00E457CB" w:rsidTr="00C91C48">
        <w:tc>
          <w:tcPr>
            <w:tcW w:w="6102" w:type="dxa"/>
            <w:tcBorders>
              <w:top w:val="single" w:sz="4" w:space="0" w:color="auto"/>
              <w:left w:val="single" w:sz="12" w:space="0" w:color="auto"/>
              <w:bottom w:val="single" w:sz="4" w:space="0" w:color="auto"/>
              <w:right w:val="single" w:sz="12" w:space="0" w:color="auto"/>
            </w:tcBorders>
          </w:tcPr>
          <w:p w:rsidR="00C91C48" w:rsidRPr="00E457CB" w:rsidRDefault="00C91C48" w:rsidP="00370B24">
            <w:pPr>
              <w:numPr>
                <w:ilvl w:val="0"/>
                <w:numId w:val="14"/>
              </w:numPr>
              <w:autoSpaceDE w:val="0"/>
              <w:autoSpaceDN w:val="0"/>
              <w:adjustRightInd w:val="0"/>
              <w:spacing w:before="120" w:after="120"/>
              <w:jc w:val="both"/>
              <w:rPr>
                <w:rFonts w:ascii="Arial" w:eastAsia="Times New Roman" w:hAnsi="Arial" w:cs="Arial"/>
                <w:sz w:val="20"/>
                <w:szCs w:val="20"/>
                <w:lang w:val="en-SG"/>
              </w:rPr>
            </w:pPr>
            <w:r w:rsidRPr="00E457CB">
              <w:rPr>
                <w:rFonts w:ascii="Arial" w:eastAsia="Times New Roman" w:hAnsi="Arial" w:cs="Arial"/>
                <w:sz w:val="20"/>
                <w:szCs w:val="20"/>
                <w:lang w:val="en-SG"/>
              </w:rPr>
              <w:t>Strengthen the ASEAN Secretariat’s support for AICHR, and consider the establishment of a dedicated secretariat that should evolve with the work of AICHR</w:t>
            </w:r>
          </w:p>
        </w:tc>
        <w:tc>
          <w:tcPr>
            <w:tcW w:w="7861" w:type="dxa"/>
            <w:tcBorders>
              <w:left w:val="single" w:sz="12" w:space="0" w:color="auto"/>
              <w:right w:val="single" w:sz="12" w:space="0" w:color="auto"/>
            </w:tcBorders>
          </w:tcPr>
          <w:p w:rsidR="00C91C48" w:rsidRPr="00E457CB" w:rsidRDefault="00C91C48" w:rsidP="00370B24">
            <w:pPr>
              <w:pStyle w:val="ListParagraph"/>
              <w:spacing w:before="120" w:after="120"/>
              <w:ind w:left="0"/>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To study the needs of the ASEAN Secretariat for purpose of strengthening its capacity to support AICHR</w:t>
            </w:r>
            <w:r w:rsidRPr="00E457CB">
              <w:rPr>
                <w:rFonts w:ascii="Arial" w:eastAsia="Times New Roman" w:hAnsi="Arial" w:cs="Arial"/>
                <w:b/>
                <w:bCs/>
                <w:sz w:val="20"/>
                <w:szCs w:val="20"/>
                <w:lang w:val="en-SG"/>
              </w:rPr>
              <w:t xml:space="preserve"> </w:t>
            </w:r>
          </w:p>
        </w:tc>
      </w:tr>
      <w:tr w:rsidR="00C91C48" w:rsidRPr="00E457CB" w:rsidTr="00C91C48">
        <w:tc>
          <w:tcPr>
            <w:tcW w:w="6102" w:type="dxa"/>
            <w:tcBorders>
              <w:top w:val="single" w:sz="4" w:space="0" w:color="auto"/>
              <w:left w:val="single" w:sz="12" w:space="0" w:color="auto"/>
              <w:bottom w:val="single" w:sz="4" w:space="0" w:color="auto"/>
              <w:right w:val="single" w:sz="12" w:space="0" w:color="auto"/>
            </w:tcBorders>
          </w:tcPr>
          <w:p w:rsidR="00C91C48" w:rsidRPr="00E457CB" w:rsidRDefault="00C91C48" w:rsidP="00370B24">
            <w:pPr>
              <w:numPr>
                <w:ilvl w:val="0"/>
                <w:numId w:val="14"/>
              </w:numPr>
              <w:spacing w:before="120" w:after="120"/>
              <w:jc w:val="both"/>
              <w:rPr>
                <w:rFonts w:ascii="Arial" w:eastAsia="Times New Roman" w:hAnsi="Arial" w:cs="Arial"/>
                <w:sz w:val="20"/>
                <w:szCs w:val="20"/>
                <w:lang w:val="en-SG"/>
              </w:rPr>
            </w:pPr>
            <w:r w:rsidRPr="00E457CB">
              <w:rPr>
                <w:rFonts w:ascii="Arial" w:eastAsia="Times New Roman" w:hAnsi="Arial" w:cs="Arial"/>
                <w:sz w:val="20"/>
                <w:szCs w:val="20"/>
                <w:lang w:val="en-SG"/>
              </w:rPr>
              <w:t xml:space="preserve">Exchange visit(s) with international and other regional human rights bodies </w:t>
            </w:r>
            <w:r w:rsidR="00A40347" w:rsidRPr="00E457CB">
              <w:rPr>
                <w:rFonts w:ascii="Arial" w:eastAsia="Times New Roman" w:hAnsi="Arial" w:cs="Arial"/>
                <w:sz w:val="20"/>
                <w:szCs w:val="20"/>
                <w:lang w:val="en-SG"/>
              </w:rPr>
              <w:t>(as necessary or on invitation)</w:t>
            </w:r>
          </w:p>
          <w:p w:rsidR="00C91C48" w:rsidRPr="00E457CB" w:rsidRDefault="00C91C48" w:rsidP="00370B24">
            <w:pPr>
              <w:spacing w:before="120" w:after="120"/>
              <w:jc w:val="both"/>
              <w:rPr>
                <w:rFonts w:ascii="Arial" w:eastAsia="Times New Roman" w:hAnsi="Arial" w:cs="Arial"/>
                <w:sz w:val="20"/>
                <w:szCs w:val="20"/>
                <w:lang w:val="en-SG"/>
              </w:rPr>
            </w:pPr>
          </w:p>
        </w:tc>
        <w:tc>
          <w:tcPr>
            <w:tcW w:w="7861" w:type="dxa"/>
            <w:tcBorders>
              <w:left w:val="single" w:sz="12" w:space="0" w:color="auto"/>
              <w:right w:val="single" w:sz="12" w:space="0" w:color="auto"/>
            </w:tcBorders>
          </w:tcPr>
          <w:p w:rsidR="00C91C48" w:rsidRPr="00E457CB" w:rsidRDefault="00A40347" w:rsidP="00370B24">
            <w:pPr>
              <w:pStyle w:val="ListParagraph"/>
              <w:numPr>
                <w:ilvl w:val="0"/>
                <w:numId w:val="17"/>
              </w:numPr>
              <w:spacing w:before="120" w:after="120"/>
              <w:ind w:left="561" w:hanging="201"/>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lastRenderedPageBreak/>
              <w:t xml:space="preserve">Visit of AICHR to the US </w:t>
            </w:r>
          </w:p>
          <w:p w:rsidR="00C91C48" w:rsidRPr="00E457CB" w:rsidRDefault="00C91C48" w:rsidP="00370B24">
            <w:pPr>
              <w:pStyle w:val="ListParagraph"/>
              <w:numPr>
                <w:ilvl w:val="0"/>
                <w:numId w:val="17"/>
              </w:numPr>
              <w:spacing w:before="120" w:after="120"/>
              <w:ind w:left="561" w:hanging="201"/>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Visits to other countries and institutions upon invitation and agreed to by AICHR</w:t>
            </w:r>
          </w:p>
        </w:tc>
      </w:tr>
      <w:tr w:rsidR="003F2C26" w:rsidRPr="00E457CB" w:rsidTr="00C91C48">
        <w:tc>
          <w:tcPr>
            <w:tcW w:w="13963" w:type="dxa"/>
            <w:gridSpan w:val="2"/>
            <w:tcBorders>
              <w:top w:val="single" w:sz="12" w:space="0" w:color="auto"/>
              <w:left w:val="single" w:sz="12" w:space="0" w:color="auto"/>
              <w:bottom w:val="single" w:sz="12" w:space="0" w:color="auto"/>
              <w:right w:val="single" w:sz="12" w:space="0" w:color="auto"/>
            </w:tcBorders>
            <w:shd w:val="clear" w:color="auto" w:fill="CCFFFF"/>
          </w:tcPr>
          <w:p w:rsidR="003F2C26" w:rsidRPr="00E457CB" w:rsidRDefault="003F2C26" w:rsidP="00370B24">
            <w:pPr>
              <w:pStyle w:val="ListParagraph"/>
              <w:spacing w:before="240" w:after="120"/>
              <w:ind w:left="270" w:hanging="270"/>
              <w:contextualSpacing w:val="0"/>
              <w:jc w:val="both"/>
              <w:rPr>
                <w:rFonts w:ascii="Arial" w:eastAsia="Times New Roman" w:hAnsi="Arial" w:cs="Arial"/>
                <w:b/>
                <w:bCs/>
                <w:sz w:val="20"/>
                <w:szCs w:val="20"/>
                <w:lang w:val="en-SG"/>
              </w:rPr>
            </w:pPr>
            <w:r w:rsidRPr="00E457CB">
              <w:rPr>
                <w:rFonts w:ascii="Arial" w:eastAsia="Times New Roman" w:hAnsi="Arial" w:cs="Arial"/>
                <w:b/>
                <w:bCs/>
                <w:sz w:val="20"/>
                <w:szCs w:val="20"/>
                <w:lang w:val="en-SG"/>
              </w:rPr>
              <w:t>4.2 To develop an ASEAN Human Rights Declaration with a view to establishing a framework for human rights cooperation through various ASEAN conventions and other instruments dealing with human rights;</w:t>
            </w:r>
          </w:p>
        </w:tc>
      </w:tr>
      <w:tr w:rsidR="00C91C48" w:rsidRPr="00E457CB" w:rsidTr="00C91C48">
        <w:tc>
          <w:tcPr>
            <w:tcW w:w="6102" w:type="dxa"/>
            <w:tcBorders>
              <w:top w:val="single" w:sz="12" w:space="0" w:color="auto"/>
              <w:left w:val="single" w:sz="12" w:space="0" w:color="auto"/>
              <w:bottom w:val="single" w:sz="12" w:space="0" w:color="auto"/>
              <w:right w:val="single" w:sz="12" w:space="0" w:color="auto"/>
            </w:tcBorders>
          </w:tcPr>
          <w:p w:rsidR="00C91C48" w:rsidRPr="00E457CB" w:rsidRDefault="00C91C48" w:rsidP="00370B24">
            <w:pPr>
              <w:pStyle w:val="ListParagraph"/>
              <w:numPr>
                <w:ilvl w:val="0"/>
                <w:numId w:val="18"/>
              </w:numPr>
              <w:spacing w:before="120" w:after="120"/>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 xml:space="preserve">Set up an </w:t>
            </w:r>
            <w:r w:rsidRPr="00E457CB">
              <w:rPr>
                <w:rFonts w:ascii="Arial" w:eastAsia="Times New Roman" w:hAnsi="Arial" w:cs="Arial"/>
                <w:i/>
                <w:sz w:val="20"/>
                <w:szCs w:val="20"/>
                <w:lang w:val="en-SG"/>
              </w:rPr>
              <w:t xml:space="preserve">ad hoc </w:t>
            </w:r>
            <w:r w:rsidRPr="00E457CB">
              <w:rPr>
                <w:rFonts w:ascii="Arial" w:eastAsia="Times New Roman" w:hAnsi="Arial" w:cs="Arial"/>
                <w:sz w:val="20"/>
                <w:szCs w:val="20"/>
                <w:lang w:val="en-SG"/>
              </w:rPr>
              <w:t>task force on drafting an ASEAN Human Rights Declaration (ADHR) with the TOR to be prepared by AICHR</w:t>
            </w:r>
          </w:p>
        </w:tc>
        <w:tc>
          <w:tcPr>
            <w:tcW w:w="7861" w:type="dxa"/>
            <w:tcBorders>
              <w:top w:val="single" w:sz="12" w:space="0" w:color="auto"/>
              <w:left w:val="single" w:sz="12" w:space="0" w:color="auto"/>
              <w:bottom w:val="single" w:sz="12" w:space="0" w:color="auto"/>
              <w:right w:val="single" w:sz="12" w:space="0" w:color="auto"/>
            </w:tcBorders>
          </w:tcPr>
          <w:p w:rsidR="00C91C48" w:rsidRPr="00E457CB" w:rsidRDefault="00C91C48" w:rsidP="00370B24">
            <w:pPr>
              <w:pStyle w:val="ListParagraph"/>
              <w:numPr>
                <w:ilvl w:val="1"/>
                <w:numId w:val="19"/>
              </w:numPr>
              <w:spacing w:before="120" w:after="120"/>
              <w:ind w:left="589" w:hanging="364"/>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 xml:space="preserve">Convene a Special Meeting of AICHR to discuss TOR of the </w:t>
            </w:r>
            <w:r w:rsidRPr="00E457CB">
              <w:rPr>
                <w:rFonts w:ascii="Arial" w:eastAsia="Times New Roman" w:hAnsi="Arial" w:cs="Arial"/>
                <w:bCs/>
                <w:i/>
                <w:sz w:val="20"/>
                <w:szCs w:val="20"/>
                <w:lang w:val="en-SG"/>
              </w:rPr>
              <w:t>ad hoc</w:t>
            </w:r>
            <w:r w:rsidRPr="00E457CB">
              <w:rPr>
                <w:rFonts w:ascii="Arial" w:eastAsia="Times New Roman" w:hAnsi="Arial" w:cs="Arial"/>
                <w:bCs/>
                <w:sz w:val="20"/>
                <w:szCs w:val="20"/>
                <w:lang w:val="en-SG"/>
              </w:rPr>
              <w:t xml:space="preserve"> Task Force. TOR of </w:t>
            </w:r>
            <w:r w:rsidRPr="00E457CB">
              <w:rPr>
                <w:rFonts w:ascii="Arial" w:eastAsia="Times New Roman" w:hAnsi="Arial" w:cs="Arial"/>
                <w:bCs/>
                <w:i/>
                <w:sz w:val="20"/>
                <w:szCs w:val="20"/>
                <w:lang w:val="en-SG"/>
              </w:rPr>
              <w:t>ad hoc</w:t>
            </w:r>
            <w:r w:rsidRPr="00E457CB">
              <w:rPr>
                <w:rFonts w:ascii="Arial" w:eastAsia="Times New Roman" w:hAnsi="Arial" w:cs="Arial"/>
                <w:bCs/>
                <w:sz w:val="20"/>
                <w:szCs w:val="20"/>
                <w:lang w:val="en-SG"/>
              </w:rPr>
              <w:t xml:space="preserve"> Task Force to include stock-taking and </w:t>
            </w:r>
            <w:r w:rsidR="00370B24" w:rsidRPr="00E457CB">
              <w:rPr>
                <w:rFonts w:ascii="Arial" w:eastAsia="Times New Roman" w:hAnsi="Arial" w:cs="Arial"/>
                <w:bCs/>
                <w:sz w:val="20"/>
                <w:szCs w:val="20"/>
                <w:lang w:val="en-SG"/>
              </w:rPr>
              <w:t>assessment</w:t>
            </w:r>
            <w:r w:rsidRPr="00E457CB">
              <w:rPr>
                <w:rFonts w:ascii="Arial" w:eastAsia="Times New Roman" w:hAnsi="Arial" w:cs="Arial"/>
                <w:bCs/>
                <w:sz w:val="20"/>
                <w:szCs w:val="20"/>
                <w:lang w:val="en-SG"/>
              </w:rPr>
              <w:t xml:space="preserve"> of status of existing human rights mechanisms and instruments in ASEAN</w:t>
            </w:r>
          </w:p>
          <w:p w:rsidR="00C91C48" w:rsidRPr="00E457CB" w:rsidRDefault="00C91C48" w:rsidP="00370B24">
            <w:pPr>
              <w:pStyle w:val="ListParagraph"/>
              <w:numPr>
                <w:ilvl w:val="1"/>
                <w:numId w:val="19"/>
              </w:numPr>
              <w:spacing w:before="120" w:after="120"/>
              <w:ind w:left="589" w:hanging="364"/>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Convene at least 3 meetings of the ad-hoc Task Force in 2010/2011</w:t>
            </w:r>
          </w:p>
          <w:p w:rsidR="00C91C48" w:rsidRPr="00E457CB" w:rsidRDefault="00C91C48" w:rsidP="00370B24">
            <w:pPr>
              <w:pStyle w:val="ListParagraph"/>
              <w:numPr>
                <w:ilvl w:val="0"/>
                <w:numId w:val="17"/>
              </w:numPr>
              <w:spacing w:before="120" w:after="120"/>
              <w:ind w:left="589" w:hanging="170"/>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 xml:space="preserve">Conduct 1 seminar/workshop on ADHR back-to-back to a meeting of the Task Force/AICHR </w:t>
            </w:r>
          </w:p>
        </w:tc>
      </w:tr>
      <w:tr w:rsidR="003F2C26" w:rsidRPr="00E457CB" w:rsidTr="00C91C48">
        <w:tc>
          <w:tcPr>
            <w:tcW w:w="13963" w:type="dxa"/>
            <w:gridSpan w:val="2"/>
            <w:tcBorders>
              <w:top w:val="single" w:sz="12" w:space="0" w:color="auto"/>
              <w:left w:val="single" w:sz="12" w:space="0" w:color="auto"/>
              <w:bottom w:val="single" w:sz="12" w:space="0" w:color="auto"/>
              <w:right w:val="single" w:sz="12" w:space="0" w:color="auto"/>
            </w:tcBorders>
            <w:shd w:val="clear" w:color="auto" w:fill="CCFFFF"/>
          </w:tcPr>
          <w:p w:rsidR="003F2C26" w:rsidRPr="00E457CB" w:rsidRDefault="003F2C26" w:rsidP="00370B24">
            <w:pPr>
              <w:autoSpaceDE w:val="0"/>
              <w:autoSpaceDN w:val="0"/>
              <w:adjustRightInd w:val="0"/>
              <w:spacing w:before="240" w:after="120"/>
              <w:jc w:val="both"/>
              <w:rPr>
                <w:rFonts w:ascii="Arial" w:eastAsia="Times New Roman" w:hAnsi="Arial" w:cs="Arial"/>
                <w:b/>
                <w:bCs/>
                <w:sz w:val="20"/>
                <w:szCs w:val="20"/>
                <w:lang w:val="en-SG"/>
              </w:rPr>
            </w:pPr>
            <w:r w:rsidRPr="00E457CB">
              <w:rPr>
                <w:rFonts w:ascii="Arial" w:eastAsia="Times New Roman" w:hAnsi="Arial" w:cs="Arial"/>
                <w:b/>
                <w:bCs/>
                <w:sz w:val="20"/>
                <w:szCs w:val="20"/>
                <w:lang w:val="en-SG"/>
              </w:rPr>
              <w:t>4.3 To enhance public awareness of human rights among the peoples of ASEAN through education, research and dissemination of information;</w:t>
            </w:r>
          </w:p>
        </w:tc>
      </w:tr>
      <w:tr w:rsidR="00C91C48" w:rsidRPr="00E457CB" w:rsidTr="00C91C48">
        <w:tc>
          <w:tcPr>
            <w:tcW w:w="6102" w:type="dxa"/>
            <w:tcBorders>
              <w:top w:val="single" w:sz="12" w:space="0" w:color="auto"/>
              <w:left w:val="single" w:sz="12" w:space="0" w:color="auto"/>
              <w:bottom w:val="single" w:sz="2" w:space="0" w:color="auto"/>
              <w:right w:val="single" w:sz="12" w:space="0" w:color="auto"/>
            </w:tcBorders>
          </w:tcPr>
          <w:p w:rsidR="00C91C48" w:rsidRPr="00E457CB" w:rsidRDefault="00C91C48" w:rsidP="00370B24">
            <w:pPr>
              <w:numPr>
                <w:ilvl w:val="0"/>
                <w:numId w:val="20"/>
              </w:numPr>
              <w:autoSpaceDE w:val="0"/>
              <w:autoSpaceDN w:val="0"/>
              <w:adjustRightInd w:val="0"/>
              <w:spacing w:before="120" w:after="120"/>
              <w:jc w:val="both"/>
              <w:rPr>
                <w:rFonts w:ascii="Arial" w:eastAsia="Times New Roman" w:hAnsi="Arial" w:cs="Arial"/>
                <w:sz w:val="20"/>
                <w:szCs w:val="20"/>
                <w:lang w:val="en-SG"/>
              </w:rPr>
            </w:pPr>
            <w:r w:rsidRPr="00E457CB">
              <w:rPr>
                <w:rFonts w:ascii="Arial" w:eastAsia="Times New Roman" w:hAnsi="Arial" w:cs="Arial"/>
                <w:sz w:val="20"/>
                <w:szCs w:val="20"/>
                <w:lang w:val="en-SG"/>
              </w:rPr>
              <w:t xml:space="preserve">Develop general basic information about AICHR including translation in each national language </w:t>
            </w:r>
          </w:p>
        </w:tc>
        <w:tc>
          <w:tcPr>
            <w:tcW w:w="7861" w:type="dxa"/>
            <w:tcBorders>
              <w:top w:val="single" w:sz="12" w:space="0" w:color="auto"/>
              <w:left w:val="single" w:sz="12" w:space="0" w:color="auto"/>
              <w:right w:val="single" w:sz="12" w:space="0" w:color="auto"/>
            </w:tcBorders>
          </w:tcPr>
          <w:p w:rsidR="00C91C48" w:rsidRPr="00E457CB" w:rsidRDefault="00C91C48" w:rsidP="00370B24">
            <w:pPr>
              <w:pStyle w:val="ListParagraph"/>
              <w:spacing w:before="120" w:after="120"/>
              <w:ind w:left="0"/>
              <w:contextualSpacing w:val="0"/>
              <w:jc w:val="both"/>
              <w:rPr>
                <w:rFonts w:ascii="Arial" w:eastAsia="Times New Roman" w:hAnsi="Arial" w:cs="Arial"/>
                <w:b/>
                <w:bCs/>
                <w:i/>
                <w:sz w:val="20"/>
                <w:szCs w:val="20"/>
                <w:lang w:val="en-SG"/>
              </w:rPr>
            </w:pPr>
            <w:r w:rsidRPr="00E457CB">
              <w:rPr>
                <w:rFonts w:ascii="Arial" w:eastAsia="Times New Roman" w:hAnsi="Arial" w:cs="Arial"/>
                <w:bCs/>
                <w:sz w:val="20"/>
                <w:szCs w:val="20"/>
                <w:lang w:val="en-SG"/>
              </w:rPr>
              <w:t>Develop and publish a booklet on AICHR in English and translation into national languages in 2011</w:t>
            </w:r>
          </w:p>
          <w:p w:rsidR="00C91C48" w:rsidRPr="00E457CB" w:rsidRDefault="00C91C48" w:rsidP="00370B24">
            <w:pPr>
              <w:pStyle w:val="ListParagraph"/>
              <w:spacing w:before="120" w:after="120"/>
              <w:ind w:left="0"/>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 xml:space="preserve"> </w:t>
            </w:r>
          </w:p>
        </w:tc>
      </w:tr>
      <w:tr w:rsidR="00C91C48" w:rsidRPr="00E457CB" w:rsidTr="00C91C48">
        <w:trPr>
          <w:trHeight w:val="696"/>
        </w:trPr>
        <w:tc>
          <w:tcPr>
            <w:tcW w:w="6102" w:type="dxa"/>
            <w:tcBorders>
              <w:top w:val="single" w:sz="2" w:space="0" w:color="auto"/>
              <w:left w:val="single" w:sz="12" w:space="0" w:color="auto"/>
              <w:bottom w:val="single" w:sz="12" w:space="0" w:color="auto"/>
              <w:right w:val="single" w:sz="12" w:space="0" w:color="auto"/>
            </w:tcBorders>
          </w:tcPr>
          <w:p w:rsidR="00C91C48" w:rsidRPr="00E457CB" w:rsidRDefault="00C91C48" w:rsidP="00370B24">
            <w:pPr>
              <w:pStyle w:val="ListParagraph"/>
              <w:numPr>
                <w:ilvl w:val="0"/>
                <w:numId w:val="20"/>
              </w:numPr>
              <w:spacing w:before="120" w:after="120"/>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Develop a website of AICHR both at the regional and national level that is accessible to the public</w:t>
            </w:r>
          </w:p>
        </w:tc>
        <w:tc>
          <w:tcPr>
            <w:tcW w:w="7861" w:type="dxa"/>
            <w:tcBorders>
              <w:left w:val="single" w:sz="12" w:space="0" w:color="auto"/>
              <w:bottom w:val="single" w:sz="12" w:space="0" w:color="auto"/>
              <w:right w:val="single" w:sz="12" w:space="0" w:color="auto"/>
            </w:tcBorders>
          </w:tcPr>
          <w:p w:rsidR="00C91C48" w:rsidRPr="00E457CB" w:rsidRDefault="00C91C48" w:rsidP="00370B24">
            <w:pPr>
              <w:pStyle w:val="ListParagraph"/>
              <w:spacing w:before="120" w:after="120"/>
              <w:ind w:left="0"/>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Develop a website fo</w:t>
            </w:r>
            <w:r w:rsidR="008D3C42" w:rsidRPr="00E457CB">
              <w:rPr>
                <w:rFonts w:ascii="Arial" w:eastAsia="Times New Roman" w:hAnsi="Arial" w:cs="Arial"/>
                <w:bCs/>
                <w:sz w:val="20"/>
                <w:szCs w:val="20"/>
                <w:lang w:val="en-SG"/>
              </w:rPr>
              <w:t>r AICHR</w:t>
            </w:r>
            <w:r w:rsidRPr="00E457CB">
              <w:rPr>
                <w:rFonts w:ascii="Arial" w:eastAsia="Times New Roman" w:hAnsi="Arial" w:cs="Arial"/>
                <w:bCs/>
                <w:sz w:val="20"/>
                <w:szCs w:val="20"/>
                <w:lang w:val="en-SG"/>
              </w:rPr>
              <w:t xml:space="preserve"> in 2010</w:t>
            </w:r>
          </w:p>
        </w:tc>
      </w:tr>
      <w:tr w:rsidR="003F2C26" w:rsidRPr="00E457CB" w:rsidTr="00C91C48">
        <w:tc>
          <w:tcPr>
            <w:tcW w:w="13963" w:type="dxa"/>
            <w:gridSpan w:val="2"/>
            <w:tcBorders>
              <w:top w:val="single" w:sz="12" w:space="0" w:color="auto"/>
              <w:left w:val="single" w:sz="12" w:space="0" w:color="auto"/>
              <w:bottom w:val="single" w:sz="12" w:space="0" w:color="auto"/>
              <w:right w:val="single" w:sz="12" w:space="0" w:color="auto"/>
            </w:tcBorders>
            <w:shd w:val="clear" w:color="auto" w:fill="CCFFFF"/>
          </w:tcPr>
          <w:p w:rsidR="003F2C26" w:rsidRPr="00E457CB" w:rsidRDefault="003F2C26" w:rsidP="00370B24">
            <w:pPr>
              <w:pStyle w:val="ListParagraph"/>
              <w:spacing w:before="240" w:after="120"/>
              <w:ind w:left="0"/>
              <w:contextualSpacing w:val="0"/>
              <w:jc w:val="both"/>
              <w:rPr>
                <w:rFonts w:ascii="Arial" w:eastAsia="Times New Roman" w:hAnsi="Arial" w:cs="Arial"/>
                <w:b/>
                <w:bCs/>
                <w:sz w:val="20"/>
                <w:szCs w:val="20"/>
                <w:lang w:val="en-SG"/>
              </w:rPr>
            </w:pPr>
            <w:r w:rsidRPr="00E457CB">
              <w:rPr>
                <w:rFonts w:ascii="Arial" w:eastAsia="Times New Roman" w:hAnsi="Arial" w:cs="Arial"/>
                <w:b/>
                <w:bCs/>
                <w:sz w:val="20"/>
                <w:szCs w:val="20"/>
                <w:lang w:val="en-SG"/>
              </w:rPr>
              <w:t>4.4 To promote capacity building for the effective implementation of international human rights treaty obligations undertaken by ASEAN Member States;</w:t>
            </w:r>
          </w:p>
        </w:tc>
      </w:tr>
      <w:tr w:rsidR="00C91C48" w:rsidRPr="00E457CB" w:rsidTr="00C91C48">
        <w:tc>
          <w:tcPr>
            <w:tcW w:w="6102" w:type="dxa"/>
            <w:tcBorders>
              <w:top w:val="single" w:sz="12" w:space="0" w:color="auto"/>
              <w:left w:val="single" w:sz="12" w:space="0" w:color="auto"/>
              <w:right w:val="single" w:sz="12" w:space="0" w:color="auto"/>
            </w:tcBorders>
          </w:tcPr>
          <w:p w:rsidR="00C91C48" w:rsidRPr="00E457CB" w:rsidRDefault="00C91C48" w:rsidP="00370B24">
            <w:pPr>
              <w:numPr>
                <w:ilvl w:val="0"/>
                <w:numId w:val="21"/>
              </w:numPr>
              <w:spacing w:before="120" w:after="120"/>
              <w:jc w:val="both"/>
              <w:rPr>
                <w:rFonts w:ascii="Arial" w:eastAsia="Times New Roman" w:hAnsi="Arial" w:cs="Arial"/>
                <w:sz w:val="20"/>
                <w:szCs w:val="20"/>
                <w:lang w:val="en-SG"/>
              </w:rPr>
            </w:pPr>
            <w:r w:rsidRPr="00E457CB">
              <w:rPr>
                <w:rFonts w:ascii="Arial" w:eastAsia="Times New Roman" w:hAnsi="Arial" w:cs="Arial"/>
                <w:sz w:val="20"/>
                <w:szCs w:val="20"/>
                <w:lang w:val="en-SG"/>
              </w:rPr>
              <w:t>Undertake needs assessment for capacity building</w:t>
            </w:r>
          </w:p>
        </w:tc>
        <w:tc>
          <w:tcPr>
            <w:tcW w:w="7861" w:type="dxa"/>
            <w:tcBorders>
              <w:top w:val="single" w:sz="12" w:space="0" w:color="auto"/>
              <w:left w:val="single" w:sz="12" w:space="0" w:color="auto"/>
              <w:right w:val="single" w:sz="12" w:space="0" w:color="auto"/>
            </w:tcBorders>
            <w:vAlign w:val="center"/>
          </w:tcPr>
          <w:p w:rsidR="00C91C48" w:rsidRPr="00E457CB" w:rsidRDefault="00C91C48" w:rsidP="00370B24">
            <w:pPr>
              <w:pStyle w:val="ListParagraph"/>
              <w:spacing w:before="120" w:after="120"/>
              <w:ind w:left="0"/>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Organise a special meeting to discuss needs assessment for capacity building of AMS</w:t>
            </w:r>
          </w:p>
          <w:p w:rsidR="00C91C48" w:rsidRPr="00E457CB" w:rsidRDefault="00C91C48" w:rsidP="00370B24">
            <w:pPr>
              <w:pStyle w:val="ListParagraph"/>
              <w:spacing w:before="120" w:after="120"/>
              <w:ind w:left="0"/>
              <w:contextualSpacing w:val="0"/>
              <w:jc w:val="both"/>
              <w:rPr>
                <w:rFonts w:ascii="Arial" w:eastAsia="Times New Roman" w:hAnsi="Arial" w:cs="Arial"/>
                <w:bCs/>
                <w:sz w:val="20"/>
                <w:szCs w:val="20"/>
                <w:lang w:val="en-SG"/>
              </w:rPr>
            </w:pPr>
          </w:p>
        </w:tc>
      </w:tr>
      <w:tr w:rsidR="00C91C48" w:rsidRPr="00E457CB" w:rsidTr="00C91C48">
        <w:trPr>
          <w:trHeight w:val="779"/>
        </w:trPr>
        <w:tc>
          <w:tcPr>
            <w:tcW w:w="6102" w:type="dxa"/>
            <w:tcBorders>
              <w:top w:val="single" w:sz="12" w:space="0" w:color="auto"/>
              <w:left w:val="single" w:sz="12" w:space="0" w:color="auto"/>
              <w:right w:val="single" w:sz="12" w:space="0" w:color="auto"/>
            </w:tcBorders>
          </w:tcPr>
          <w:p w:rsidR="00C91C48" w:rsidRPr="00E457CB" w:rsidRDefault="00C91C48" w:rsidP="00370B24">
            <w:pPr>
              <w:numPr>
                <w:ilvl w:val="0"/>
                <w:numId w:val="21"/>
              </w:numPr>
              <w:tabs>
                <w:tab w:val="center" w:pos="360"/>
              </w:tabs>
              <w:spacing w:before="120" w:after="120"/>
              <w:jc w:val="both"/>
              <w:rPr>
                <w:rFonts w:ascii="Arial" w:eastAsia="Times New Roman" w:hAnsi="Arial" w:cs="Arial"/>
                <w:sz w:val="20"/>
                <w:szCs w:val="20"/>
                <w:lang w:val="en-SG"/>
              </w:rPr>
            </w:pPr>
            <w:r w:rsidRPr="00E457CB">
              <w:rPr>
                <w:rFonts w:ascii="Arial" w:eastAsia="Times New Roman" w:hAnsi="Arial" w:cs="Arial"/>
                <w:sz w:val="20"/>
                <w:szCs w:val="20"/>
                <w:lang w:val="en-SG"/>
              </w:rPr>
              <w:t>Design and organise a general course/advanced annual training  program on human rights for government officials, law enforcement officers, teachers etc.</w:t>
            </w:r>
          </w:p>
        </w:tc>
        <w:tc>
          <w:tcPr>
            <w:tcW w:w="7861" w:type="dxa"/>
            <w:tcBorders>
              <w:left w:val="single" w:sz="12" w:space="0" w:color="auto"/>
              <w:right w:val="single" w:sz="12" w:space="0" w:color="auto"/>
            </w:tcBorders>
          </w:tcPr>
          <w:p w:rsidR="00C91C48" w:rsidRPr="00E457CB" w:rsidRDefault="00C91C48" w:rsidP="00370B24">
            <w:pPr>
              <w:pStyle w:val="ListParagraph"/>
              <w:numPr>
                <w:ilvl w:val="0"/>
                <w:numId w:val="22"/>
              </w:numPr>
              <w:spacing w:before="120" w:after="120"/>
              <w:ind w:left="617" w:hanging="198"/>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 xml:space="preserve">AICHR to design and conduct one training course for trainers for the general course on human rights </w:t>
            </w:r>
          </w:p>
          <w:p w:rsidR="00C91C48" w:rsidRPr="00E457CB" w:rsidRDefault="00C91C48" w:rsidP="00370B24">
            <w:pPr>
              <w:pStyle w:val="ListParagraph"/>
              <w:numPr>
                <w:ilvl w:val="0"/>
                <w:numId w:val="22"/>
              </w:numPr>
              <w:spacing w:before="120" w:after="120"/>
              <w:ind w:left="617" w:hanging="198"/>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Conduct a thematic training course for government officials of Member States</w:t>
            </w:r>
          </w:p>
        </w:tc>
      </w:tr>
      <w:tr w:rsidR="00C91C48" w:rsidRPr="00E457CB" w:rsidTr="00C91C48">
        <w:trPr>
          <w:trHeight w:val="779"/>
        </w:trPr>
        <w:tc>
          <w:tcPr>
            <w:tcW w:w="6102" w:type="dxa"/>
            <w:tcBorders>
              <w:top w:val="single" w:sz="12" w:space="0" w:color="auto"/>
              <w:left w:val="single" w:sz="12" w:space="0" w:color="auto"/>
              <w:right w:val="single" w:sz="12" w:space="0" w:color="auto"/>
            </w:tcBorders>
          </w:tcPr>
          <w:p w:rsidR="00C91C48" w:rsidRPr="00E457CB" w:rsidRDefault="00C91C48" w:rsidP="00370B24">
            <w:pPr>
              <w:numPr>
                <w:ilvl w:val="0"/>
                <w:numId w:val="21"/>
              </w:numPr>
              <w:tabs>
                <w:tab w:val="center" w:pos="360"/>
              </w:tabs>
              <w:spacing w:before="120" w:after="120"/>
              <w:jc w:val="both"/>
              <w:rPr>
                <w:rFonts w:ascii="Arial" w:eastAsia="Times New Roman" w:hAnsi="Arial" w:cs="Arial"/>
                <w:sz w:val="20"/>
                <w:szCs w:val="20"/>
                <w:lang w:val="en-SG"/>
              </w:rPr>
            </w:pPr>
            <w:r w:rsidRPr="00E457CB">
              <w:rPr>
                <w:rFonts w:ascii="Arial" w:hAnsi="Arial" w:cs="Arial"/>
                <w:sz w:val="20"/>
                <w:szCs w:val="20"/>
                <w:lang w:val="en-SG"/>
              </w:rPr>
              <w:lastRenderedPageBreak/>
              <w:t xml:space="preserve">Share best practices among ASEAN Member States </w:t>
            </w:r>
          </w:p>
        </w:tc>
        <w:tc>
          <w:tcPr>
            <w:tcW w:w="7861" w:type="dxa"/>
            <w:tcBorders>
              <w:left w:val="single" w:sz="12" w:space="0" w:color="auto"/>
              <w:right w:val="single" w:sz="12" w:space="0" w:color="auto"/>
            </w:tcBorders>
          </w:tcPr>
          <w:p w:rsidR="00C91C48" w:rsidRPr="00E457CB" w:rsidRDefault="00C91C48" w:rsidP="00370B24">
            <w:pPr>
              <w:spacing w:before="120" w:after="120"/>
              <w:jc w:val="both"/>
              <w:rPr>
                <w:rFonts w:ascii="Arial" w:eastAsia="Times New Roman" w:hAnsi="Arial" w:cs="Arial"/>
                <w:bCs/>
                <w:sz w:val="20"/>
                <w:szCs w:val="20"/>
                <w:lang w:val="en-SG"/>
              </w:rPr>
            </w:pPr>
            <w:r w:rsidRPr="00E457CB">
              <w:rPr>
                <w:rFonts w:ascii="Arial" w:hAnsi="Arial" w:cs="Arial"/>
                <w:sz w:val="20"/>
                <w:szCs w:val="20"/>
                <w:lang w:val="en-SG"/>
              </w:rPr>
              <w:t>Conduct a workshop for information sharing involving representatives of related government officials of the ASEAN Member States by 2011</w:t>
            </w:r>
          </w:p>
        </w:tc>
      </w:tr>
      <w:tr w:rsidR="003F2C26" w:rsidRPr="00E457CB" w:rsidTr="00C91C48">
        <w:tc>
          <w:tcPr>
            <w:tcW w:w="13963" w:type="dxa"/>
            <w:gridSpan w:val="2"/>
            <w:tcBorders>
              <w:top w:val="single" w:sz="12" w:space="0" w:color="auto"/>
              <w:left w:val="single" w:sz="12" w:space="0" w:color="auto"/>
              <w:bottom w:val="single" w:sz="12" w:space="0" w:color="auto"/>
              <w:right w:val="single" w:sz="12" w:space="0" w:color="auto"/>
            </w:tcBorders>
            <w:shd w:val="clear" w:color="auto" w:fill="CCFFFF"/>
          </w:tcPr>
          <w:p w:rsidR="003F2C26" w:rsidRPr="00E457CB" w:rsidRDefault="003F2C26" w:rsidP="00370B24">
            <w:pPr>
              <w:pStyle w:val="ListParagraph"/>
              <w:spacing w:before="240" w:after="120"/>
              <w:ind w:left="0"/>
              <w:contextualSpacing w:val="0"/>
              <w:jc w:val="both"/>
              <w:rPr>
                <w:rFonts w:ascii="Arial" w:eastAsia="Times New Roman" w:hAnsi="Arial" w:cs="Arial"/>
                <w:b/>
                <w:bCs/>
                <w:sz w:val="20"/>
                <w:szCs w:val="20"/>
                <w:lang w:val="en-SG"/>
              </w:rPr>
            </w:pPr>
            <w:r w:rsidRPr="00E457CB">
              <w:rPr>
                <w:rFonts w:ascii="Arial" w:eastAsia="Times New Roman" w:hAnsi="Arial" w:cs="Arial"/>
                <w:b/>
                <w:bCs/>
                <w:sz w:val="20"/>
                <w:szCs w:val="20"/>
                <w:lang w:val="en-SG"/>
              </w:rPr>
              <w:t>4.5 To encourage ASEAN Member States to consider acceding to and ratifying international human rights instruments;</w:t>
            </w:r>
          </w:p>
        </w:tc>
      </w:tr>
      <w:tr w:rsidR="00C91C48" w:rsidRPr="00E457CB" w:rsidTr="00C91C48">
        <w:tc>
          <w:tcPr>
            <w:tcW w:w="6102" w:type="dxa"/>
            <w:tcBorders>
              <w:top w:val="single" w:sz="12" w:space="0" w:color="auto"/>
              <w:left w:val="single" w:sz="12" w:space="0" w:color="auto"/>
              <w:bottom w:val="single" w:sz="2" w:space="0" w:color="auto"/>
              <w:right w:val="single" w:sz="12" w:space="0" w:color="auto"/>
            </w:tcBorders>
          </w:tcPr>
          <w:p w:rsidR="00C91C48" w:rsidRPr="00E457CB" w:rsidRDefault="00C91C48" w:rsidP="00370B24">
            <w:pPr>
              <w:pStyle w:val="ListParagraph"/>
              <w:numPr>
                <w:ilvl w:val="0"/>
                <w:numId w:val="23"/>
              </w:numPr>
              <w:spacing w:before="120" w:after="120"/>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 xml:space="preserve">Complete a stocktaking of existing human rights instruments acceded and ratified by ASEAN Member States </w:t>
            </w:r>
          </w:p>
        </w:tc>
        <w:tc>
          <w:tcPr>
            <w:tcW w:w="7861" w:type="dxa"/>
            <w:tcBorders>
              <w:top w:val="single" w:sz="12" w:space="0" w:color="auto"/>
              <w:left w:val="single" w:sz="12" w:space="0" w:color="auto"/>
              <w:right w:val="single" w:sz="12" w:space="0" w:color="auto"/>
            </w:tcBorders>
          </w:tcPr>
          <w:p w:rsidR="00C91C48" w:rsidRPr="00E457CB" w:rsidRDefault="00C91C48" w:rsidP="00370B24">
            <w:pPr>
              <w:pStyle w:val="ListParagraph"/>
              <w:spacing w:before="120" w:after="120"/>
              <w:ind w:left="0"/>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AICHR to undertake the stocktaking of existing human rights instruments acceded and ratified by ASEAN Member States</w:t>
            </w:r>
          </w:p>
        </w:tc>
      </w:tr>
      <w:tr w:rsidR="00C729A6" w:rsidRPr="00E457CB" w:rsidTr="00C91C48">
        <w:tc>
          <w:tcPr>
            <w:tcW w:w="13963" w:type="dxa"/>
            <w:gridSpan w:val="2"/>
            <w:tcBorders>
              <w:top w:val="single" w:sz="12" w:space="0" w:color="auto"/>
              <w:left w:val="single" w:sz="12" w:space="0" w:color="auto"/>
              <w:bottom w:val="single" w:sz="12" w:space="0" w:color="auto"/>
              <w:right w:val="single" w:sz="12" w:space="0" w:color="auto"/>
            </w:tcBorders>
            <w:shd w:val="clear" w:color="auto" w:fill="CCFFFF"/>
          </w:tcPr>
          <w:p w:rsidR="00C729A6" w:rsidRPr="00E457CB" w:rsidRDefault="00402FE2" w:rsidP="00370B24">
            <w:pPr>
              <w:autoSpaceDE w:val="0"/>
              <w:autoSpaceDN w:val="0"/>
              <w:adjustRightInd w:val="0"/>
              <w:spacing w:before="240" w:after="120"/>
              <w:ind w:left="360" w:hanging="360"/>
              <w:jc w:val="both"/>
              <w:rPr>
                <w:rFonts w:ascii="Arial" w:eastAsia="Times New Roman" w:hAnsi="Arial" w:cs="Arial"/>
                <w:b/>
                <w:bCs/>
                <w:sz w:val="20"/>
                <w:szCs w:val="20"/>
                <w:lang w:val="en-SG"/>
              </w:rPr>
            </w:pPr>
            <w:r w:rsidRPr="00E457CB">
              <w:rPr>
                <w:rFonts w:ascii="Arial" w:eastAsia="Times New Roman" w:hAnsi="Arial" w:cs="Arial"/>
                <w:b/>
                <w:bCs/>
                <w:noProof/>
                <w:sz w:val="20"/>
                <w:szCs w:val="20"/>
                <w:lang w:val="en-SG"/>
              </w:rPr>
              <mc:AlternateContent>
                <mc:Choice Requires="wps">
                  <w:drawing>
                    <wp:anchor distT="0" distB="0" distL="114300" distR="114300" simplePos="0" relativeHeight="251658240" behindDoc="0" locked="0" layoutInCell="1" allowOverlap="1">
                      <wp:simplePos x="0" y="0"/>
                      <wp:positionH relativeFrom="column">
                        <wp:posOffset>3731895</wp:posOffset>
                      </wp:positionH>
                      <wp:positionV relativeFrom="paragraph">
                        <wp:posOffset>-16510</wp:posOffset>
                      </wp:positionV>
                      <wp:extent cx="1085850" cy="2540"/>
                      <wp:effectExtent l="7620" t="6985" r="1143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E7637"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1.3pt" to="37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gIHAIAADYEAAAOAAAAZHJzL2Uyb0RvYy54bWysU02P2yAQvVfqf0DcE3/UyWatOKvKTnpJ&#10;20i77Z0AjlExICBxoqr/vQP5aLa9VFV9wAMz83gzb5g/HXuJDtw6oVWFs3GKEVdUM6F2Ff7yshrN&#10;MHKeKEakVrzCJ+7w0+Ltm/lgSp7rTkvGLQIQ5crBVLjz3pRJ4mjHe+LG2nAFzlbbnnjY2l3CLBkA&#10;vZdJnqbTZNCWGaspdw5Om7MTLyJ+23LqP7et4x7JCgM3H1cb121Yk8WclDtLTCfohQb5BxY9EQou&#10;vUE1xBO0t+IPqF5Qq51u/ZjqPtFtKyiPNUA1WfpbNc8dMTzWAs1x5tYm9/9g6afDxiLBKpxjpEgP&#10;Eq2F4mgSOjMYV0JArTY21EaP6tmsNf3mkNJ1R9SOR4YvJwNpWchIXqWEjTOAvx0+agYxZO91bNOx&#10;tT1qpTBfQ2IAh1agY9TldNOFHz2icJils8lsAvJR8OWTIsqWkDKghFxjnf/AdY+CUWEJBURMclg7&#10;H1j9CgnhSq+ElFF5qdAA+PlDmsYMp6VgwRvinN1ta2nRgYThiV+sETz3YVbvFYtoHSdsebE9EfJs&#10;w+1SBTwoB/hcrPN0fH9MH5ez5awYFfl0OSrSphm9X9XFaLrKHibNu6aum+xHoJYVZScY4yqwu05q&#10;VvzdJFzezHnGbrN660PyGj02DMhe/5F0VDaIeR6LrWanjb0qDsMZgy8PKUz//R7s++e++AkAAP//&#10;AwBQSwMEFAAGAAgAAAAhAFP/sQPeAAAACQEAAA8AAABkcnMvZG93bnJldi54bWxMj01Lw0AQhu+C&#10;/2EZwVu7SaBNidkU8QMECWL10ts0OybF7GzIbtP4752e9DjvPLzzTLmdXa8mGsPRs4F0mYAibrw9&#10;cmvg8+N5sQEVIrLF3jMZ+KEA2+r6qsTC+jO/07SLrZISDgUa6GIcCq1D05HDsPQDsey+/Ogwyji2&#10;2o54lnLX6yxJ1trhkeVChwM9dNR8707OwJTW/PbytPePr1i3q7S2+yaPxtzezPd3oCLN8Q+Gi76o&#10;QyVOB39iG1RvYLXJc0ENLLI1KAFySUAdLkEGuir1/w+qXwAAAP//AwBQSwECLQAUAAYACAAAACEA&#10;toM4kv4AAADhAQAAEwAAAAAAAAAAAAAAAAAAAAAAW0NvbnRlbnRfVHlwZXNdLnhtbFBLAQItABQA&#10;BgAIAAAAIQA4/SH/1gAAAJQBAAALAAAAAAAAAAAAAAAAAC8BAABfcmVscy8ucmVsc1BLAQItABQA&#10;BgAIAAAAIQBD8kgIHAIAADYEAAAOAAAAAAAAAAAAAAAAAC4CAABkcnMvZTJvRG9jLnhtbFBLAQIt&#10;ABQABgAIAAAAIQBT/7ED3gAAAAkBAAAPAAAAAAAAAAAAAAAAAHYEAABkcnMvZG93bnJldi54bWxQ&#10;SwUGAAAAAAQABADzAAAAgQUAAAAA&#10;" strokeweight="1pt"/>
                  </w:pict>
                </mc:Fallback>
              </mc:AlternateContent>
            </w:r>
            <w:r w:rsidRPr="00E457CB">
              <w:rPr>
                <w:rFonts w:ascii="Arial" w:eastAsia="Times New Roman" w:hAnsi="Arial" w:cs="Arial"/>
                <w:b/>
                <w:bCs/>
                <w:noProof/>
                <w:sz w:val="20"/>
                <w:szCs w:val="20"/>
                <w:lang w:val="en-SG"/>
              </w:rPr>
              <mc:AlternateContent>
                <mc:Choice Requires="wps">
                  <w:drawing>
                    <wp:anchor distT="0" distB="0" distL="114300" distR="114300" simplePos="0" relativeHeight="251657216" behindDoc="0" locked="0" layoutInCell="1" allowOverlap="1">
                      <wp:simplePos x="0" y="0"/>
                      <wp:positionH relativeFrom="column">
                        <wp:posOffset>3802380</wp:posOffset>
                      </wp:positionH>
                      <wp:positionV relativeFrom="paragraph">
                        <wp:posOffset>-11430</wp:posOffset>
                      </wp:positionV>
                      <wp:extent cx="1085850" cy="2540"/>
                      <wp:effectExtent l="11430" t="12065" r="762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077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pt,-.9pt" to="38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xjHAIAADUEAAAOAAAAZHJzL2Uyb0RvYy54bWysU02P2yAQvVfqf0DcE9upnSZWnFVlJ71s&#10;u5F22zsBHKNiQEDiRFX/ewfy0Wx7qar6gAdm5vFm3rB4OPYSHbh1QqsKZ+MUI66oZkLtKvzlZT2a&#10;YeQ8UYxIrXiFT9zhh+XbN4vBlHyiOy0ZtwhAlCsHU+HOe1MmiaMd74kba8MVOFtte+Jha3cJs2QA&#10;9F4mkzSdJoO2zFhNuXNw2pydeBnx25ZT/9S2jnskKwzcfFxtXLdhTZYLUu4sMZ2gFxrkH1j0RCi4&#10;9AbVEE/Q3oo/oHpBrXa69WOq+0S3raA81gDVZOlv1Tx3xPBYCzTHmVub3P+DpZ8PG4sEA+0wUqQH&#10;iR6F4igPnRmMKyGgVhsbaqNH9WweNf3mkNJ1R9SOR4YvJwNpWchIXqWEjTOAvx0+aQYxZO91bNOx&#10;tT1qpTBfQ2IAh1agY9TldNOFHz2icJils2JWgHwUfJMij7IlpAwoIddY5z9y3aNgVFhCARGTHB6d&#10;D6x+hYRwpddCyqi8VGio8LyYFDHBaSlYcIYwZ3fbWlp0IGF24hdLBM99mNV7xSJYxwlbXWxPhDzb&#10;cLlUAQ+qAToX6zwc3+fpfDVbzfJRPpmuRnnaNKMP6zofTdfZ+6J519R1k/0I1LK87ARjXAV210HN&#10;8r8bhMuTOY/YbVRvbUheo8d+AdnrP5KOwgYtz1Ox1ey0sVfBYTZj8OUdheG/34N9/9qXPwEAAP//&#10;AwBQSwMEFAAGAAgAAAAhAIHNQOndAAAACQEAAA8AAABkcnMvZG93bnJldi54bWxMj81OwzAQhO9I&#10;vIO1SNxapwVKE+JUFQIuSJUoac9OvCQR9jqK3TS8PdsTnPZvNPNtvpmcFSMOofOkYDFPQCDV3nTU&#10;KCg/X2drECFqMtp6QgU/GGBTXF/lOjP+TB847mMj2IRCphW0MfaZlKFu0ekw9z0S37784HTkcWik&#10;GfSZzZ2VyyRZSac74oRW9/jcYv29PzkF2+P7y91urJy3Jm3Kg3Fl8rZU6vZm2j6BiDjFPzFc8Bkd&#10;Cmaq/IlMEFbBQ7pm9KhgtuDKgsdVyk11WdyDLHL5/4PiFwAA//8DAFBLAQItABQABgAIAAAAIQC2&#10;gziS/gAAAOEBAAATAAAAAAAAAAAAAAAAAAAAAABbQ29udGVudF9UeXBlc10ueG1sUEsBAi0AFAAG&#10;AAgAAAAhADj9If/WAAAAlAEAAAsAAAAAAAAAAAAAAAAALwEAAF9yZWxzLy5yZWxzUEsBAi0AFAAG&#10;AAgAAAAhAPPHTGMcAgAANQQAAA4AAAAAAAAAAAAAAAAALgIAAGRycy9lMm9Eb2MueG1sUEsBAi0A&#10;FAAGAAgAAAAhAIHNQOndAAAACQEAAA8AAAAAAAAAAAAAAAAAdgQAAGRycy9kb3ducmV2LnhtbFBL&#10;BQYAAAAABAAEAPMAAACABQAAAAA=&#10;"/>
                  </w:pict>
                </mc:Fallback>
              </mc:AlternateContent>
            </w:r>
            <w:r w:rsidR="00C729A6" w:rsidRPr="00E457CB">
              <w:rPr>
                <w:rFonts w:ascii="Arial" w:eastAsia="Times New Roman" w:hAnsi="Arial" w:cs="Arial"/>
                <w:b/>
                <w:bCs/>
                <w:sz w:val="20"/>
                <w:szCs w:val="20"/>
                <w:lang w:val="en-SG"/>
              </w:rPr>
              <w:t>4.9. To consult, as may be appropriate, with other national, regional and international institutions and entities concerned with the promotion and protection of human rights;</w:t>
            </w:r>
          </w:p>
        </w:tc>
      </w:tr>
      <w:tr w:rsidR="00C91C48" w:rsidRPr="00E457CB" w:rsidTr="00C91C48">
        <w:tc>
          <w:tcPr>
            <w:tcW w:w="6102" w:type="dxa"/>
            <w:tcBorders>
              <w:top w:val="single" w:sz="12" w:space="0" w:color="auto"/>
              <w:left w:val="single" w:sz="12" w:space="0" w:color="auto"/>
              <w:bottom w:val="single" w:sz="2" w:space="0" w:color="auto"/>
              <w:right w:val="single" w:sz="12" w:space="0" w:color="auto"/>
            </w:tcBorders>
          </w:tcPr>
          <w:p w:rsidR="00C91C48" w:rsidRPr="00E457CB" w:rsidRDefault="00C91C48" w:rsidP="00370B24">
            <w:pPr>
              <w:numPr>
                <w:ilvl w:val="0"/>
                <w:numId w:val="24"/>
              </w:numPr>
              <w:spacing w:before="120" w:after="120"/>
              <w:jc w:val="both"/>
              <w:rPr>
                <w:rFonts w:ascii="Arial" w:eastAsia="Times New Roman" w:hAnsi="Arial" w:cs="Arial"/>
                <w:sz w:val="20"/>
                <w:szCs w:val="20"/>
                <w:lang w:val="en-SG"/>
              </w:rPr>
            </w:pPr>
            <w:r w:rsidRPr="00E457CB">
              <w:rPr>
                <w:rFonts w:ascii="Arial" w:eastAsia="Times New Roman" w:hAnsi="Arial" w:cs="Arial"/>
                <w:sz w:val="20"/>
                <w:szCs w:val="20"/>
                <w:lang w:val="en-SG"/>
              </w:rPr>
              <w:t>Develop in the Rules of Procedure the modalities and guidelines for consultation with other national, regional and international institutions and entities concerned with the promotion and protection of human rights</w:t>
            </w:r>
          </w:p>
        </w:tc>
        <w:tc>
          <w:tcPr>
            <w:tcW w:w="7861" w:type="dxa"/>
            <w:tcBorders>
              <w:top w:val="single" w:sz="12" w:space="0" w:color="auto"/>
              <w:left w:val="single" w:sz="12" w:space="0" w:color="auto"/>
              <w:right w:val="single" w:sz="12" w:space="0" w:color="auto"/>
            </w:tcBorders>
          </w:tcPr>
          <w:p w:rsidR="00C91C48" w:rsidRPr="00E457CB" w:rsidRDefault="00C91C48" w:rsidP="00370B24">
            <w:pPr>
              <w:pStyle w:val="ListParagraph"/>
              <w:spacing w:before="120" w:after="120"/>
              <w:ind w:left="0"/>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 xml:space="preserve">AICHR meeting to discuss and finalise the </w:t>
            </w:r>
            <w:proofErr w:type="spellStart"/>
            <w:r w:rsidRPr="00E457CB">
              <w:rPr>
                <w:rFonts w:ascii="Arial" w:eastAsia="Times New Roman" w:hAnsi="Arial" w:cs="Arial"/>
                <w:bCs/>
                <w:sz w:val="20"/>
                <w:szCs w:val="20"/>
                <w:lang w:val="en-SG"/>
              </w:rPr>
              <w:t>RoP</w:t>
            </w:r>
            <w:proofErr w:type="spellEnd"/>
            <w:r w:rsidRPr="00E457CB">
              <w:rPr>
                <w:rFonts w:ascii="Arial" w:eastAsia="Times New Roman" w:hAnsi="Arial" w:cs="Arial"/>
                <w:bCs/>
                <w:sz w:val="20"/>
                <w:szCs w:val="20"/>
                <w:lang w:val="en-SG"/>
              </w:rPr>
              <w:t>, specifically on consultation with national, regional and international human rights institutions and entities.</w:t>
            </w:r>
          </w:p>
        </w:tc>
      </w:tr>
      <w:tr w:rsidR="00C729A6" w:rsidRPr="00E457CB" w:rsidTr="00C91C48">
        <w:tc>
          <w:tcPr>
            <w:tcW w:w="13963" w:type="dxa"/>
            <w:gridSpan w:val="2"/>
            <w:tcBorders>
              <w:top w:val="single" w:sz="12" w:space="0" w:color="auto"/>
              <w:left w:val="single" w:sz="12" w:space="0" w:color="auto"/>
              <w:bottom w:val="single" w:sz="12" w:space="0" w:color="auto"/>
              <w:right w:val="single" w:sz="12" w:space="0" w:color="auto"/>
            </w:tcBorders>
            <w:shd w:val="clear" w:color="auto" w:fill="CCFFFF"/>
          </w:tcPr>
          <w:p w:rsidR="00C729A6" w:rsidRPr="00E457CB" w:rsidRDefault="00C729A6" w:rsidP="00370B24">
            <w:pPr>
              <w:pStyle w:val="ListParagraph"/>
              <w:spacing w:before="240" w:after="120"/>
              <w:ind w:left="0"/>
              <w:contextualSpacing w:val="0"/>
              <w:jc w:val="both"/>
              <w:rPr>
                <w:rFonts w:ascii="Arial" w:eastAsia="Times New Roman" w:hAnsi="Arial" w:cs="Arial"/>
                <w:b/>
                <w:bCs/>
                <w:sz w:val="20"/>
                <w:szCs w:val="20"/>
                <w:lang w:val="en-SG"/>
              </w:rPr>
            </w:pPr>
            <w:r w:rsidRPr="00E457CB">
              <w:rPr>
                <w:rFonts w:ascii="Arial" w:eastAsia="Times New Roman" w:hAnsi="Arial" w:cs="Arial"/>
                <w:b/>
                <w:bCs/>
                <w:sz w:val="20"/>
                <w:szCs w:val="20"/>
                <w:lang w:val="en-SG"/>
              </w:rPr>
              <w:t>4.11 To develop common approaches and positions on human rights matters of interest to ASEAN;</w:t>
            </w:r>
          </w:p>
        </w:tc>
      </w:tr>
      <w:tr w:rsidR="00C91C48" w:rsidRPr="00E457CB" w:rsidTr="00C91C48">
        <w:tc>
          <w:tcPr>
            <w:tcW w:w="6102" w:type="dxa"/>
            <w:tcBorders>
              <w:top w:val="single" w:sz="2" w:space="0" w:color="auto"/>
              <w:left w:val="single" w:sz="12" w:space="0" w:color="auto"/>
              <w:bottom w:val="single" w:sz="2" w:space="0" w:color="auto"/>
              <w:right w:val="single" w:sz="12" w:space="0" w:color="auto"/>
            </w:tcBorders>
          </w:tcPr>
          <w:p w:rsidR="00C91C48" w:rsidRPr="00E457CB" w:rsidRDefault="00C91C48" w:rsidP="00370B24">
            <w:pPr>
              <w:numPr>
                <w:ilvl w:val="0"/>
                <w:numId w:val="25"/>
              </w:numPr>
              <w:spacing w:before="120" w:after="120"/>
              <w:jc w:val="both"/>
              <w:rPr>
                <w:rFonts w:ascii="Arial" w:eastAsia="Times New Roman" w:hAnsi="Arial" w:cs="Arial"/>
                <w:bCs/>
                <w:noProof/>
                <w:sz w:val="20"/>
                <w:szCs w:val="20"/>
                <w:lang w:val="en-SG" w:bidi="th-TH"/>
              </w:rPr>
            </w:pPr>
            <w:r w:rsidRPr="00E457CB">
              <w:rPr>
                <w:rFonts w:ascii="Arial" w:eastAsia="Times New Roman" w:hAnsi="Arial" w:cs="Arial"/>
                <w:bCs/>
                <w:noProof/>
                <w:sz w:val="20"/>
                <w:szCs w:val="20"/>
                <w:lang w:val="en-SG" w:bidi="th-TH"/>
              </w:rPr>
              <w:t>Identify the current and potential human rights matters of interest to ASEAN</w:t>
            </w:r>
          </w:p>
        </w:tc>
        <w:tc>
          <w:tcPr>
            <w:tcW w:w="7861" w:type="dxa"/>
            <w:tcBorders>
              <w:top w:val="single" w:sz="2" w:space="0" w:color="auto"/>
              <w:left w:val="single" w:sz="12" w:space="0" w:color="auto"/>
              <w:right w:val="single" w:sz="12" w:space="0" w:color="auto"/>
            </w:tcBorders>
          </w:tcPr>
          <w:p w:rsidR="00C91C48" w:rsidRPr="00E457CB" w:rsidRDefault="00C91C48" w:rsidP="00370B24">
            <w:pPr>
              <w:pStyle w:val="ListParagraph"/>
              <w:spacing w:before="120" w:after="120"/>
              <w:ind w:left="0"/>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AICHR to undertake research/study on human rights matters that may require ASEAN common positions and approaches at the global level</w:t>
            </w:r>
          </w:p>
        </w:tc>
      </w:tr>
    </w:tbl>
    <w:p w:rsidR="00370B24" w:rsidRPr="00E457CB" w:rsidRDefault="00370B24">
      <w:pPr>
        <w:rPr>
          <w:rFonts w:ascii="Arial" w:hAnsi="Arial" w:cs="Arial"/>
          <w:sz w:val="20"/>
          <w:lang w:val="en-SG"/>
        </w:rPr>
      </w:pPr>
      <w:r w:rsidRPr="00E457CB">
        <w:rPr>
          <w:lang w:val="en-SG"/>
        </w:rPr>
        <w:br w:type="page"/>
      </w:r>
      <w:bookmarkStart w:id="1" w:name="_GoBack"/>
      <w:bookmarkEnd w:id="1"/>
    </w:p>
    <w:tbl>
      <w:tblPr>
        <w:tblW w:w="13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2"/>
        <w:gridCol w:w="7861"/>
      </w:tblGrid>
      <w:tr w:rsidR="00C729A6" w:rsidRPr="00E457CB" w:rsidTr="00C91C48">
        <w:trPr>
          <w:trHeight w:val="805"/>
        </w:trPr>
        <w:tc>
          <w:tcPr>
            <w:tcW w:w="13963" w:type="dxa"/>
            <w:gridSpan w:val="2"/>
            <w:tcBorders>
              <w:top w:val="single" w:sz="12" w:space="0" w:color="auto"/>
              <w:left w:val="single" w:sz="12" w:space="0" w:color="auto"/>
              <w:bottom w:val="single" w:sz="12" w:space="0" w:color="auto"/>
              <w:right w:val="single" w:sz="12" w:space="0" w:color="auto"/>
            </w:tcBorders>
            <w:shd w:val="clear" w:color="auto" w:fill="CCFFFF"/>
            <w:vAlign w:val="center"/>
          </w:tcPr>
          <w:p w:rsidR="00C729A6" w:rsidRPr="00E457CB" w:rsidRDefault="00C729A6" w:rsidP="00370B24">
            <w:pPr>
              <w:pStyle w:val="ListParagraph"/>
              <w:spacing w:before="240" w:after="120"/>
              <w:ind w:left="0"/>
              <w:contextualSpacing w:val="0"/>
              <w:jc w:val="both"/>
              <w:rPr>
                <w:rFonts w:ascii="Arial" w:eastAsia="Times New Roman" w:hAnsi="Arial" w:cs="Arial"/>
                <w:b/>
                <w:bCs/>
                <w:sz w:val="20"/>
                <w:szCs w:val="20"/>
                <w:lang w:val="en-SG"/>
              </w:rPr>
            </w:pPr>
            <w:r w:rsidRPr="00E457CB">
              <w:rPr>
                <w:rFonts w:ascii="Arial" w:eastAsia="Times New Roman" w:hAnsi="Arial" w:cs="Arial"/>
                <w:b/>
                <w:bCs/>
                <w:sz w:val="20"/>
                <w:szCs w:val="20"/>
                <w:lang w:val="en-SG"/>
              </w:rPr>
              <w:lastRenderedPageBreak/>
              <w:t>4.12 To prepare studies on thematic issues of human rights in ASEAN</w:t>
            </w:r>
            <w:r w:rsidR="00D10C54" w:rsidRPr="00E457CB">
              <w:rPr>
                <w:rFonts w:ascii="Arial" w:eastAsia="Times New Roman" w:hAnsi="Arial" w:cs="Arial"/>
                <w:b/>
                <w:bCs/>
                <w:sz w:val="20"/>
                <w:szCs w:val="20"/>
                <w:lang w:val="en-SG"/>
              </w:rPr>
              <w:t>;</w:t>
            </w:r>
          </w:p>
        </w:tc>
      </w:tr>
      <w:tr w:rsidR="00C91C48" w:rsidRPr="00E457CB" w:rsidTr="00C91C48">
        <w:tc>
          <w:tcPr>
            <w:tcW w:w="6102" w:type="dxa"/>
            <w:tcBorders>
              <w:top w:val="single" w:sz="2" w:space="0" w:color="auto"/>
              <w:left w:val="single" w:sz="12" w:space="0" w:color="auto"/>
              <w:bottom w:val="single" w:sz="2" w:space="0" w:color="auto"/>
              <w:right w:val="single" w:sz="12" w:space="0" w:color="auto"/>
            </w:tcBorders>
          </w:tcPr>
          <w:p w:rsidR="00C91C48" w:rsidRPr="00E457CB" w:rsidRDefault="00C91C48" w:rsidP="00370B24">
            <w:pPr>
              <w:numPr>
                <w:ilvl w:val="0"/>
                <w:numId w:val="26"/>
              </w:numPr>
              <w:autoSpaceDE w:val="0"/>
              <w:autoSpaceDN w:val="0"/>
              <w:adjustRightInd w:val="0"/>
              <w:spacing w:before="120" w:after="120"/>
              <w:jc w:val="both"/>
              <w:rPr>
                <w:rFonts w:ascii="Arial" w:eastAsia="Times New Roman" w:hAnsi="Arial" w:cs="Arial"/>
                <w:sz w:val="20"/>
                <w:szCs w:val="20"/>
                <w:lang w:val="en-SG"/>
              </w:rPr>
            </w:pPr>
            <w:r w:rsidRPr="00E457CB">
              <w:rPr>
                <w:rFonts w:ascii="Arial" w:eastAsia="Times New Roman" w:hAnsi="Arial" w:cs="Arial"/>
                <w:sz w:val="20"/>
                <w:szCs w:val="20"/>
                <w:lang w:val="en-SG"/>
              </w:rPr>
              <w:t xml:space="preserve">Initiate thematic studies on issues relating to human rights, at least one issue per year, in close consultation with sectoral and other relevant ASEAN bodies. </w:t>
            </w:r>
          </w:p>
          <w:p w:rsidR="00C91C48" w:rsidRPr="00E457CB" w:rsidRDefault="00C91C48" w:rsidP="00370B24">
            <w:pPr>
              <w:autoSpaceDE w:val="0"/>
              <w:autoSpaceDN w:val="0"/>
              <w:adjustRightInd w:val="0"/>
              <w:spacing w:before="120" w:after="120"/>
              <w:ind w:left="180"/>
              <w:jc w:val="both"/>
              <w:rPr>
                <w:rFonts w:ascii="Arial" w:eastAsia="Times New Roman" w:hAnsi="Arial" w:cs="Arial"/>
                <w:sz w:val="20"/>
                <w:szCs w:val="20"/>
                <w:u w:val="single"/>
                <w:lang w:val="en-SG"/>
              </w:rPr>
            </w:pPr>
            <w:r w:rsidRPr="00E457CB">
              <w:rPr>
                <w:rFonts w:ascii="Arial" w:eastAsia="Times New Roman" w:hAnsi="Arial" w:cs="Arial"/>
                <w:sz w:val="20"/>
                <w:szCs w:val="20"/>
                <w:u w:val="single"/>
                <w:lang w:val="en-SG"/>
              </w:rPr>
              <w:t>Regional-base study</w:t>
            </w:r>
          </w:p>
          <w:p w:rsidR="00C91C48" w:rsidRPr="00E457CB" w:rsidRDefault="00C91C48" w:rsidP="0095406F">
            <w:pPr>
              <w:pStyle w:val="ListParagraph"/>
              <w:numPr>
                <w:ilvl w:val="1"/>
                <w:numId w:val="1"/>
              </w:numPr>
              <w:tabs>
                <w:tab w:val="clear" w:pos="1620"/>
              </w:tabs>
              <w:spacing w:before="120" w:after="120"/>
              <w:ind w:left="993" w:hanging="323"/>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 xml:space="preserve">Corporate Social Responsibility </w:t>
            </w:r>
          </w:p>
          <w:p w:rsidR="00C91C48" w:rsidRPr="00E457CB" w:rsidRDefault="00C91C48" w:rsidP="0095406F">
            <w:pPr>
              <w:pStyle w:val="ListParagraph"/>
              <w:numPr>
                <w:ilvl w:val="1"/>
                <w:numId w:val="1"/>
              </w:numPr>
              <w:tabs>
                <w:tab w:val="clear" w:pos="1620"/>
              </w:tabs>
              <w:spacing w:before="120" w:after="120"/>
              <w:ind w:left="993" w:hanging="323"/>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 xml:space="preserve">Migration </w:t>
            </w:r>
          </w:p>
          <w:p w:rsidR="00C91C48" w:rsidRPr="00E457CB" w:rsidRDefault="00C91C48" w:rsidP="0095406F">
            <w:pPr>
              <w:pStyle w:val="ListParagraph"/>
              <w:numPr>
                <w:ilvl w:val="1"/>
                <w:numId w:val="1"/>
              </w:numPr>
              <w:tabs>
                <w:tab w:val="clear" w:pos="1620"/>
              </w:tabs>
              <w:spacing w:before="120" w:after="120"/>
              <w:ind w:left="993" w:hanging="323"/>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 xml:space="preserve">Trafficking in person particularly women and children </w:t>
            </w:r>
          </w:p>
          <w:p w:rsidR="00C91C48" w:rsidRPr="00E457CB" w:rsidRDefault="00C91C48" w:rsidP="0095406F">
            <w:pPr>
              <w:pStyle w:val="ListParagraph"/>
              <w:numPr>
                <w:ilvl w:val="1"/>
                <w:numId w:val="1"/>
              </w:numPr>
              <w:tabs>
                <w:tab w:val="clear" w:pos="1620"/>
              </w:tabs>
              <w:spacing w:before="120" w:after="120"/>
              <w:ind w:left="993" w:hanging="323"/>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 xml:space="preserve">Child soldiers </w:t>
            </w:r>
          </w:p>
          <w:p w:rsidR="00C91C48" w:rsidRPr="00E457CB" w:rsidRDefault="00C91C48" w:rsidP="0095406F">
            <w:pPr>
              <w:pStyle w:val="ListParagraph"/>
              <w:numPr>
                <w:ilvl w:val="1"/>
                <w:numId w:val="1"/>
              </w:numPr>
              <w:tabs>
                <w:tab w:val="clear" w:pos="1620"/>
              </w:tabs>
              <w:spacing w:before="120" w:after="120"/>
              <w:ind w:left="993" w:hanging="323"/>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Women and children in conflicts and disasters</w:t>
            </w:r>
          </w:p>
          <w:p w:rsidR="00C91C48" w:rsidRPr="00E457CB" w:rsidRDefault="00C91C48" w:rsidP="0095406F">
            <w:pPr>
              <w:pStyle w:val="ListParagraph"/>
              <w:numPr>
                <w:ilvl w:val="1"/>
                <w:numId w:val="1"/>
              </w:numPr>
              <w:tabs>
                <w:tab w:val="clear" w:pos="1620"/>
              </w:tabs>
              <w:spacing w:before="120" w:after="120"/>
              <w:ind w:left="993" w:hanging="323"/>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Juvenile justice</w:t>
            </w:r>
          </w:p>
          <w:p w:rsidR="00C91C48" w:rsidRPr="00E457CB" w:rsidRDefault="00C91C48" w:rsidP="0095406F">
            <w:pPr>
              <w:pStyle w:val="ListParagraph"/>
              <w:numPr>
                <w:ilvl w:val="1"/>
                <w:numId w:val="1"/>
              </w:numPr>
              <w:tabs>
                <w:tab w:val="clear" w:pos="1620"/>
              </w:tabs>
              <w:spacing w:before="120" w:after="120"/>
              <w:ind w:left="993" w:hanging="323"/>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Right to information in criminal justice</w:t>
            </w:r>
          </w:p>
          <w:p w:rsidR="00C91C48" w:rsidRPr="00E457CB" w:rsidRDefault="00C91C48" w:rsidP="0095406F">
            <w:pPr>
              <w:pStyle w:val="ListParagraph"/>
              <w:numPr>
                <w:ilvl w:val="1"/>
                <w:numId w:val="1"/>
              </w:numPr>
              <w:tabs>
                <w:tab w:val="clear" w:pos="1620"/>
              </w:tabs>
              <w:spacing w:before="120" w:after="120"/>
              <w:ind w:left="993" w:hanging="323"/>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 xml:space="preserve">Rights to health </w:t>
            </w:r>
          </w:p>
          <w:p w:rsidR="00C91C48" w:rsidRPr="00E457CB" w:rsidRDefault="00C91C48" w:rsidP="0095406F">
            <w:pPr>
              <w:pStyle w:val="ListParagraph"/>
              <w:numPr>
                <w:ilvl w:val="1"/>
                <w:numId w:val="1"/>
              </w:numPr>
              <w:tabs>
                <w:tab w:val="clear" w:pos="1620"/>
              </w:tabs>
              <w:spacing w:before="120" w:after="120"/>
              <w:ind w:left="993" w:hanging="323"/>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 xml:space="preserve">Rights to education </w:t>
            </w:r>
          </w:p>
          <w:p w:rsidR="00C91C48" w:rsidRPr="00E457CB" w:rsidRDefault="00C91C48" w:rsidP="0095406F">
            <w:pPr>
              <w:pStyle w:val="ListParagraph"/>
              <w:numPr>
                <w:ilvl w:val="1"/>
                <w:numId w:val="1"/>
              </w:numPr>
              <w:tabs>
                <w:tab w:val="clear" w:pos="1620"/>
              </w:tabs>
              <w:spacing w:before="120" w:after="120"/>
              <w:ind w:left="993" w:hanging="323"/>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Right to life</w:t>
            </w:r>
          </w:p>
          <w:p w:rsidR="00C91C48" w:rsidRPr="00E457CB" w:rsidRDefault="00C91C48" w:rsidP="0095406F">
            <w:pPr>
              <w:pStyle w:val="ListParagraph"/>
              <w:numPr>
                <w:ilvl w:val="1"/>
                <w:numId w:val="1"/>
              </w:numPr>
              <w:tabs>
                <w:tab w:val="clear" w:pos="1620"/>
              </w:tabs>
              <w:spacing w:before="120" w:after="120"/>
              <w:ind w:left="993" w:hanging="323"/>
              <w:contextualSpacing w:val="0"/>
              <w:jc w:val="both"/>
              <w:rPr>
                <w:rFonts w:ascii="Arial" w:eastAsia="Times New Roman" w:hAnsi="Arial" w:cs="Arial"/>
                <w:sz w:val="20"/>
                <w:szCs w:val="20"/>
                <w:lang w:val="en-SG"/>
              </w:rPr>
            </w:pPr>
            <w:r w:rsidRPr="00E457CB">
              <w:rPr>
                <w:rFonts w:ascii="Arial" w:eastAsia="Times New Roman" w:hAnsi="Arial" w:cs="Arial"/>
                <w:sz w:val="20"/>
                <w:szCs w:val="20"/>
                <w:lang w:val="en-SG"/>
              </w:rPr>
              <w:t>Right to peace</w:t>
            </w:r>
          </w:p>
        </w:tc>
        <w:tc>
          <w:tcPr>
            <w:tcW w:w="7861" w:type="dxa"/>
            <w:tcBorders>
              <w:top w:val="single" w:sz="2" w:space="0" w:color="auto"/>
              <w:left w:val="single" w:sz="12" w:space="0" w:color="auto"/>
              <w:bottom w:val="single" w:sz="2" w:space="0" w:color="auto"/>
              <w:right w:val="single" w:sz="12" w:space="0" w:color="auto"/>
            </w:tcBorders>
          </w:tcPr>
          <w:p w:rsidR="00C91C48" w:rsidRPr="00E457CB" w:rsidRDefault="00C91C48" w:rsidP="00370B24">
            <w:pPr>
              <w:pStyle w:val="ListParagraph"/>
              <w:numPr>
                <w:ilvl w:val="2"/>
                <w:numId w:val="1"/>
              </w:numPr>
              <w:spacing w:before="120" w:after="120"/>
              <w:ind w:left="731" w:hanging="357"/>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 xml:space="preserve">Conduct 2 thematic studies on CSR (2010) and migration (2011) </w:t>
            </w:r>
          </w:p>
          <w:p w:rsidR="00C91C48" w:rsidRPr="00E457CB" w:rsidRDefault="00C91C48" w:rsidP="00370B24">
            <w:pPr>
              <w:pStyle w:val="ListParagraph"/>
              <w:numPr>
                <w:ilvl w:val="2"/>
                <w:numId w:val="1"/>
              </w:numPr>
              <w:spacing w:before="120" w:after="120"/>
              <w:ind w:left="731" w:hanging="357"/>
              <w:contextualSpacing w:val="0"/>
              <w:jc w:val="both"/>
              <w:rPr>
                <w:rFonts w:ascii="Arial" w:eastAsia="Times New Roman" w:hAnsi="Arial" w:cs="Arial"/>
                <w:bCs/>
                <w:sz w:val="20"/>
                <w:szCs w:val="20"/>
                <w:lang w:val="en-SG"/>
              </w:rPr>
            </w:pPr>
            <w:r w:rsidRPr="00E457CB">
              <w:rPr>
                <w:rFonts w:ascii="Arial" w:eastAsia="Times New Roman" w:hAnsi="Arial" w:cs="Arial"/>
                <w:bCs/>
                <w:sz w:val="20"/>
                <w:szCs w:val="20"/>
                <w:lang w:val="en-SG"/>
              </w:rPr>
              <w:t xml:space="preserve">Conduct 1 workshop to discuss outcome of the study </w:t>
            </w:r>
          </w:p>
        </w:tc>
      </w:tr>
    </w:tbl>
    <w:p w:rsidR="00624574" w:rsidRPr="00E457CB" w:rsidRDefault="00624574" w:rsidP="00370B24">
      <w:pPr>
        <w:spacing w:before="240" w:after="120"/>
        <w:jc w:val="both"/>
        <w:rPr>
          <w:rFonts w:ascii="Arial" w:hAnsi="Arial" w:cs="Arial"/>
          <w:sz w:val="20"/>
          <w:szCs w:val="24"/>
          <w:lang w:val="en-SG"/>
        </w:rPr>
      </w:pPr>
    </w:p>
    <w:sectPr w:rsidR="00624574" w:rsidRPr="00E457CB" w:rsidSect="00A40347">
      <w:headerReference w:type="default" r:id="rId7"/>
      <w:footerReference w:type="default" r:id="rId8"/>
      <w:footerReference w:type="first" r:id="rId9"/>
      <w:footnotePr>
        <w:numFmt w:val="chicago"/>
      </w:footnotePr>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00" w:rsidRDefault="00021900" w:rsidP="003F2C26">
      <w:pPr>
        <w:spacing w:after="0" w:line="240" w:lineRule="auto"/>
      </w:pPr>
      <w:r>
        <w:separator/>
      </w:r>
    </w:p>
  </w:endnote>
  <w:endnote w:type="continuationSeparator" w:id="0">
    <w:p w:rsidR="00021900" w:rsidRDefault="00021900" w:rsidP="003F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2E" w:rsidRPr="0095406F" w:rsidRDefault="0095406F" w:rsidP="0095406F">
    <w:pPr>
      <w:pBdr>
        <w:top w:val="single" w:sz="4" w:space="7" w:color="auto"/>
      </w:pBdr>
      <w:tabs>
        <w:tab w:val="center" w:pos="4680"/>
        <w:tab w:val="right" w:pos="8931"/>
      </w:tabs>
      <w:spacing w:after="0" w:line="240" w:lineRule="auto"/>
      <w:rPr>
        <w:rFonts w:ascii="Arial" w:hAnsi="Arial" w:cs="Arial"/>
        <w:color w:val="7F7F7F"/>
        <w:sz w:val="16"/>
        <w:szCs w:val="16"/>
      </w:rPr>
    </w:pPr>
    <w:r w:rsidRPr="0095406F">
      <w:rPr>
        <w:rFonts w:ascii="Arial" w:hAnsi="Arial" w:cs="Arial"/>
        <w:color w:val="7F7F7F"/>
        <w:sz w:val="16"/>
        <w:szCs w:val="16"/>
      </w:rPr>
      <w:t xml:space="preserve">UNOFFICIAL TEXT · CENTRE FOR INTERNATIONAL LAW · </w:t>
    </w:r>
    <w:hyperlink r:id="rId1" w:history="1">
      <w:r w:rsidRPr="0095406F">
        <w:rPr>
          <w:rFonts w:ascii="Arial" w:hAnsi="Arial" w:cs="Arial"/>
          <w:color w:val="7F7F7F"/>
          <w:sz w:val="16"/>
          <w:szCs w:val="16"/>
          <w:u w:val="single"/>
        </w:rPr>
        <w:t>www.cil.nus.edu.sg</w:t>
      </w:r>
    </w:hyperlink>
    <w:r w:rsidRPr="0095406F">
      <w:rPr>
        <w:rFonts w:ascii="Arial" w:hAnsi="Arial" w:cs="Arial"/>
        <w:color w:val="7F7F7F"/>
        <w:sz w:val="16"/>
        <w:szCs w:val="16"/>
      </w:rPr>
      <w:t xml:space="preserve">                           </w:t>
    </w:r>
    <w:r>
      <w:rPr>
        <w:rFonts w:ascii="Arial" w:hAnsi="Arial" w:cs="Arial"/>
        <w:color w:val="7F7F7F"/>
        <w:sz w:val="16"/>
        <w:szCs w:val="16"/>
      </w:rPr>
      <w:tab/>
    </w:r>
    <w:r>
      <w:rPr>
        <w:rFonts w:ascii="Arial" w:hAnsi="Arial" w:cs="Arial"/>
        <w:color w:val="7F7F7F"/>
        <w:sz w:val="16"/>
        <w:szCs w:val="16"/>
      </w:rPr>
      <w:tab/>
    </w:r>
    <w:r>
      <w:rPr>
        <w:rFonts w:ascii="Arial" w:hAnsi="Arial" w:cs="Arial"/>
        <w:color w:val="7F7F7F"/>
        <w:sz w:val="16"/>
        <w:szCs w:val="16"/>
      </w:rPr>
      <w:tab/>
    </w:r>
    <w:r>
      <w:rPr>
        <w:rFonts w:ascii="Arial" w:hAnsi="Arial" w:cs="Arial"/>
        <w:color w:val="7F7F7F"/>
        <w:sz w:val="16"/>
        <w:szCs w:val="16"/>
      </w:rPr>
      <w:tab/>
    </w:r>
    <w:r w:rsidRPr="0095406F">
      <w:rPr>
        <w:rFonts w:ascii="Arial" w:hAnsi="Arial" w:cs="Arial"/>
        <w:color w:val="7F7F7F"/>
        <w:sz w:val="16"/>
        <w:szCs w:val="16"/>
      </w:rPr>
      <w:tab/>
      <w:t xml:space="preserve">     Page </w:t>
    </w:r>
    <w:r w:rsidRPr="0095406F">
      <w:rPr>
        <w:rFonts w:ascii="Arial" w:hAnsi="Arial" w:cs="Arial"/>
        <w:color w:val="7F7F7F"/>
        <w:sz w:val="16"/>
        <w:szCs w:val="16"/>
      </w:rPr>
      <w:fldChar w:fldCharType="begin"/>
    </w:r>
    <w:r w:rsidRPr="0095406F">
      <w:rPr>
        <w:rFonts w:ascii="Arial" w:hAnsi="Arial" w:cs="Arial"/>
        <w:color w:val="7F7F7F"/>
        <w:sz w:val="16"/>
        <w:szCs w:val="16"/>
      </w:rPr>
      <w:instrText xml:space="preserve"> PAGE </w:instrText>
    </w:r>
    <w:r w:rsidRPr="0095406F">
      <w:rPr>
        <w:rFonts w:ascii="Arial" w:hAnsi="Arial" w:cs="Arial"/>
        <w:color w:val="7F7F7F"/>
        <w:sz w:val="16"/>
        <w:szCs w:val="16"/>
      </w:rPr>
      <w:fldChar w:fldCharType="separate"/>
    </w:r>
    <w:r w:rsidR="00E457CB">
      <w:rPr>
        <w:rFonts w:ascii="Arial" w:hAnsi="Arial" w:cs="Arial"/>
        <w:noProof/>
        <w:color w:val="7F7F7F"/>
        <w:sz w:val="16"/>
        <w:szCs w:val="16"/>
      </w:rPr>
      <w:t>4</w:t>
    </w:r>
    <w:r w:rsidRPr="0095406F">
      <w:rPr>
        <w:rFonts w:ascii="Arial" w:hAnsi="Arial" w:cs="Arial"/>
        <w:color w:val="7F7F7F"/>
        <w:sz w:val="16"/>
        <w:szCs w:val="16"/>
      </w:rPr>
      <w:fldChar w:fldCharType="end"/>
    </w:r>
    <w:r w:rsidRPr="0095406F">
      <w:rPr>
        <w:rFonts w:ascii="Arial" w:hAnsi="Arial" w:cs="Arial"/>
        <w:color w:val="7F7F7F"/>
        <w:sz w:val="16"/>
        <w:szCs w:val="16"/>
      </w:rPr>
      <w:t xml:space="preserve"> of </w:t>
    </w:r>
    <w:r w:rsidRPr="0095406F">
      <w:rPr>
        <w:rFonts w:ascii="Arial" w:hAnsi="Arial" w:cs="Arial"/>
        <w:color w:val="7F7F7F"/>
        <w:sz w:val="16"/>
        <w:szCs w:val="16"/>
      </w:rPr>
      <w:fldChar w:fldCharType="begin"/>
    </w:r>
    <w:r w:rsidRPr="0095406F">
      <w:rPr>
        <w:rFonts w:ascii="Arial" w:hAnsi="Arial" w:cs="Arial"/>
        <w:color w:val="7F7F7F"/>
        <w:sz w:val="16"/>
        <w:szCs w:val="16"/>
      </w:rPr>
      <w:instrText xml:space="preserve"> NUMPAGES  </w:instrText>
    </w:r>
    <w:r w:rsidRPr="0095406F">
      <w:rPr>
        <w:rFonts w:ascii="Arial" w:hAnsi="Arial" w:cs="Arial"/>
        <w:color w:val="7F7F7F"/>
        <w:sz w:val="16"/>
        <w:szCs w:val="16"/>
      </w:rPr>
      <w:fldChar w:fldCharType="separate"/>
    </w:r>
    <w:r w:rsidR="00E457CB">
      <w:rPr>
        <w:rFonts w:ascii="Arial" w:hAnsi="Arial" w:cs="Arial"/>
        <w:noProof/>
        <w:color w:val="7F7F7F"/>
        <w:sz w:val="16"/>
        <w:szCs w:val="16"/>
      </w:rPr>
      <w:t>4</w:t>
    </w:r>
    <w:r w:rsidRPr="0095406F">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47" w:rsidRPr="00A40347" w:rsidRDefault="0095406F" w:rsidP="00A40347">
    <w:pPr>
      <w:pBdr>
        <w:top w:val="single" w:sz="4" w:space="7" w:color="auto"/>
      </w:pBdr>
      <w:tabs>
        <w:tab w:val="center" w:pos="4680"/>
        <w:tab w:val="right" w:pos="8931"/>
      </w:tabs>
      <w:spacing w:after="0" w:line="240" w:lineRule="auto"/>
      <w:rPr>
        <w:rFonts w:ascii="Arial" w:hAnsi="Arial" w:cs="Arial"/>
        <w:color w:val="7F7F7F"/>
        <w:sz w:val="16"/>
        <w:szCs w:val="16"/>
      </w:rPr>
    </w:pPr>
    <w:r w:rsidRPr="0095406F">
      <w:rPr>
        <w:rFonts w:ascii="Arial" w:hAnsi="Arial" w:cs="Arial"/>
        <w:color w:val="7F7F7F"/>
        <w:sz w:val="16"/>
        <w:szCs w:val="16"/>
      </w:rPr>
      <w:t xml:space="preserve">UNOFFICIAL TEXT · CENTRE FOR INTERNATIONAL LAW · </w:t>
    </w:r>
    <w:hyperlink r:id="rId1" w:history="1">
      <w:r w:rsidRPr="0095406F">
        <w:rPr>
          <w:rFonts w:ascii="Arial" w:hAnsi="Arial" w:cs="Arial"/>
          <w:color w:val="7F7F7F"/>
          <w:sz w:val="16"/>
          <w:szCs w:val="16"/>
          <w:u w:val="single"/>
        </w:rPr>
        <w:t>www.cil.nus.edu.sg</w:t>
      </w:r>
    </w:hyperlink>
    <w:r w:rsidRPr="0095406F">
      <w:rPr>
        <w:rFonts w:ascii="Arial" w:hAnsi="Arial" w:cs="Arial"/>
        <w:color w:val="7F7F7F"/>
        <w:sz w:val="16"/>
        <w:szCs w:val="16"/>
      </w:rPr>
      <w:t xml:space="preserve">                           </w:t>
    </w:r>
    <w:r w:rsidRPr="0095406F">
      <w:rPr>
        <w:rFonts w:ascii="Arial" w:hAnsi="Arial" w:cs="Arial"/>
        <w:color w:val="7F7F7F"/>
        <w:sz w:val="16"/>
        <w:szCs w:val="16"/>
      </w:rPr>
      <w:tab/>
    </w:r>
    <w:r>
      <w:rPr>
        <w:rFonts w:ascii="Arial" w:hAnsi="Arial" w:cs="Arial"/>
        <w:color w:val="7F7F7F"/>
        <w:sz w:val="16"/>
        <w:szCs w:val="16"/>
      </w:rPr>
      <w:tab/>
    </w:r>
    <w:r>
      <w:rPr>
        <w:rFonts w:ascii="Arial" w:hAnsi="Arial" w:cs="Arial"/>
        <w:color w:val="7F7F7F"/>
        <w:sz w:val="16"/>
        <w:szCs w:val="16"/>
      </w:rPr>
      <w:tab/>
    </w:r>
    <w:r>
      <w:rPr>
        <w:rFonts w:ascii="Arial" w:hAnsi="Arial" w:cs="Arial"/>
        <w:color w:val="7F7F7F"/>
        <w:sz w:val="16"/>
        <w:szCs w:val="16"/>
      </w:rPr>
      <w:tab/>
    </w:r>
    <w:r>
      <w:rPr>
        <w:rFonts w:ascii="Arial" w:hAnsi="Arial" w:cs="Arial"/>
        <w:color w:val="7F7F7F"/>
        <w:sz w:val="16"/>
        <w:szCs w:val="16"/>
      </w:rPr>
      <w:tab/>
    </w:r>
    <w:r>
      <w:rPr>
        <w:rFonts w:ascii="Arial" w:hAnsi="Arial" w:cs="Arial"/>
        <w:color w:val="7F7F7F"/>
        <w:sz w:val="16"/>
        <w:szCs w:val="16"/>
      </w:rPr>
      <w:tab/>
    </w:r>
    <w:r w:rsidRPr="0095406F">
      <w:rPr>
        <w:rFonts w:ascii="Arial" w:hAnsi="Arial"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00" w:rsidRDefault="00021900" w:rsidP="003F2C26">
      <w:pPr>
        <w:spacing w:after="0" w:line="240" w:lineRule="auto"/>
      </w:pPr>
      <w:r>
        <w:separator/>
      </w:r>
    </w:p>
  </w:footnote>
  <w:footnote w:type="continuationSeparator" w:id="0">
    <w:p w:rsidR="00021900" w:rsidRDefault="00021900" w:rsidP="003F2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47" w:rsidRPr="00A40347" w:rsidRDefault="00A40347" w:rsidP="00A40347">
    <w:pPr>
      <w:pBdr>
        <w:bottom w:val="single" w:sz="8" w:space="1" w:color="auto"/>
      </w:pBdr>
      <w:tabs>
        <w:tab w:val="center" w:pos="4680"/>
        <w:tab w:val="right" w:pos="9360"/>
      </w:tabs>
      <w:spacing w:after="0" w:line="240" w:lineRule="auto"/>
      <w:jc w:val="both"/>
      <w:rPr>
        <w:rFonts w:ascii="Arial" w:hAnsi="Arial" w:cs="Arial"/>
        <w:caps/>
        <w:color w:val="808080"/>
        <w:sz w:val="16"/>
        <w:szCs w:val="16"/>
      </w:rPr>
    </w:pPr>
    <w:r>
      <w:rPr>
        <w:rFonts w:ascii="Arial" w:hAnsi="Arial" w:cs="Arial"/>
        <w:caps/>
        <w:color w:val="808080"/>
        <w:sz w:val="16"/>
        <w:szCs w:val="16"/>
      </w:rPr>
      <w:t xml:space="preserve">2010-2011 </w:t>
    </w:r>
    <w:r w:rsidR="00402FE2">
      <w:rPr>
        <w:rFonts w:ascii="Arial" w:hAnsi="Arial" w:cs="Arial"/>
        <w:caps/>
        <w:color w:val="808080"/>
        <w:sz w:val="16"/>
        <w:szCs w:val="16"/>
      </w:rPr>
      <w:t xml:space="preserve">ASEAN INTERGOVERNMENTAL COMMISSION ON HUMAN RIGHTS </w:t>
    </w:r>
    <w:r>
      <w:rPr>
        <w:rFonts w:ascii="Arial" w:hAnsi="Arial" w:cs="Arial"/>
        <w:caps/>
        <w:color w:val="808080"/>
        <w:sz w:val="16"/>
        <w:szCs w:val="16"/>
      </w:rPr>
      <w:t>Priority Programme Activities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C81"/>
    <w:multiLevelType w:val="hybridMultilevel"/>
    <w:tmpl w:val="D6B2F5F8"/>
    <w:lvl w:ilvl="0" w:tplc="97C034E8">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11F0440"/>
    <w:multiLevelType w:val="hybridMultilevel"/>
    <w:tmpl w:val="67660D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5711E4"/>
    <w:multiLevelType w:val="hybridMultilevel"/>
    <w:tmpl w:val="A4C22134"/>
    <w:lvl w:ilvl="0" w:tplc="73A27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203D3"/>
    <w:multiLevelType w:val="hybridMultilevel"/>
    <w:tmpl w:val="972639EC"/>
    <w:lvl w:ilvl="0" w:tplc="97C034E8">
      <w:start w:val="1"/>
      <w:numFmt w:val="lowerRoman"/>
      <w:lvlText w:val="(%1)"/>
      <w:lvlJc w:val="right"/>
      <w:pPr>
        <w:ind w:left="720" w:hanging="360"/>
      </w:pPr>
      <w:rPr>
        <w:rFonts w:hint="default"/>
      </w:rPr>
    </w:lvl>
    <w:lvl w:ilvl="1" w:tplc="A02AE176">
      <w:start w:val="1"/>
      <w:numFmt w:val="lowerRoman"/>
      <w:lvlText w:val="(%2)"/>
      <w:lvlJc w:val="left"/>
      <w:pPr>
        <w:ind w:left="1440" w:hanging="360"/>
      </w:pPr>
      <w:rPr>
        <w:rFonts w:ascii="Arial" w:eastAsia="Times New Roman" w:hAnsi="Arial" w:cs="Arial"/>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1A0331C"/>
    <w:multiLevelType w:val="hybridMultilevel"/>
    <w:tmpl w:val="C0D2EDE2"/>
    <w:lvl w:ilvl="0" w:tplc="A76099E0">
      <w:start w:val="1"/>
      <w:numFmt w:val="lowerRoman"/>
      <w:lvlText w:val="(%1)"/>
      <w:lvlJc w:val="left"/>
      <w:pPr>
        <w:ind w:left="1497" w:hanging="108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15:restartNumberingAfterBreak="0">
    <w:nsid w:val="2C642D3F"/>
    <w:multiLevelType w:val="hybridMultilevel"/>
    <w:tmpl w:val="1FF4275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CA3134B"/>
    <w:multiLevelType w:val="hybridMultilevel"/>
    <w:tmpl w:val="DA662752"/>
    <w:lvl w:ilvl="0" w:tplc="AA1A3AC4">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298BDF0">
      <w:start w:val="1"/>
      <w:numFmt w:val="lowerRoman"/>
      <w:lvlText w:val="(%3)"/>
      <w:lvlJc w:val="left"/>
      <w:pPr>
        <w:ind w:left="2880" w:hanging="720"/>
      </w:pPr>
      <w:rPr>
        <w:rFonts w:hint="default"/>
      </w:rPr>
    </w:lvl>
    <w:lvl w:ilvl="3" w:tplc="0409000F" w:tentative="1">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63A1CF6"/>
    <w:multiLevelType w:val="hybridMultilevel"/>
    <w:tmpl w:val="5A8E4D3C"/>
    <w:lvl w:ilvl="0" w:tplc="97C034E8">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8A835CA"/>
    <w:multiLevelType w:val="hybridMultilevel"/>
    <w:tmpl w:val="00D401E0"/>
    <w:lvl w:ilvl="0" w:tplc="7568BB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270B1"/>
    <w:multiLevelType w:val="hybridMultilevel"/>
    <w:tmpl w:val="0BB8CDE0"/>
    <w:lvl w:ilvl="0" w:tplc="2FC02F3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01F6B"/>
    <w:multiLevelType w:val="hybridMultilevel"/>
    <w:tmpl w:val="E960C7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D073B2D"/>
    <w:multiLevelType w:val="hybridMultilevel"/>
    <w:tmpl w:val="1DE8AE84"/>
    <w:lvl w:ilvl="0" w:tplc="4809000F">
      <w:start w:val="1"/>
      <w:numFmt w:val="decimal"/>
      <w:lvlText w:val="%1."/>
      <w:lvlJc w:val="left"/>
      <w:pPr>
        <w:ind w:left="720" w:hanging="360"/>
      </w:pPr>
    </w:lvl>
    <w:lvl w:ilvl="1" w:tplc="855EE53E">
      <w:start w:val="1"/>
      <w:numFmt w:val="lowerRoman"/>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07D07FF"/>
    <w:multiLevelType w:val="hybridMultilevel"/>
    <w:tmpl w:val="BE8A64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4480C79"/>
    <w:multiLevelType w:val="hybridMultilevel"/>
    <w:tmpl w:val="3A68F2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A1941B3"/>
    <w:multiLevelType w:val="hybridMultilevel"/>
    <w:tmpl w:val="28AE1D82"/>
    <w:lvl w:ilvl="0" w:tplc="B8A6698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925DB"/>
    <w:multiLevelType w:val="hybridMultilevel"/>
    <w:tmpl w:val="CA96893C"/>
    <w:lvl w:ilvl="0" w:tplc="16C044CC">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6" w15:restartNumberingAfterBreak="0">
    <w:nsid w:val="638A6ADB"/>
    <w:multiLevelType w:val="hybridMultilevel"/>
    <w:tmpl w:val="47B6A2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5705380"/>
    <w:multiLevelType w:val="hybridMultilevel"/>
    <w:tmpl w:val="396A1E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D0B183C"/>
    <w:multiLevelType w:val="hybridMultilevel"/>
    <w:tmpl w:val="601ED6CC"/>
    <w:lvl w:ilvl="0" w:tplc="09461D32">
      <w:start w:val="1"/>
      <w:numFmt w:val="lowerRoman"/>
      <w:lvlText w:val="(%1)"/>
      <w:lvlJc w:val="left"/>
      <w:pPr>
        <w:ind w:left="72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F3D4F32"/>
    <w:multiLevelType w:val="hybridMultilevel"/>
    <w:tmpl w:val="58063684"/>
    <w:lvl w:ilvl="0" w:tplc="E7567E72">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CD5FA7"/>
    <w:multiLevelType w:val="hybridMultilevel"/>
    <w:tmpl w:val="D9F06580"/>
    <w:lvl w:ilvl="0" w:tplc="BCBA9E7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F2D9D"/>
    <w:multiLevelType w:val="hybridMultilevel"/>
    <w:tmpl w:val="91307CC2"/>
    <w:lvl w:ilvl="0" w:tplc="BB6247FA">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4651FBD"/>
    <w:multiLevelType w:val="hybridMultilevel"/>
    <w:tmpl w:val="E9261EFC"/>
    <w:lvl w:ilvl="0" w:tplc="C1E26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947AE6"/>
    <w:multiLevelType w:val="hybridMultilevel"/>
    <w:tmpl w:val="54E442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90D40BD"/>
    <w:multiLevelType w:val="hybridMultilevel"/>
    <w:tmpl w:val="8B5840E0"/>
    <w:lvl w:ilvl="0" w:tplc="97C034E8">
      <w:start w:val="1"/>
      <w:numFmt w:val="lowerRoman"/>
      <w:lvlText w:val="(%1)"/>
      <w:lvlJc w:val="right"/>
      <w:pPr>
        <w:ind w:left="736" w:hanging="360"/>
      </w:pPr>
      <w:rPr>
        <w:rFonts w:hint="default"/>
      </w:rPr>
    </w:lvl>
    <w:lvl w:ilvl="1" w:tplc="48090019">
      <w:start w:val="1"/>
      <w:numFmt w:val="lowerLetter"/>
      <w:lvlText w:val="%2."/>
      <w:lvlJc w:val="left"/>
      <w:pPr>
        <w:ind w:left="1456" w:hanging="360"/>
      </w:pPr>
    </w:lvl>
    <w:lvl w:ilvl="2" w:tplc="4809001B" w:tentative="1">
      <w:start w:val="1"/>
      <w:numFmt w:val="lowerRoman"/>
      <w:lvlText w:val="%3."/>
      <w:lvlJc w:val="right"/>
      <w:pPr>
        <w:ind w:left="2176" w:hanging="180"/>
      </w:pPr>
    </w:lvl>
    <w:lvl w:ilvl="3" w:tplc="4809000F" w:tentative="1">
      <w:start w:val="1"/>
      <w:numFmt w:val="decimal"/>
      <w:lvlText w:val="%4."/>
      <w:lvlJc w:val="left"/>
      <w:pPr>
        <w:ind w:left="2896" w:hanging="360"/>
      </w:pPr>
    </w:lvl>
    <w:lvl w:ilvl="4" w:tplc="48090019" w:tentative="1">
      <w:start w:val="1"/>
      <w:numFmt w:val="lowerLetter"/>
      <w:lvlText w:val="%5."/>
      <w:lvlJc w:val="left"/>
      <w:pPr>
        <w:ind w:left="3616" w:hanging="360"/>
      </w:pPr>
    </w:lvl>
    <w:lvl w:ilvl="5" w:tplc="4809001B" w:tentative="1">
      <w:start w:val="1"/>
      <w:numFmt w:val="lowerRoman"/>
      <w:lvlText w:val="%6."/>
      <w:lvlJc w:val="right"/>
      <w:pPr>
        <w:ind w:left="4336" w:hanging="180"/>
      </w:pPr>
    </w:lvl>
    <w:lvl w:ilvl="6" w:tplc="4809000F" w:tentative="1">
      <w:start w:val="1"/>
      <w:numFmt w:val="decimal"/>
      <w:lvlText w:val="%7."/>
      <w:lvlJc w:val="left"/>
      <w:pPr>
        <w:ind w:left="5056" w:hanging="360"/>
      </w:pPr>
    </w:lvl>
    <w:lvl w:ilvl="7" w:tplc="48090019" w:tentative="1">
      <w:start w:val="1"/>
      <w:numFmt w:val="lowerLetter"/>
      <w:lvlText w:val="%8."/>
      <w:lvlJc w:val="left"/>
      <w:pPr>
        <w:ind w:left="5776" w:hanging="360"/>
      </w:pPr>
    </w:lvl>
    <w:lvl w:ilvl="8" w:tplc="4809001B" w:tentative="1">
      <w:start w:val="1"/>
      <w:numFmt w:val="lowerRoman"/>
      <w:lvlText w:val="%9."/>
      <w:lvlJc w:val="right"/>
      <w:pPr>
        <w:ind w:left="6496" w:hanging="180"/>
      </w:pPr>
    </w:lvl>
  </w:abstractNum>
  <w:abstractNum w:abstractNumId="25" w15:restartNumberingAfterBreak="0">
    <w:nsid w:val="7C6E62E9"/>
    <w:multiLevelType w:val="hybridMultilevel"/>
    <w:tmpl w:val="843C6338"/>
    <w:lvl w:ilvl="0" w:tplc="61E64702">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E711B1F"/>
    <w:multiLevelType w:val="hybridMultilevel"/>
    <w:tmpl w:val="4F2E21A2"/>
    <w:lvl w:ilvl="0" w:tplc="121E7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25"/>
  </w:num>
  <w:num w:numId="4">
    <w:abstractNumId w:val="18"/>
  </w:num>
  <w:num w:numId="5">
    <w:abstractNumId w:val="2"/>
  </w:num>
  <w:num w:numId="6">
    <w:abstractNumId w:val="26"/>
  </w:num>
  <w:num w:numId="7">
    <w:abstractNumId w:val="8"/>
  </w:num>
  <w:num w:numId="8">
    <w:abstractNumId w:val="20"/>
  </w:num>
  <w:num w:numId="9">
    <w:abstractNumId w:val="15"/>
  </w:num>
  <w:num w:numId="10">
    <w:abstractNumId w:val="9"/>
  </w:num>
  <w:num w:numId="11">
    <w:abstractNumId w:val="4"/>
  </w:num>
  <w:num w:numId="12">
    <w:abstractNumId w:val="14"/>
  </w:num>
  <w:num w:numId="13">
    <w:abstractNumId w:val="22"/>
  </w:num>
  <w:num w:numId="14">
    <w:abstractNumId w:val="11"/>
  </w:num>
  <w:num w:numId="15">
    <w:abstractNumId w:val="24"/>
  </w:num>
  <w:num w:numId="16">
    <w:abstractNumId w:val="0"/>
  </w:num>
  <w:num w:numId="17">
    <w:abstractNumId w:val="19"/>
  </w:num>
  <w:num w:numId="18">
    <w:abstractNumId w:val="16"/>
  </w:num>
  <w:num w:numId="19">
    <w:abstractNumId w:val="3"/>
  </w:num>
  <w:num w:numId="20">
    <w:abstractNumId w:val="1"/>
  </w:num>
  <w:num w:numId="21">
    <w:abstractNumId w:val="5"/>
  </w:num>
  <w:num w:numId="22">
    <w:abstractNumId w:val="7"/>
  </w:num>
  <w:num w:numId="23">
    <w:abstractNumId w:val="17"/>
  </w:num>
  <w:num w:numId="24">
    <w:abstractNumId w:val="10"/>
  </w:num>
  <w:num w:numId="25">
    <w:abstractNumId w:val="23"/>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26"/>
    <w:rsid w:val="00012D2F"/>
    <w:rsid w:val="00021900"/>
    <w:rsid w:val="0003589D"/>
    <w:rsid w:val="00037F2F"/>
    <w:rsid w:val="000519E0"/>
    <w:rsid w:val="00052A13"/>
    <w:rsid w:val="000C2A90"/>
    <w:rsid w:val="000C6B05"/>
    <w:rsid w:val="000E616F"/>
    <w:rsid w:val="0010354F"/>
    <w:rsid w:val="00124FA7"/>
    <w:rsid w:val="00130ED5"/>
    <w:rsid w:val="00157FB7"/>
    <w:rsid w:val="0019381C"/>
    <w:rsid w:val="001939B7"/>
    <w:rsid w:val="001B1122"/>
    <w:rsid w:val="001D1B1F"/>
    <w:rsid w:val="00200DB6"/>
    <w:rsid w:val="00202BF2"/>
    <w:rsid w:val="00224381"/>
    <w:rsid w:val="0023244B"/>
    <w:rsid w:val="00254F5E"/>
    <w:rsid w:val="002631A3"/>
    <w:rsid w:val="00270BF0"/>
    <w:rsid w:val="0028527E"/>
    <w:rsid w:val="00292E8F"/>
    <w:rsid w:val="00293D52"/>
    <w:rsid w:val="002B0F2E"/>
    <w:rsid w:val="002D2D30"/>
    <w:rsid w:val="002E13C6"/>
    <w:rsid w:val="002E3152"/>
    <w:rsid w:val="003018ED"/>
    <w:rsid w:val="00301B21"/>
    <w:rsid w:val="00302A7B"/>
    <w:rsid w:val="00302BB7"/>
    <w:rsid w:val="00316815"/>
    <w:rsid w:val="003640D1"/>
    <w:rsid w:val="00370B24"/>
    <w:rsid w:val="00383C46"/>
    <w:rsid w:val="003848CF"/>
    <w:rsid w:val="003D368F"/>
    <w:rsid w:val="003D6B83"/>
    <w:rsid w:val="003E4BB9"/>
    <w:rsid w:val="003E5701"/>
    <w:rsid w:val="003F2C26"/>
    <w:rsid w:val="003F45A4"/>
    <w:rsid w:val="00402FE2"/>
    <w:rsid w:val="004064F6"/>
    <w:rsid w:val="004068CA"/>
    <w:rsid w:val="00465EC3"/>
    <w:rsid w:val="00485350"/>
    <w:rsid w:val="004C1D76"/>
    <w:rsid w:val="004C65CE"/>
    <w:rsid w:val="004E5932"/>
    <w:rsid w:val="004E75FC"/>
    <w:rsid w:val="0052591E"/>
    <w:rsid w:val="00526B9E"/>
    <w:rsid w:val="005272E9"/>
    <w:rsid w:val="00543959"/>
    <w:rsid w:val="005470C5"/>
    <w:rsid w:val="00585DD6"/>
    <w:rsid w:val="00590ABD"/>
    <w:rsid w:val="00596B61"/>
    <w:rsid w:val="005A2541"/>
    <w:rsid w:val="005A55F5"/>
    <w:rsid w:val="005A6A34"/>
    <w:rsid w:val="005B370F"/>
    <w:rsid w:val="005B6427"/>
    <w:rsid w:val="005C180C"/>
    <w:rsid w:val="005D1753"/>
    <w:rsid w:val="005D4C95"/>
    <w:rsid w:val="005D64D6"/>
    <w:rsid w:val="00613334"/>
    <w:rsid w:val="00617867"/>
    <w:rsid w:val="00624574"/>
    <w:rsid w:val="00637730"/>
    <w:rsid w:val="00643E4B"/>
    <w:rsid w:val="00645162"/>
    <w:rsid w:val="0066508B"/>
    <w:rsid w:val="00667815"/>
    <w:rsid w:val="00674AF9"/>
    <w:rsid w:val="006A0D60"/>
    <w:rsid w:val="006A5E83"/>
    <w:rsid w:val="006B22ED"/>
    <w:rsid w:val="006B63AD"/>
    <w:rsid w:val="006C23E8"/>
    <w:rsid w:val="006C5E82"/>
    <w:rsid w:val="006D3E38"/>
    <w:rsid w:val="006F7475"/>
    <w:rsid w:val="00702D4C"/>
    <w:rsid w:val="00721722"/>
    <w:rsid w:val="00734FC3"/>
    <w:rsid w:val="00735E9F"/>
    <w:rsid w:val="007402B8"/>
    <w:rsid w:val="0074256A"/>
    <w:rsid w:val="00743D1D"/>
    <w:rsid w:val="007454E9"/>
    <w:rsid w:val="0079612E"/>
    <w:rsid w:val="007A1A40"/>
    <w:rsid w:val="007A3508"/>
    <w:rsid w:val="007B257F"/>
    <w:rsid w:val="007B69CA"/>
    <w:rsid w:val="007C576A"/>
    <w:rsid w:val="007E69F3"/>
    <w:rsid w:val="007F0E0B"/>
    <w:rsid w:val="007F4B32"/>
    <w:rsid w:val="007F4E80"/>
    <w:rsid w:val="008127E4"/>
    <w:rsid w:val="008436F0"/>
    <w:rsid w:val="00872A80"/>
    <w:rsid w:val="00881719"/>
    <w:rsid w:val="008A1480"/>
    <w:rsid w:val="008A493B"/>
    <w:rsid w:val="008A6CBA"/>
    <w:rsid w:val="008C0972"/>
    <w:rsid w:val="008C54DA"/>
    <w:rsid w:val="008D3C42"/>
    <w:rsid w:val="00902FA4"/>
    <w:rsid w:val="00903416"/>
    <w:rsid w:val="00905C55"/>
    <w:rsid w:val="0095406F"/>
    <w:rsid w:val="0096221A"/>
    <w:rsid w:val="009A6442"/>
    <w:rsid w:val="009B182C"/>
    <w:rsid w:val="009C2F59"/>
    <w:rsid w:val="009C5E67"/>
    <w:rsid w:val="009D51ED"/>
    <w:rsid w:val="009F43DE"/>
    <w:rsid w:val="00A076B4"/>
    <w:rsid w:val="00A231BF"/>
    <w:rsid w:val="00A40347"/>
    <w:rsid w:val="00A417C0"/>
    <w:rsid w:val="00A433B8"/>
    <w:rsid w:val="00A5470A"/>
    <w:rsid w:val="00A55FAB"/>
    <w:rsid w:val="00A62EDC"/>
    <w:rsid w:val="00A7026F"/>
    <w:rsid w:val="00AB2560"/>
    <w:rsid w:val="00AC7DF3"/>
    <w:rsid w:val="00AD2D5E"/>
    <w:rsid w:val="00AD2DAA"/>
    <w:rsid w:val="00AD34EE"/>
    <w:rsid w:val="00AE20B6"/>
    <w:rsid w:val="00AE23BE"/>
    <w:rsid w:val="00B009E7"/>
    <w:rsid w:val="00B165B8"/>
    <w:rsid w:val="00B461F7"/>
    <w:rsid w:val="00B50FB7"/>
    <w:rsid w:val="00B75D0F"/>
    <w:rsid w:val="00B83B51"/>
    <w:rsid w:val="00BA7BD4"/>
    <w:rsid w:val="00BD266C"/>
    <w:rsid w:val="00BE4252"/>
    <w:rsid w:val="00BE4E02"/>
    <w:rsid w:val="00C040E7"/>
    <w:rsid w:val="00C34968"/>
    <w:rsid w:val="00C36D33"/>
    <w:rsid w:val="00C43D66"/>
    <w:rsid w:val="00C54877"/>
    <w:rsid w:val="00C56E48"/>
    <w:rsid w:val="00C729A6"/>
    <w:rsid w:val="00C72B6A"/>
    <w:rsid w:val="00C84F0E"/>
    <w:rsid w:val="00C91194"/>
    <w:rsid w:val="00C91C48"/>
    <w:rsid w:val="00C92021"/>
    <w:rsid w:val="00CA15AD"/>
    <w:rsid w:val="00CA2828"/>
    <w:rsid w:val="00CB1D8F"/>
    <w:rsid w:val="00CF1A9A"/>
    <w:rsid w:val="00D01E4E"/>
    <w:rsid w:val="00D07449"/>
    <w:rsid w:val="00D10C54"/>
    <w:rsid w:val="00D11F5F"/>
    <w:rsid w:val="00D134F2"/>
    <w:rsid w:val="00D20229"/>
    <w:rsid w:val="00D60355"/>
    <w:rsid w:val="00D82072"/>
    <w:rsid w:val="00D83A51"/>
    <w:rsid w:val="00DC0620"/>
    <w:rsid w:val="00DE0F26"/>
    <w:rsid w:val="00E04A30"/>
    <w:rsid w:val="00E07214"/>
    <w:rsid w:val="00E16585"/>
    <w:rsid w:val="00E4505F"/>
    <w:rsid w:val="00E457CB"/>
    <w:rsid w:val="00E5186D"/>
    <w:rsid w:val="00E536E3"/>
    <w:rsid w:val="00E53936"/>
    <w:rsid w:val="00E56011"/>
    <w:rsid w:val="00E90987"/>
    <w:rsid w:val="00E90D9A"/>
    <w:rsid w:val="00E938FC"/>
    <w:rsid w:val="00EA3C81"/>
    <w:rsid w:val="00EB7671"/>
    <w:rsid w:val="00EE186F"/>
    <w:rsid w:val="00EF4443"/>
    <w:rsid w:val="00EF45A5"/>
    <w:rsid w:val="00F05549"/>
    <w:rsid w:val="00F1243E"/>
    <w:rsid w:val="00F21890"/>
    <w:rsid w:val="00F27A1B"/>
    <w:rsid w:val="00F36FE2"/>
    <w:rsid w:val="00F50ADD"/>
    <w:rsid w:val="00F70E65"/>
    <w:rsid w:val="00FA088C"/>
    <w:rsid w:val="00FB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B587"/>
  <w15:chartTrackingRefBased/>
  <w15:docId w15:val="{5AA09465-8359-4DB5-A2CC-5E677EDD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2C26"/>
    <w:pPr>
      <w:ind w:left="720"/>
      <w:contextualSpacing/>
    </w:pPr>
    <w:rPr>
      <w:rFonts w:cs="Angsana New"/>
    </w:rPr>
  </w:style>
  <w:style w:type="character" w:styleId="FootnoteReference">
    <w:name w:val="footnote reference"/>
    <w:rsid w:val="003F2C26"/>
    <w:rPr>
      <w:sz w:val="32"/>
      <w:szCs w:val="32"/>
      <w:vertAlign w:val="superscript"/>
    </w:rPr>
  </w:style>
  <w:style w:type="paragraph" w:styleId="FootnoteText">
    <w:name w:val="footnote text"/>
    <w:basedOn w:val="Normal"/>
    <w:link w:val="FootnoteTextChar"/>
    <w:autoRedefine/>
    <w:rsid w:val="0052591E"/>
    <w:pPr>
      <w:spacing w:after="0" w:line="240" w:lineRule="auto"/>
      <w:jc w:val="both"/>
    </w:pPr>
    <w:rPr>
      <w:rFonts w:ascii="Arial" w:eastAsia="Times New Roman" w:hAnsi="Arial" w:cs="Arial"/>
      <w:lang w:bidi="th-TH"/>
    </w:rPr>
  </w:style>
  <w:style w:type="character" w:customStyle="1" w:styleId="FootnoteTextChar">
    <w:name w:val="Footnote Text Char"/>
    <w:link w:val="FootnoteText"/>
    <w:rsid w:val="0052591E"/>
    <w:rPr>
      <w:rFonts w:ascii="Arial" w:eastAsia="Times New Roman" w:hAnsi="Arial" w:cs="Arial"/>
      <w:sz w:val="22"/>
      <w:szCs w:val="22"/>
      <w:lang w:bidi="th-TH"/>
    </w:rPr>
  </w:style>
  <w:style w:type="table" w:styleId="TableGrid">
    <w:name w:val="Table Grid"/>
    <w:basedOn w:val="TableNormal"/>
    <w:uiPriority w:val="59"/>
    <w:rsid w:val="00624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10C54"/>
    <w:pPr>
      <w:tabs>
        <w:tab w:val="center" w:pos="4680"/>
        <w:tab w:val="right" w:pos="9360"/>
      </w:tabs>
    </w:pPr>
  </w:style>
  <w:style w:type="character" w:customStyle="1" w:styleId="HeaderChar">
    <w:name w:val="Header Char"/>
    <w:link w:val="Header"/>
    <w:uiPriority w:val="99"/>
    <w:rsid w:val="00D10C54"/>
    <w:rPr>
      <w:sz w:val="22"/>
      <w:szCs w:val="22"/>
    </w:rPr>
  </w:style>
  <w:style w:type="paragraph" w:styleId="Footer">
    <w:name w:val="footer"/>
    <w:basedOn w:val="Normal"/>
    <w:link w:val="FooterChar"/>
    <w:uiPriority w:val="99"/>
    <w:unhideWhenUsed/>
    <w:rsid w:val="00D10C54"/>
    <w:pPr>
      <w:tabs>
        <w:tab w:val="center" w:pos="4680"/>
        <w:tab w:val="right" w:pos="9360"/>
      </w:tabs>
    </w:pPr>
  </w:style>
  <w:style w:type="character" w:customStyle="1" w:styleId="FooterChar">
    <w:name w:val="Footer Char"/>
    <w:link w:val="Footer"/>
    <w:uiPriority w:val="99"/>
    <w:rsid w:val="00D10C54"/>
    <w:rPr>
      <w:sz w:val="22"/>
      <w:szCs w:val="22"/>
    </w:rPr>
  </w:style>
  <w:style w:type="paragraph" w:customStyle="1" w:styleId="ColorfulList-Accent11">
    <w:name w:val="Colorful List - Accent 11"/>
    <w:basedOn w:val="Normal"/>
    <w:qFormat/>
    <w:rsid w:val="007E69F3"/>
    <w:pPr>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Priority Programme/Activities of AICHR 2010-2011</vt:lpstr>
    </vt:vector>
  </TitlesOfParts>
  <Company>Hewlett-Packard</Company>
  <LinksUpToDate>false</LinksUpToDate>
  <CharactersWithSpaces>5485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Programme/Activities of AICHR 2010-2011</dc:title>
  <dc:subject/>
  <dc:creator>kartika.wijayanti</dc:creator>
  <cp:keywords/>
  <cp:lastModifiedBy>Chan Sze Wei</cp:lastModifiedBy>
  <cp:revision>3</cp:revision>
  <cp:lastPrinted>2011-01-12T07:07:00Z</cp:lastPrinted>
  <dcterms:created xsi:type="dcterms:W3CDTF">2019-12-16T02:18:00Z</dcterms:created>
  <dcterms:modified xsi:type="dcterms:W3CDTF">2019-12-16T02:19:00Z</dcterms:modified>
</cp:coreProperties>
</file>