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71" w:rsidRDefault="00816671" w:rsidP="00A17CED">
      <w:pPr>
        <w:pStyle w:val="CILTitle"/>
      </w:pPr>
      <w:bookmarkStart w:id="0" w:name="_GoBack"/>
      <w:bookmarkEnd w:id="0"/>
      <w:r>
        <w:t>2011 Chairman’s Statement of the 18th ASEAN Summit</w:t>
      </w:r>
      <w:r w:rsidR="00CA4E2F">
        <w:t xml:space="preserve"> “ASEAN Community in a Global Community of Nations”</w:t>
      </w:r>
    </w:p>
    <w:p w:rsidR="00816671" w:rsidRDefault="00CA4E2F" w:rsidP="00A17CED">
      <w:pPr>
        <w:pStyle w:val="CILSubtitle"/>
      </w:pPr>
      <w:r>
        <w:t xml:space="preserve">Adopted in </w:t>
      </w:r>
      <w:r w:rsidR="00816671">
        <w:t xml:space="preserve">Jakarta, </w:t>
      </w:r>
      <w:r>
        <w:t xml:space="preserve">Indonesia on </w:t>
      </w:r>
      <w:r w:rsidR="00816671">
        <w:t>7 - 8 May 2011</w:t>
      </w:r>
    </w:p>
    <w:p w:rsidR="00A929C6" w:rsidRDefault="00A929C6" w:rsidP="00A17CED">
      <w:pPr>
        <w:pStyle w:val="TOCHeading"/>
      </w:pPr>
    </w:p>
    <w:p w:rsidR="00B1217E" w:rsidRPr="00767570" w:rsidRDefault="00A929C6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7950080" w:history="1">
        <w:r w:rsidR="00B1217E" w:rsidRPr="00633E0C">
          <w:rPr>
            <w:rStyle w:val="Hyperlink"/>
            <w:noProof/>
          </w:rPr>
          <w:t>ASEAN COMMUNITY-BUILDING AND IMPLEMENTATION OF THE ASEAN CHARTER</w:t>
        </w:r>
        <w:r w:rsidR="00B1217E">
          <w:rPr>
            <w:noProof/>
            <w:webHidden/>
          </w:rPr>
          <w:tab/>
        </w:r>
        <w:r w:rsidR="00B1217E">
          <w:rPr>
            <w:noProof/>
            <w:webHidden/>
          </w:rPr>
          <w:fldChar w:fldCharType="begin"/>
        </w:r>
        <w:r w:rsidR="00B1217E">
          <w:rPr>
            <w:noProof/>
            <w:webHidden/>
          </w:rPr>
          <w:instrText xml:space="preserve"> PAGEREF _Toc477950080 \h </w:instrText>
        </w:r>
        <w:r w:rsidR="00B1217E">
          <w:rPr>
            <w:noProof/>
            <w:webHidden/>
          </w:rPr>
        </w:r>
        <w:r w:rsidR="00B1217E">
          <w:rPr>
            <w:noProof/>
            <w:webHidden/>
          </w:rPr>
          <w:fldChar w:fldCharType="separate"/>
        </w:r>
        <w:r w:rsidR="00B1217E">
          <w:rPr>
            <w:noProof/>
            <w:webHidden/>
          </w:rPr>
          <w:t>3</w:t>
        </w:r>
        <w:r w:rsidR="00B1217E"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081" w:history="1">
        <w:r w:rsidRPr="00633E0C">
          <w:rPr>
            <w:rStyle w:val="Hyperlink"/>
            <w:noProof/>
          </w:rPr>
          <w:t>ASEAN POLITICAL SECURITY COMMUNITY (APSC)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82" w:history="1">
        <w:r w:rsidRPr="00633E0C">
          <w:rPr>
            <w:rStyle w:val="Hyperlink"/>
            <w:noProof/>
          </w:rPr>
          <w:t>Good Governance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83" w:history="1">
        <w:r w:rsidRPr="00633E0C">
          <w:rPr>
            <w:rStyle w:val="Hyperlink"/>
            <w:noProof/>
          </w:rPr>
          <w:t>Conflict Resolution and Conflict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84" w:history="1">
        <w:r w:rsidRPr="00633E0C">
          <w:rPr>
            <w:rStyle w:val="Hyperlink"/>
            <w:noProof/>
          </w:rPr>
          <w:t>Treaty of Amity and Cooperation in Southeast Asia (TAC)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85" w:history="1">
        <w:r w:rsidRPr="00633E0C">
          <w:rPr>
            <w:rStyle w:val="Hyperlink"/>
            <w:noProof/>
          </w:rPr>
          <w:t>ASEAN Regional Forum (ARF)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86" w:history="1">
        <w:r w:rsidRPr="00633E0C">
          <w:rPr>
            <w:rStyle w:val="Hyperlink"/>
            <w:noProof/>
          </w:rPr>
          <w:t>ASEAN Defence Ministers’ Meeting (ADMM) and ADMM Plus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87" w:history="1">
        <w:r w:rsidRPr="00633E0C">
          <w:rPr>
            <w:rStyle w:val="Hyperlink"/>
            <w:noProof/>
          </w:rPr>
          <w:t>Maritime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88" w:history="1">
        <w:r w:rsidRPr="00633E0C">
          <w:rPr>
            <w:rStyle w:val="Hyperlink"/>
            <w:noProof/>
          </w:rPr>
          <w:t>Transnational Crimes (TNC)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89" w:history="1">
        <w:r w:rsidRPr="00633E0C">
          <w:rPr>
            <w:rStyle w:val="Hyperlink"/>
            <w:noProof/>
          </w:rPr>
          <w:t>Southeast Asia Nuclear Weapon-Free Zone (SEANWFZ)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0" w:history="1">
        <w:r w:rsidRPr="00633E0C">
          <w:rPr>
            <w:rStyle w:val="Hyperlink"/>
            <w:noProof/>
          </w:rPr>
          <w:t>Regional Cooperation on Nuclear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1" w:history="1">
        <w:r w:rsidRPr="00633E0C">
          <w:rPr>
            <w:rStyle w:val="Hyperlink"/>
            <w:noProof/>
          </w:rPr>
          <w:t>ASEAN Inter-Governmental Commission on Human Rights (AICHR)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2" w:history="1">
        <w:r w:rsidRPr="00633E0C">
          <w:rPr>
            <w:rStyle w:val="Hyperlink"/>
            <w:noProof/>
          </w:rPr>
          <w:t>Biennial Review of the APSC Blueprint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093" w:history="1">
        <w:r w:rsidRPr="00633E0C">
          <w:rPr>
            <w:rStyle w:val="Hyperlink"/>
            <w:noProof/>
          </w:rPr>
          <w:t>ASEAN ECONOMIC COMMUNITY (AEC)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4" w:history="1">
        <w:r w:rsidRPr="00633E0C">
          <w:rPr>
            <w:rStyle w:val="Hyperlink"/>
            <w:noProof/>
          </w:rPr>
          <w:t>Services and Investment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5" w:history="1">
        <w:r w:rsidRPr="00633E0C">
          <w:rPr>
            <w:rStyle w:val="Hyperlink"/>
            <w:noProof/>
          </w:rPr>
          <w:t>Food, Energy, and Water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6" w:history="1">
        <w:r w:rsidRPr="00633E0C">
          <w:rPr>
            <w:rStyle w:val="Hyperlink"/>
            <w:noProof/>
          </w:rPr>
          <w:t>Equitable Economic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7" w:history="1">
        <w:r w:rsidRPr="00633E0C">
          <w:rPr>
            <w:rStyle w:val="Hyperlink"/>
            <w:noProof/>
          </w:rPr>
          <w:t>Evolving Regional Economic Architecture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8" w:history="1">
        <w:r w:rsidRPr="00633E0C">
          <w:rPr>
            <w:rStyle w:val="Hyperlink"/>
            <w:noProof/>
          </w:rPr>
          <w:t>ASEAN Strategic Transportation Plan (ASTP)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099" w:history="1">
        <w:r w:rsidRPr="00633E0C">
          <w:rPr>
            <w:rStyle w:val="Hyperlink"/>
            <w:noProof/>
          </w:rPr>
          <w:t>ASEAN Tourism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0" w:history="1">
        <w:r w:rsidRPr="00633E0C">
          <w:rPr>
            <w:rStyle w:val="Hyperlink"/>
            <w:noProof/>
          </w:rPr>
          <w:t>World Trade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1" w:history="1">
        <w:r w:rsidRPr="00633E0C">
          <w:rPr>
            <w:rStyle w:val="Hyperlink"/>
            <w:noProof/>
          </w:rPr>
          <w:t>ASEAN Economic Initiatives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2" w:history="1">
        <w:r w:rsidRPr="00633E0C">
          <w:rPr>
            <w:rStyle w:val="Hyperlink"/>
            <w:noProof/>
          </w:rPr>
          <w:t>ASEAN Single Window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3" w:history="1">
        <w:r w:rsidRPr="00633E0C">
          <w:rPr>
            <w:rStyle w:val="Hyperlink"/>
            <w:noProof/>
          </w:rPr>
          <w:t>ASEAN Economic Vision Beyond 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04" w:history="1">
        <w:r w:rsidRPr="00633E0C">
          <w:rPr>
            <w:rStyle w:val="Hyperlink"/>
            <w:noProof/>
          </w:rPr>
          <w:t>ASEAN SOCIO-CULTURAL COMMUNITY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5" w:history="1">
        <w:r w:rsidRPr="00633E0C">
          <w:rPr>
            <w:rStyle w:val="Hyperlink"/>
            <w:noProof/>
          </w:rPr>
          <w:t>Engagement and Participation of the People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6" w:history="1">
        <w:r w:rsidRPr="00633E0C">
          <w:rPr>
            <w:rStyle w:val="Hyperlink"/>
            <w:noProof/>
          </w:rPr>
          <w:t>Disaster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7" w:history="1">
        <w:r w:rsidRPr="00633E0C">
          <w:rPr>
            <w:rStyle w:val="Hyperlink"/>
            <w:noProof/>
          </w:rPr>
          <w:t>Migrant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8" w:history="1">
        <w:r w:rsidRPr="00633E0C">
          <w:rPr>
            <w:rStyle w:val="Hyperlink"/>
            <w:noProof/>
          </w:rPr>
          <w:t>ASEAN Commission on the Promotion and Protection of the Rights of Women and Children (ACWC)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09" w:history="1">
        <w:r w:rsidRPr="00633E0C">
          <w:rPr>
            <w:rStyle w:val="Hyperlink"/>
            <w:noProof/>
          </w:rPr>
          <w:t>Youth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0" w:history="1">
        <w:r w:rsidRPr="00633E0C">
          <w:rPr>
            <w:rStyle w:val="Hyperlink"/>
            <w:noProof/>
          </w:rPr>
          <w:t>Health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1" w:history="1">
        <w:r w:rsidRPr="00633E0C">
          <w:rPr>
            <w:rStyle w:val="Hyperlink"/>
            <w:noProof/>
          </w:rPr>
          <w:t>Persons with Disabilities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2" w:history="1">
        <w:r w:rsidRPr="00633E0C">
          <w:rPr>
            <w:rStyle w:val="Hyperlink"/>
            <w:noProof/>
          </w:rPr>
          <w:t>Education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3" w:history="1">
        <w:r w:rsidRPr="00633E0C">
          <w:rPr>
            <w:rStyle w:val="Hyperlink"/>
            <w:noProof/>
          </w:rPr>
          <w:t>Community &amp; Harmony in ASEAN through Tertiary Education Relations (CHARTER)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4" w:history="1">
        <w:r w:rsidRPr="00633E0C">
          <w:rPr>
            <w:rStyle w:val="Hyperlink"/>
            <w:noProof/>
          </w:rPr>
          <w:t>Climate Change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5" w:history="1">
        <w:r w:rsidRPr="00633E0C">
          <w:rPr>
            <w:rStyle w:val="Hyperlink"/>
            <w:noProof/>
          </w:rPr>
          <w:t>Environmentally-Sustainable Cities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6" w:history="1">
        <w:r w:rsidRPr="00633E0C">
          <w:rPr>
            <w:rStyle w:val="Hyperlink"/>
            <w:noProof/>
          </w:rPr>
          <w:t>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7" w:history="1">
        <w:r w:rsidRPr="00633E0C">
          <w:rPr>
            <w:rStyle w:val="Hyperlink"/>
            <w:noProof/>
          </w:rPr>
          <w:t>Sports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18" w:history="1">
        <w:r w:rsidRPr="00633E0C">
          <w:rPr>
            <w:rStyle w:val="Hyperlink"/>
            <w:noProof/>
          </w:rPr>
          <w:t>ASEAN’s bid to host World Cup 2030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19" w:history="1">
        <w:r w:rsidRPr="00633E0C">
          <w:rPr>
            <w:rStyle w:val="Hyperlink"/>
            <w:noProof/>
          </w:rPr>
          <w:t>NARROWING THE DEVELOPMENT GAP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20" w:history="1">
        <w:r w:rsidRPr="00633E0C">
          <w:rPr>
            <w:rStyle w:val="Hyperlink"/>
            <w:noProof/>
          </w:rPr>
          <w:t>ASEAN CONNECTIVITY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21" w:history="1">
        <w:r w:rsidRPr="00633E0C">
          <w:rPr>
            <w:rStyle w:val="Hyperlink"/>
            <w:noProof/>
          </w:rPr>
          <w:t>IMPLEMENTATION OF THE ASEAN CHARTER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22" w:history="1">
        <w:r w:rsidRPr="00633E0C">
          <w:rPr>
            <w:rStyle w:val="Hyperlink"/>
            <w:noProof/>
          </w:rPr>
          <w:t>Remaining Legal Instruments under the ASEAN Charter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23" w:history="1">
        <w:r w:rsidRPr="00633E0C">
          <w:rPr>
            <w:rStyle w:val="Hyperlink"/>
            <w:noProof/>
          </w:rPr>
          <w:t>ASEAN Inter-Parliamentary Assembly (AIPA)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24" w:history="1">
        <w:r w:rsidRPr="00633E0C">
          <w:rPr>
            <w:rStyle w:val="Hyperlink"/>
            <w:noProof/>
          </w:rPr>
          <w:t>Committee of Permanent Representatives to ASEAN (CPR)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25" w:history="1">
        <w:r w:rsidRPr="00633E0C">
          <w:rPr>
            <w:rStyle w:val="Hyperlink"/>
            <w:noProof/>
          </w:rPr>
          <w:t>ASEAN Secretariat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26" w:history="1">
        <w:r w:rsidRPr="00633E0C">
          <w:rPr>
            <w:rStyle w:val="Hyperlink"/>
            <w:noProof/>
          </w:rPr>
          <w:t>ASEAN Foundation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27" w:history="1">
        <w:r w:rsidRPr="00633E0C">
          <w:rPr>
            <w:rStyle w:val="Hyperlink"/>
            <w:noProof/>
          </w:rPr>
          <w:t>REGIONAL ARCHITECTURE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28" w:history="1">
        <w:r w:rsidRPr="00633E0C">
          <w:rPr>
            <w:rStyle w:val="Hyperlink"/>
            <w:noProof/>
          </w:rPr>
          <w:t>ASEAN Centrality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29" w:history="1">
        <w:r w:rsidRPr="00633E0C">
          <w:rPr>
            <w:rStyle w:val="Hyperlink"/>
            <w:noProof/>
          </w:rPr>
          <w:t>East Asia Summit (EAS)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30" w:history="1">
        <w:r w:rsidRPr="00633E0C">
          <w:rPr>
            <w:rStyle w:val="Hyperlink"/>
            <w:noProof/>
          </w:rPr>
          <w:t>ASEAN’S EXTERNAL RELATIONS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31" w:history="1">
        <w:r w:rsidRPr="00633E0C">
          <w:rPr>
            <w:rStyle w:val="Hyperlink"/>
            <w:noProof/>
          </w:rPr>
          <w:t>ASEAN-EU Business Summit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32" w:history="1">
        <w:r w:rsidRPr="00633E0C">
          <w:rPr>
            <w:rStyle w:val="Hyperlink"/>
            <w:noProof/>
          </w:rPr>
          <w:t>ASEAN COMMUNITY IN A GLOBAL COMMUNITY OF 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33" w:history="1">
        <w:r w:rsidRPr="00633E0C">
          <w:rPr>
            <w:rStyle w:val="Hyperlink"/>
            <w:noProof/>
          </w:rPr>
          <w:t>GLOBAL MOVEMENT OF MODERATES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34" w:history="1">
        <w:r w:rsidRPr="00633E0C">
          <w:rPr>
            <w:rStyle w:val="Hyperlink"/>
            <w:noProof/>
          </w:rPr>
          <w:t>REGIONAL AND INTERNATIONAL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35" w:history="1">
        <w:r w:rsidRPr="00633E0C">
          <w:rPr>
            <w:rStyle w:val="Hyperlink"/>
            <w:noProof/>
          </w:rPr>
          <w:t>Myanmar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36" w:history="1">
        <w:r w:rsidRPr="00633E0C">
          <w:rPr>
            <w:rStyle w:val="Hyperlink"/>
            <w:noProof/>
          </w:rPr>
          <w:t>Current Situation in the Cambodia-Thailand Border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37" w:history="1">
        <w:r w:rsidRPr="00633E0C">
          <w:rPr>
            <w:rStyle w:val="Hyperlink"/>
            <w:noProof/>
          </w:rPr>
          <w:t>South China Sea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38" w:history="1">
        <w:r w:rsidRPr="00633E0C">
          <w:rPr>
            <w:rStyle w:val="Hyperlink"/>
            <w:noProof/>
          </w:rPr>
          <w:t>Korean Peninsula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39" w:history="1">
        <w:r w:rsidRPr="00633E0C">
          <w:rPr>
            <w:rStyle w:val="Hyperlink"/>
            <w:noProof/>
          </w:rPr>
          <w:t>Middle East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40" w:history="1">
        <w:r w:rsidRPr="00633E0C">
          <w:rPr>
            <w:rStyle w:val="Hyperlink"/>
            <w:noProof/>
          </w:rPr>
          <w:t>Palestine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41" w:history="1">
        <w:r w:rsidRPr="00633E0C">
          <w:rPr>
            <w:rStyle w:val="Hyperlink"/>
            <w:noProof/>
          </w:rPr>
          <w:t>G-20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42" w:history="1">
        <w:r w:rsidRPr="00633E0C">
          <w:rPr>
            <w:rStyle w:val="Hyperlink"/>
            <w:noProof/>
          </w:rPr>
          <w:t>Millennium Development Goals (MDGs)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43" w:history="1">
        <w:r w:rsidRPr="00633E0C">
          <w:rPr>
            <w:rStyle w:val="Hyperlink"/>
            <w:noProof/>
          </w:rPr>
          <w:t>Non-Aligned Movement (NAM)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7950144" w:history="1">
        <w:r w:rsidRPr="00633E0C">
          <w:rPr>
            <w:rStyle w:val="Hyperlink"/>
            <w:noProof/>
          </w:rPr>
          <w:t>OTHER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45" w:history="1">
        <w:r w:rsidRPr="00633E0C">
          <w:rPr>
            <w:rStyle w:val="Hyperlink"/>
            <w:noProof/>
          </w:rPr>
          <w:t>Timor-Leste’s Formal Request to be a Full Member of ASEAN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1217E" w:rsidRPr="00767570" w:rsidRDefault="00B1217E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  <w:lang w:val="en-SG" w:eastAsia="en-SG"/>
        </w:rPr>
      </w:pPr>
      <w:hyperlink w:anchor="_Toc477950146" w:history="1">
        <w:r w:rsidRPr="00633E0C">
          <w:rPr>
            <w:rStyle w:val="Hyperlink"/>
            <w:noProof/>
          </w:rPr>
          <w:t>The Ottawa Convention to Ban Anti-Personnel Landmines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_Toc477950146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929C6" w:rsidRDefault="00A929C6" w:rsidP="00A17CED">
      <w:r>
        <w:rPr>
          <w:b/>
          <w:bCs/>
          <w:noProof/>
        </w:rPr>
        <w:fldChar w:fldCharType="end"/>
      </w:r>
    </w:p>
    <w:p w:rsidR="00146EED" w:rsidRDefault="00146EED" w:rsidP="00226239">
      <w:pPr>
        <w:pStyle w:val="CILTitle"/>
      </w:pPr>
      <w:r>
        <w:br w:type="page"/>
      </w:r>
      <w:r>
        <w:lastRenderedPageBreak/>
        <w:t>2011 Chairman’s Statement of the 18th ASEAN Summit “ASEAN Community in a Global Community of Nations”</w:t>
      </w:r>
    </w:p>
    <w:p w:rsidR="00146EED" w:rsidRDefault="00146EED" w:rsidP="00A17CED">
      <w:pPr>
        <w:pStyle w:val="CILSubtitle"/>
      </w:pPr>
      <w:r>
        <w:t>Adopted in Jakarta, Indonesia on 7 - 8 May 2011</w:t>
      </w:r>
    </w:p>
    <w:p w:rsidR="00146EED" w:rsidRDefault="00146EED" w:rsidP="00A17CED"/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The 18th ASEAN Summit, with the theme “ASEAN Community in a Global Community of</w:t>
      </w:r>
      <w:r w:rsidR="00CA4E2F">
        <w:t xml:space="preserve"> </w:t>
      </w:r>
      <w:r>
        <w:t>Nations,” held in Jakarta on 7-8 May 2011, was chaired by the President of the Republic of</w:t>
      </w:r>
      <w:r w:rsidR="00CA4E2F">
        <w:t xml:space="preserve"> </w:t>
      </w:r>
      <w:r>
        <w:t>Indonesia, Dr. Susilo Bambang Yudhoyono, as the Chair of ASEAN in 2011. The Heads of</w:t>
      </w:r>
      <w:r w:rsidR="00CA4E2F">
        <w:t xml:space="preserve"> </w:t>
      </w:r>
      <w:r>
        <w:t>State/Government of ASEAN Member States had substantive, frank and productive discussion in</w:t>
      </w:r>
      <w:r w:rsidR="00CA4E2F">
        <w:t xml:space="preserve"> </w:t>
      </w:r>
      <w:r>
        <w:t>a plenary session and retreat session, under a new arrangement of ASEAN Summit programmes</w:t>
      </w:r>
      <w:r w:rsidR="00CA4E2F">
        <w:t xml:space="preserve"> </w:t>
      </w:r>
      <w:r>
        <w:t>and agenda.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the Heads of State/Government of ASEAN Member States, gathered in Jakarta, Indonesia,</w:t>
      </w:r>
      <w:r w:rsidR="00CA4E2F">
        <w:t xml:space="preserve"> </w:t>
      </w:r>
      <w:r>
        <w:t>for the 18th ASEAN Summit, supported the three priorities outlined by Indonesia during its</w:t>
      </w:r>
      <w:r w:rsidR="00CA4E2F">
        <w:t xml:space="preserve"> </w:t>
      </w:r>
      <w:r>
        <w:t>chairmanship in 2011, namely: to ensure significant progress in achieving the ASEAN</w:t>
      </w:r>
      <w:r w:rsidR="00CA4E2F">
        <w:t xml:space="preserve"> </w:t>
      </w:r>
      <w:r>
        <w:t>Community; to ensure that the regional architecture and regional environment remain</w:t>
      </w:r>
      <w:r w:rsidR="00CA4E2F">
        <w:t xml:space="preserve"> </w:t>
      </w:r>
      <w:r>
        <w:t>ASEAN-centered and conducive to development; and to commence deliberations on an ASEAN</w:t>
      </w:r>
      <w:r w:rsidR="00CA4E2F">
        <w:t xml:space="preserve"> </w:t>
      </w:r>
      <w:r>
        <w:t>vision beyond 2015 namely “ASEAN Community in a Global Community of Nations”. We also</w:t>
      </w:r>
      <w:r w:rsidR="00CA4E2F">
        <w:t xml:space="preserve"> </w:t>
      </w:r>
      <w:r>
        <w:t>agreed to work together based on those priorities to accelerate the undertakings towards the</w:t>
      </w:r>
      <w:r w:rsidR="00CA4E2F">
        <w:t xml:space="preserve"> </w:t>
      </w:r>
      <w:r>
        <w:t>ASEAN Community in 2015 and to achieve a common platform for ASEAN beyond 2015 in</w:t>
      </w:r>
      <w:r w:rsidR="00CA4E2F">
        <w:t xml:space="preserve"> </w:t>
      </w:r>
      <w:r>
        <w:t>Southeast Asia.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Inspired by and united under One Vision, One Identity, and One Caring and Sharing Community,</w:t>
      </w:r>
      <w:r w:rsidR="00CA4E2F">
        <w:t xml:space="preserve"> </w:t>
      </w:r>
      <w:r>
        <w:t>we continue to be committed to intensify our work towards a p</w:t>
      </w:r>
      <w:r w:rsidR="00CA4E2F">
        <w:t xml:space="preserve">eople-oriented, people-centered </w:t>
      </w:r>
      <w:r>
        <w:t>and rules-based ASEAN. We will continue to encourage the participation of the peoples and</w:t>
      </w:r>
      <w:r w:rsidR="00CA4E2F">
        <w:t xml:space="preserve"> </w:t>
      </w:r>
      <w:r>
        <w:t>other stakeholders of ASEAN in the community building process on the basis of the three pillars,</w:t>
      </w:r>
      <w:r w:rsidR="00CA4E2F">
        <w:t xml:space="preserve"> </w:t>
      </w:r>
      <w:r>
        <w:t>namely political-security, economic and socio-cultural.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agreed and adopted three joint statements as follows:</w:t>
      </w:r>
    </w:p>
    <w:p w:rsidR="00816671" w:rsidRDefault="00816671" w:rsidP="00A17CED">
      <w:pPr>
        <w:pStyle w:val="ListParagraph"/>
        <w:numPr>
          <w:ilvl w:val="0"/>
          <w:numId w:val="4"/>
        </w:numPr>
        <w:contextualSpacing w:val="0"/>
      </w:pPr>
      <w:r>
        <w:t>ASEAN Leaders’ Joint Statement on the ASEAN Community in a Global Community of</w:t>
      </w:r>
      <w:r w:rsidR="00CA4E2F">
        <w:t xml:space="preserve"> </w:t>
      </w:r>
      <w:r>
        <w:t>Nations;</w:t>
      </w:r>
    </w:p>
    <w:p w:rsidR="00816671" w:rsidRDefault="00816671" w:rsidP="00A17CED">
      <w:pPr>
        <w:pStyle w:val="ListParagraph"/>
        <w:numPr>
          <w:ilvl w:val="0"/>
          <w:numId w:val="4"/>
        </w:numPr>
        <w:contextualSpacing w:val="0"/>
      </w:pPr>
      <w:r>
        <w:t>ASEAN Leaders’ Joint Statement on the Establishment of the ASEAN Institute for Peace and</w:t>
      </w:r>
      <w:r w:rsidR="00CA4E2F">
        <w:t xml:space="preserve"> </w:t>
      </w:r>
      <w:r>
        <w:t>Reconciliation; and</w:t>
      </w:r>
    </w:p>
    <w:p w:rsidR="00816671" w:rsidRDefault="00816671" w:rsidP="00A17CED">
      <w:pPr>
        <w:pStyle w:val="ListParagraph"/>
        <w:numPr>
          <w:ilvl w:val="0"/>
          <w:numId w:val="4"/>
        </w:numPr>
        <w:contextualSpacing w:val="0"/>
      </w:pPr>
      <w:r>
        <w:t>ASEAN Leaders’ Joint Statement in Enhancing Cooperation ag</w:t>
      </w:r>
      <w:r w:rsidR="00CA4E2F">
        <w:t xml:space="preserve">ainst Trafficking in Persons in </w:t>
      </w:r>
      <w:r>
        <w:t>Southeast Asia.</w:t>
      </w:r>
    </w:p>
    <w:p w:rsidR="00CA4E2F" w:rsidRDefault="00CA4E2F" w:rsidP="00A17CED">
      <w:pPr>
        <w:pStyle w:val="Heading1"/>
      </w:pPr>
      <w:bookmarkStart w:id="1" w:name="_Toc477950080"/>
      <w:r>
        <w:t>ASEAN COMMUNITY-BUILDING AND IMPLEMENTATION OF THE ASEAN CHARTER</w:t>
      </w:r>
      <w:bookmarkEnd w:id="1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Encouraged by the progress in the implementation of the A</w:t>
      </w:r>
      <w:r w:rsidR="00CA4E2F">
        <w:t xml:space="preserve">SEAN Charter and Roadmap for an </w:t>
      </w:r>
      <w:r>
        <w:t>ASEAN Community, we provided guidance and reiterated our</w:t>
      </w:r>
      <w:r w:rsidR="00CA4E2F">
        <w:t xml:space="preserve"> firm commitment to advance the </w:t>
      </w:r>
      <w:r>
        <w:t>ASEAN Community building process through concrete, pract</w:t>
      </w:r>
      <w:r w:rsidR="00CA4E2F">
        <w:t xml:space="preserve">ical and meaningful actions. We </w:t>
      </w:r>
      <w:r>
        <w:t>therefore underlined the need for concerted and synergized effor</w:t>
      </w:r>
      <w:r w:rsidR="00CA4E2F">
        <w:t xml:space="preserve">ts in the implementation of the </w:t>
      </w:r>
      <w:r>
        <w:t>three Community Blueprints and decisions of this Summit.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lastRenderedPageBreak/>
        <w:t>We deemed it of great importance that the three Community Blueprints be integrated into</w:t>
      </w:r>
      <w:r w:rsidR="00CA4E2F">
        <w:t xml:space="preserve"> </w:t>
      </w:r>
      <w:r>
        <w:t>national policies and programmes. We, in this connection, recommended developing yearly</w:t>
      </w:r>
      <w:r w:rsidR="00CA4E2F">
        <w:t xml:space="preserve"> </w:t>
      </w:r>
      <w:r>
        <w:t>targeted achievements of the implementation of Community Blueprints as well as new possible</w:t>
      </w:r>
      <w:r w:rsidR="00CA4E2F">
        <w:t xml:space="preserve"> </w:t>
      </w:r>
      <w:r>
        <w:t>cooperation towards the ASEAN Community in 2015. We tasked the ASEAN Coordinating</w:t>
      </w:r>
      <w:r w:rsidR="00CA4E2F">
        <w:t xml:space="preserve"> </w:t>
      </w:r>
      <w:r>
        <w:t>Council (ACC) and the three Community Councils to follow up all necessary actions in</w:t>
      </w:r>
      <w:r w:rsidR="00CA4E2F">
        <w:t xml:space="preserve"> </w:t>
      </w:r>
      <w:r>
        <w:t>developing the annual targeted achievements as well as in reviewing the Community Blueprints</w:t>
      </w:r>
      <w:r w:rsidR="00CA4E2F">
        <w:t xml:space="preserve"> </w:t>
      </w:r>
      <w:r>
        <w:t>with the aim of ensuring that all the activities are responsive to the needs and priorities of</w:t>
      </w:r>
      <w:r w:rsidR="00CA4E2F">
        <w:t xml:space="preserve"> </w:t>
      </w:r>
      <w:r>
        <w:t>ASEAN. As there are many cross-cutting issues that cut across all three pillars of the ASEAN</w:t>
      </w:r>
      <w:r w:rsidR="00CA4E2F">
        <w:t xml:space="preserve"> </w:t>
      </w:r>
      <w:r>
        <w:t>Community, we underscored the importance of effective coordination on cross-cutting issues and</w:t>
      </w:r>
      <w:r w:rsidR="00CA4E2F">
        <w:t xml:space="preserve"> </w:t>
      </w:r>
      <w:r>
        <w:t>tasked the ACC and the Secretary-General of ASEAN to monitor and encourage such</w:t>
      </w:r>
      <w:r w:rsidR="00CA4E2F">
        <w:t xml:space="preserve"> </w:t>
      </w:r>
      <w:r>
        <w:t>coordination.</w:t>
      </w:r>
    </w:p>
    <w:p w:rsidR="00816671" w:rsidRDefault="00816671" w:rsidP="00A17CED">
      <w:pPr>
        <w:pStyle w:val="Heading1"/>
      </w:pPr>
      <w:bookmarkStart w:id="2" w:name="_Toc477950081"/>
      <w:r>
        <w:t>ASEAN POLITICAL SECURITY COMMUNITY (APSC)</w:t>
      </w:r>
      <w:bookmarkEnd w:id="2"/>
    </w:p>
    <w:p w:rsidR="00816671" w:rsidRDefault="00816671" w:rsidP="00A17CED">
      <w:pPr>
        <w:pStyle w:val="Heading2"/>
      </w:pPr>
      <w:bookmarkStart w:id="3" w:name="_Toc477950082"/>
      <w:r>
        <w:t>Good Governance</w:t>
      </w:r>
      <w:bookmarkEnd w:id="3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emphasized the importance of promoting good governance and transparency within the</w:t>
      </w:r>
      <w:r w:rsidR="00CA4E2F">
        <w:t xml:space="preserve"> </w:t>
      </w:r>
      <w:r>
        <w:t>ASEAN Community and tasked our Ministers to explore and cons</w:t>
      </w:r>
      <w:r w:rsidR="00CA4E2F">
        <w:t xml:space="preserve">ider appropriate initiatives to </w:t>
      </w:r>
      <w:r>
        <w:t>take these principles forward.</w:t>
      </w:r>
    </w:p>
    <w:p w:rsidR="00816671" w:rsidRDefault="00816671" w:rsidP="00A17CED">
      <w:pPr>
        <w:pStyle w:val="Heading2"/>
      </w:pPr>
      <w:bookmarkStart w:id="4" w:name="_Toc477950083"/>
      <w:r>
        <w:t>Conflict Resolution and Conflict Management</w:t>
      </w:r>
      <w:bookmarkEnd w:id="4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Observing current geopolitical developments in the region and in the world, we pointed out the</w:t>
      </w:r>
      <w:r w:rsidR="00CA4E2F">
        <w:t xml:space="preserve"> </w:t>
      </w:r>
      <w:r>
        <w:t>need for ASEAN to enhance its capacity to ensure greater peace</w:t>
      </w:r>
      <w:r w:rsidR="00CA4E2F">
        <w:t xml:space="preserve">, security and stability in the </w:t>
      </w:r>
      <w:r>
        <w:t>region, including on conflict management and resolution.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As a step towards that goal, we agreed to commence the process towards establishing an ASEAN</w:t>
      </w:r>
      <w:r w:rsidR="00CA4E2F">
        <w:t xml:space="preserve"> </w:t>
      </w:r>
      <w:r>
        <w:t>Institute for Peace and Reconciliation, as stipulated in the APS</w:t>
      </w:r>
      <w:r w:rsidR="00CA4E2F">
        <w:t xml:space="preserve">C Blueprint. The institute may, </w:t>
      </w:r>
      <w:r>
        <w:t>inter alia, undertake relevant researches and studies, and provide counsel and recommendations</w:t>
      </w:r>
      <w:r w:rsidR="00CA4E2F">
        <w:t xml:space="preserve"> </w:t>
      </w:r>
      <w:r>
        <w:t>to ASEAN governments on the promotion of peace and reconciliation. We therefore agreed to</w:t>
      </w:r>
      <w:r w:rsidR="00CA4E2F">
        <w:t xml:space="preserve"> </w:t>
      </w:r>
      <w:r>
        <w:t>task our Foreign Ministers to work on the modalities towards the establishment of the institute</w:t>
      </w:r>
      <w:r w:rsidR="00CA4E2F">
        <w:t xml:space="preserve"> </w:t>
      </w:r>
      <w:r>
        <w:t xml:space="preserve">and submit their recommendations to the 19th ASEAN Summit in Bali for its consideration. </w:t>
      </w:r>
    </w:p>
    <w:p w:rsidR="00816671" w:rsidRDefault="00816671" w:rsidP="00A17CED">
      <w:pPr>
        <w:pStyle w:val="Heading2"/>
      </w:pPr>
      <w:bookmarkStart w:id="5" w:name="_Toc477950084"/>
      <w:r>
        <w:t>Treaty of Amity and Cooperation in Southeast Asia (TAC)</w:t>
      </w:r>
      <w:bookmarkEnd w:id="5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The TAC has had a significant role as the key code of conduct governing inter-state relations in</w:t>
      </w:r>
      <w:r w:rsidR="00CA4E2F">
        <w:t xml:space="preserve"> </w:t>
      </w:r>
      <w:r>
        <w:t>the region. Further upholding of the TAC would foster coop</w:t>
      </w:r>
      <w:r w:rsidR="00CA4E2F">
        <w:t xml:space="preserve">eration and understanding among </w:t>
      </w:r>
      <w:r>
        <w:t>High Contracting Parties and ensure the preservation of peace and harmony in the region. We</w:t>
      </w:r>
      <w:r w:rsidR="00CA4E2F">
        <w:t xml:space="preserve"> </w:t>
      </w:r>
      <w:r>
        <w:t>welcomed the accession of non-ASEAN Member States to the TAC, looked forward to the</w:t>
      </w:r>
      <w:r w:rsidR="00CA4E2F">
        <w:t xml:space="preserve"> </w:t>
      </w:r>
      <w:r>
        <w:t>accession of the EU to the TAC and took note of the continued interest of other non-ASEAN</w:t>
      </w:r>
      <w:r w:rsidR="00CA4E2F">
        <w:t xml:space="preserve"> </w:t>
      </w:r>
      <w:r>
        <w:t>Member States to accede to the TAC. We looked forward to the effective implementation of the</w:t>
      </w:r>
      <w:r w:rsidR="00CA4E2F">
        <w:t xml:space="preserve"> </w:t>
      </w:r>
      <w:r>
        <w:t>TAC and to review the implementation of the TAC with the view to enhancing its effectiveness.</w:t>
      </w:r>
      <w:r w:rsidR="00CA4E2F">
        <w:t xml:space="preserve"> </w:t>
      </w:r>
      <w:r>
        <w:t>Peacekeeping and Post-Conflict Peace Building Missions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encouraged the establishment of a network among existing peacekeeping centres in ASEAN</w:t>
      </w:r>
      <w:r w:rsidR="00CA4E2F">
        <w:t xml:space="preserve"> </w:t>
      </w:r>
      <w:r>
        <w:t>Member States to conduct joint planning, training, and sharin</w:t>
      </w:r>
      <w:r w:rsidR="00CA4E2F">
        <w:t xml:space="preserve">g of experiences with a view to </w:t>
      </w:r>
      <w:r>
        <w:t>establishing an ASEAN arrangement for the maintenance of peac</w:t>
      </w:r>
      <w:r w:rsidR="00CA4E2F">
        <w:t xml:space="preserve">e and stability. We agreed that </w:t>
      </w:r>
      <w:r>
        <w:t>this effort would strengthen the vital role of ASEAN Member States in supporting the effective</w:t>
      </w:r>
      <w:r w:rsidR="00CA4E2F">
        <w:t xml:space="preserve"> </w:t>
      </w:r>
      <w:r>
        <w:t xml:space="preserve">peacekeeping and peace-building efforts of the UN. We are </w:t>
      </w:r>
      <w:r w:rsidR="00CA4E2F">
        <w:t xml:space="preserve">encouraged that the AMM and the </w:t>
      </w:r>
      <w:r>
        <w:t>ADMM is undertaking concrete steps to realize this objective.</w:t>
      </w:r>
    </w:p>
    <w:p w:rsidR="00816671" w:rsidRDefault="00226239" w:rsidP="00A17CED">
      <w:pPr>
        <w:pStyle w:val="Heading2"/>
      </w:pPr>
      <w:r>
        <w:br w:type="page"/>
      </w:r>
      <w:bookmarkStart w:id="6" w:name="_Toc477950085"/>
      <w:r w:rsidR="00816671">
        <w:lastRenderedPageBreak/>
        <w:t>ASEAN Regional Forum (ARF)</w:t>
      </w:r>
      <w:bookmarkEnd w:id="6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recognized the importance of the ARF in promoting dialogue on security issues, cooperation</w:t>
      </w:r>
      <w:r w:rsidR="00CA4E2F">
        <w:t xml:space="preserve"> </w:t>
      </w:r>
      <w:r>
        <w:t>on issues of mutual interest and confidence-building measur</w:t>
      </w:r>
      <w:r w:rsidR="00CA4E2F">
        <w:t xml:space="preserve">es and pursuing efforts towards </w:t>
      </w:r>
      <w:r>
        <w:t>preventive diplomacy in the region and as playing a central role in the regional security</w:t>
      </w:r>
      <w:r w:rsidR="00CA4E2F">
        <w:t xml:space="preserve"> </w:t>
      </w:r>
      <w:r>
        <w:t>architecture. We looked forward to closer cooperation and development of synergies between the</w:t>
      </w:r>
      <w:r w:rsidR="00CA4E2F">
        <w:t xml:space="preserve"> </w:t>
      </w:r>
      <w:r>
        <w:t>ARF and other ASEAN-centered arrangements in the region such as the ASEAN Defence</w:t>
      </w:r>
      <w:r w:rsidR="00CA4E2F">
        <w:t xml:space="preserve"> </w:t>
      </w:r>
      <w:r>
        <w:t>Ministers’ Meeting Plus (ADMM Plus).</w:t>
      </w:r>
    </w:p>
    <w:p w:rsidR="00816671" w:rsidRDefault="00816671" w:rsidP="00A17CED">
      <w:pPr>
        <w:pStyle w:val="Heading2"/>
      </w:pPr>
      <w:bookmarkStart w:id="7" w:name="_Toc477950086"/>
      <w:r>
        <w:t>ASEAN Defence Ministers’ Meeting (ADMM) and ADMM Plus</w:t>
      </w:r>
      <w:bookmarkEnd w:id="7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progress made in the defence dialogue and cooperation under the ADMM</w:t>
      </w:r>
      <w:r w:rsidR="00CA4E2F">
        <w:t xml:space="preserve"> </w:t>
      </w:r>
      <w:r>
        <w:t>framework to promote peace and stability, and noted wi</w:t>
      </w:r>
      <w:r w:rsidR="00CA4E2F">
        <w:t xml:space="preserve">th satisfaction the progress in </w:t>
      </w:r>
      <w:r>
        <w:t>implementing the outcomes of the 1st ASEAN Defence Ministers’ Meeting Plus in October 2010</w:t>
      </w:r>
      <w:r w:rsidR="00CA4E2F">
        <w:t xml:space="preserve"> </w:t>
      </w:r>
      <w:r>
        <w:t>in Ha Noi, Viet Nam.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encouraged the ADMM to enhance dialogue on how they can effectively support efforts in</w:t>
      </w:r>
      <w:r w:rsidR="00CA4E2F">
        <w:t xml:space="preserve"> </w:t>
      </w:r>
      <w:r>
        <w:t>building confidence in the region. There would thus be signific</w:t>
      </w:r>
      <w:r w:rsidR="00CA4E2F">
        <w:t xml:space="preserve">ant value-added to ADMM efforts </w:t>
      </w:r>
      <w:r>
        <w:t>at interoperability in this area, given their existing efforts at enhancing interoperability in</w:t>
      </w:r>
      <w:r w:rsidR="00CA4E2F">
        <w:t xml:space="preserve"> </w:t>
      </w:r>
      <w:r>
        <w:t>humanitarian assistance and disaster relief. We looked forward to the convening of the fifth</w:t>
      </w:r>
      <w:r w:rsidR="00CA4E2F">
        <w:t xml:space="preserve"> </w:t>
      </w:r>
      <w:r>
        <w:t>ADMM in Jakarta this May, as well as the Three-Year Work Plan (2011-2013) to be adopted at</w:t>
      </w:r>
      <w:r w:rsidR="00CA4E2F">
        <w:t xml:space="preserve"> </w:t>
      </w:r>
      <w:r>
        <w:t xml:space="preserve">the ADMM. </w:t>
      </w:r>
    </w:p>
    <w:p w:rsidR="00816671" w:rsidRDefault="00816671" w:rsidP="00A17CED">
      <w:pPr>
        <w:pStyle w:val="Heading2"/>
      </w:pPr>
      <w:bookmarkStart w:id="8" w:name="_Toc477950087"/>
      <w:r>
        <w:t>Maritime Issues</w:t>
      </w:r>
      <w:bookmarkEnd w:id="8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Maritime-related issues have become more prominent, due to the increasing interdependency of</w:t>
      </w:r>
      <w:r w:rsidR="00CA4E2F">
        <w:t xml:space="preserve"> </w:t>
      </w:r>
      <w:r>
        <w:t xml:space="preserve">the global economy as well as the threat of sea piracy and armed </w:t>
      </w:r>
      <w:r w:rsidR="00CA4E2F">
        <w:t xml:space="preserve">robbery at sea. In this regard, </w:t>
      </w:r>
      <w:r>
        <w:t>we affirmed our commitment to addressing maritime issues comprehensively, particularly the</w:t>
      </w:r>
      <w:r w:rsidR="00CA4E2F">
        <w:t xml:space="preserve"> </w:t>
      </w:r>
      <w:r>
        <w:t>issues that need our immediate attention, including, peaceful, safe, free and lawful navigation,</w:t>
      </w:r>
      <w:r w:rsidR="00CA4E2F">
        <w:t xml:space="preserve"> </w:t>
      </w:r>
      <w:r>
        <w:t>protection of marine environment and biodiversity resources, and cooperation on search and</w:t>
      </w:r>
      <w:r w:rsidR="00CA4E2F">
        <w:t xml:space="preserve"> </w:t>
      </w:r>
      <w:r>
        <w:t>rescue at sea.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underlined the need to empower and utilize the ASEAN Maritime Forum (AMF) as a forum</w:t>
      </w:r>
      <w:r w:rsidR="00CA4E2F">
        <w:t xml:space="preserve"> </w:t>
      </w:r>
      <w:r>
        <w:t>for discussing ways of ensuring the safety and security of our seas for the welfare of the peoples</w:t>
      </w:r>
      <w:r w:rsidR="00CA4E2F">
        <w:t xml:space="preserve"> </w:t>
      </w:r>
      <w:r>
        <w:t>of ASEAN, as well as to provide solutions to problems arising from maritime-related issues.</w:t>
      </w:r>
      <w:r w:rsidR="00CA4E2F">
        <w:t xml:space="preserve"> </w:t>
      </w:r>
      <w:r>
        <w:t>With the successful convening of the 1st AMF last year in Indonesia, we looked forward to the</w:t>
      </w:r>
      <w:r w:rsidR="00CA4E2F">
        <w:t xml:space="preserve"> </w:t>
      </w:r>
      <w:r>
        <w:t>convening of the 2nd AMF in Thailand later this year.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also underlined the importance of enhancing our capacity to address the issue of maritime</w:t>
      </w:r>
      <w:r w:rsidR="00CA4E2F">
        <w:t xml:space="preserve"> </w:t>
      </w:r>
      <w:r>
        <w:t>security, in particular to combat sea piracy and armed rob</w:t>
      </w:r>
      <w:r w:rsidR="00CA4E2F">
        <w:t xml:space="preserve">bery at sea. In this regard, we </w:t>
      </w:r>
      <w:r>
        <w:t>emphasized the need for us to work together on the issue of sea piracy and armed robbery in</w:t>
      </w:r>
      <w:r w:rsidR="00CA4E2F">
        <w:t xml:space="preserve"> </w:t>
      </w:r>
      <w:r>
        <w:t>accordance with the UNCLOS 1982.</w:t>
      </w:r>
    </w:p>
    <w:p w:rsidR="00816671" w:rsidRDefault="00816671" w:rsidP="00A17CED">
      <w:pPr>
        <w:pStyle w:val="Heading2"/>
      </w:pPr>
      <w:bookmarkStart w:id="9" w:name="_Toc477950088"/>
      <w:r>
        <w:t>Transnational Crimes (TNC)</w:t>
      </w:r>
      <w:bookmarkEnd w:id="9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acknowledged with satisfaction ASEAN cooperation on counter-terrorism. We welcomed the</w:t>
      </w:r>
      <w:r w:rsidR="00CA4E2F">
        <w:t xml:space="preserve"> </w:t>
      </w:r>
      <w:r>
        <w:t>imminent entry into force later this month of the ASEAN Convention on Counter-T</w:t>
      </w:r>
      <w:r w:rsidR="00CA4E2F">
        <w:t xml:space="preserve">errorism </w:t>
      </w:r>
      <w:r>
        <w:t>(ACCT) and ratification of the ACCT by all ASEAN Member States. We reemphasized the</w:t>
      </w:r>
      <w:r w:rsidR="00CA4E2F">
        <w:t xml:space="preserve"> </w:t>
      </w:r>
      <w:r>
        <w:t>importance of working towards acceding and ratifying the relevant international instruments on</w:t>
      </w:r>
      <w:r w:rsidR="00CA4E2F">
        <w:t xml:space="preserve"> </w:t>
      </w:r>
      <w:r>
        <w:t>counter terrorism. We agreed to continue promoting the effective implementation of the ASEAN</w:t>
      </w:r>
      <w:r w:rsidR="00CA4E2F">
        <w:t xml:space="preserve"> </w:t>
      </w:r>
      <w:r>
        <w:t>Comprehensive Plan of Action on Counter Terrorism and to develop initiatives aimed at</w:t>
      </w:r>
      <w:r w:rsidR="00CA4E2F">
        <w:t xml:space="preserve"> </w:t>
      </w:r>
      <w:r>
        <w:t>addressing the root causes of terrorism and conditions that are conducive to terrorism and to</w:t>
      </w:r>
      <w:r w:rsidR="00CA4E2F">
        <w:t xml:space="preserve"> </w:t>
      </w:r>
      <w:r>
        <w:t xml:space="preserve">promote cooperation on de-radicalization and interfaith dialogues. We expressed the view </w:t>
      </w:r>
      <w:r>
        <w:lastRenderedPageBreak/>
        <w:t>that</w:t>
      </w:r>
      <w:r w:rsidR="00CA4E2F">
        <w:t xml:space="preserve"> </w:t>
      </w:r>
      <w:r>
        <w:t>these efforts would also contribute to the implementation of the UN Global Counter Terrorism</w:t>
      </w:r>
      <w:r w:rsidR="00CA4E2F">
        <w:t xml:space="preserve"> </w:t>
      </w:r>
      <w:r>
        <w:t>Strategy.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expressed concern at the increasing cases of trafficking in persons and people smuggling in</w:t>
      </w:r>
      <w:r w:rsidR="00CA4E2F">
        <w:t xml:space="preserve"> </w:t>
      </w:r>
      <w:r>
        <w:t>the region and tasked our Ministers in charge of Transna</w:t>
      </w:r>
      <w:r w:rsidR="00CA4E2F">
        <w:t xml:space="preserve">tional Crimes to accelerate the </w:t>
      </w:r>
      <w:r>
        <w:t>consideration of an ASEAN Convention on Trafficking in Persons. We stressed that victims of</w:t>
      </w:r>
      <w:r w:rsidR="00CA4E2F">
        <w:t xml:space="preserve"> </w:t>
      </w:r>
      <w:r>
        <w:t>trafficking, mainly vulnerable women and children, have a fundamental right to be protected in</w:t>
      </w:r>
      <w:r w:rsidR="00CA4E2F">
        <w:t xml:space="preserve"> </w:t>
      </w:r>
      <w:r>
        <w:t>accordance with the international law and relevant international conventions. We acknowledged</w:t>
      </w:r>
      <w:r w:rsidR="00CA4E2F">
        <w:t xml:space="preserve"> </w:t>
      </w:r>
      <w:r>
        <w:t>with appreciation the work of the Bali Process on People Smuggling, Trafficking in Persons and</w:t>
      </w:r>
      <w:r w:rsidR="00CA4E2F">
        <w:t xml:space="preserve"> </w:t>
      </w:r>
      <w:r>
        <w:t>Related Transnational Crime, which specified concrete actio</w:t>
      </w:r>
      <w:r w:rsidR="00CA4E2F">
        <w:t xml:space="preserve">ns to mitigate the problems of </w:t>
      </w:r>
      <w:r>
        <w:t>irregular movement of people, in particular people smuggling and trafficking in persons. We</w:t>
      </w:r>
      <w:r w:rsidR="00CA4E2F">
        <w:t xml:space="preserve"> </w:t>
      </w:r>
      <w:r>
        <w:t>agreed to enhance further cooperation within existing frameworks and instruments which are</w:t>
      </w:r>
      <w:r w:rsidR="00CA4E2F">
        <w:t xml:space="preserve"> </w:t>
      </w:r>
      <w:r>
        <w:t>consistent with national laws and regulations.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recognized the need for greater regional coordination on anti-drug efforts given the</w:t>
      </w:r>
      <w:r w:rsidR="00CA4E2F">
        <w:t xml:space="preserve"> </w:t>
      </w:r>
      <w:r>
        <w:t>cross-border and transnational nature of illegal drug activities. In order to meet the vision of a</w:t>
      </w:r>
      <w:r w:rsidR="00CA4E2F">
        <w:t xml:space="preserve"> </w:t>
      </w:r>
      <w:r>
        <w:t>Drug-Free ASEAN by 2015, we highlighted the need to fully and effectively implement the</w:t>
      </w:r>
      <w:r w:rsidR="00CA4E2F">
        <w:t xml:space="preserve"> </w:t>
      </w:r>
      <w:r>
        <w:t>ASEAN Work Plan on Combating Illicit Drug Production, Trafficking, and Use for 2009-2015</w:t>
      </w:r>
      <w:r w:rsidR="00CA4E2F">
        <w:t xml:space="preserve"> </w:t>
      </w:r>
      <w:r>
        <w:t>through the conduct of specific programs and activities.</w:t>
      </w:r>
    </w:p>
    <w:p w:rsidR="00816671" w:rsidRDefault="00816671" w:rsidP="00A17CED">
      <w:pPr>
        <w:pStyle w:val="Heading2"/>
      </w:pPr>
      <w:bookmarkStart w:id="10" w:name="_Toc477950089"/>
      <w:r>
        <w:t>Southeast Asia Nuclear Weapon-Free Zone (SEANWFZ)</w:t>
      </w:r>
      <w:bookmarkEnd w:id="10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agreed to continue pursuing international efforts to achieve a nuclear-weapons-free world;</w:t>
      </w:r>
      <w:r w:rsidR="00CA4E2F">
        <w:t xml:space="preserve"> </w:t>
      </w:r>
      <w:r>
        <w:t>therefore, we intend to foster cooperation among the Nucle</w:t>
      </w:r>
      <w:r w:rsidR="00CA4E2F">
        <w:t xml:space="preserve">ar Weapon Free Zones (NWFZs) to </w:t>
      </w:r>
      <w:r>
        <w:t>fully implement the principles and objectives of the treaties. We reiterated the importance of the</w:t>
      </w:r>
      <w:r w:rsidR="00CA4E2F">
        <w:t xml:space="preserve"> </w:t>
      </w:r>
      <w:r>
        <w:t>early implementation of the Plan of Action on the implementation of the SEANWFZ Treaty,</w:t>
      </w:r>
      <w:r w:rsidR="00CA4E2F">
        <w:t xml:space="preserve"> </w:t>
      </w:r>
      <w:r>
        <w:t>including through the continued efforts to consult nuclear weapons states on outstanding issues</w:t>
      </w:r>
      <w:r w:rsidR="00CA4E2F">
        <w:t xml:space="preserve"> </w:t>
      </w:r>
      <w:r>
        <w:t>with a view to getting their signing of to the SEANWFZ Protocol.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all efforts at regional and international levels to promote nuclear disarmament,</w:t>
      </w:r>
      <w:r w:rsidR="00CA4E2F">
        <w:t xml:space="preserve"> </w:t>
      </w:r>
      <w:r>
        <w:t>nuclear non-proliferation, and peaceful uses of nuclear en</w:t>
      </w:r>
      <w:r w:rsidR="00CA4E2F">
        <w:t xml:space="preserve">ergy. We reaffirmed the need to </w:t>
      </w:r>
      <w:r>
        <w:t>advance towards the priority goal of nuclear disarmament and the achievement of the total</w:t>
      </w:r>
      <w:r w:rsidR="00CA4E2F">
        <w:t xml:space="preserve"> </w:t>
      </w:r>
      <w:r>
        <w:t>elimination and legally binding prohibition of nuclear weapons. In this regard, we stressed that</w:t>
      </w:r>
      <w:r w:rsidR="00CA4E2F">
        <w:t xml:space="preserve"> </w:t>
      </w:r>
      <w:r>
        <w:t>the establishment of NWFZs is a major contribution to non-proliferation efforts and encouraged</w:t>
      </w:r>
      <w:r w:rsidR="00CA4E2F">
        <w:t xml:space="preserve"> </w:t>
      </w:r>
      <w:r>
        <w:t>dialogue and appropriate interaction between the SEANWFZ and other NWFZ in order to share</w:t>
      </w:r>
      <w:r w:rsidR="00CA4E2F">
        <w:t xml:space="preserve"> </w:t>
      </w:r>
      <w:r>
        <w:t>experiences and best practices that would help contribute to attaining the above goals</w:t>
      </w:r>
      <w:r w:rsidR="00CA4E2F">
        <w:t>.</w:t>
      </w:r>
    </w:p>
    <w:p w:rsidR="00816671" w:rsidRDefault="00816671" w:rsidP="00A17CED">
      <w:pPr>
        <w:pStyle w:val="Heading2"/>
      </w:pPr>
      <w:bookmarkStart w:id="11" w:name="_Toc477950090"/>
      <w:r>
        <w:t>Regional Cooperation on Nuclear Safety</w:t>
      </w:r>
      <w:bookmarkEnd w:id="11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expressed sympathy and solidarity with Japan over the Fukushima incident and noted the</w:t>
      </w:r>
      <w:r w:rsidR="00CA4E2F">
        <w:t xml:space="preserve"> </w:t>
      </w:r>
      <w:r>
        <w:t>potential trans-boundary impact of accidents at nuclear inst</w:t>
      </w:r>
      <w:r w:rsidR="00CA4E2F">
        <w:t xml:space="preserve">allations. We agreed that ASEAN </w:t>
      </w:r>
      <w:r>
        <w:t>should engage as appropriate in information-sharing and promote transparency on relevant</w:t>
      </w:r>
      <w:r w:rsidR="00CA4E2F">
        <w:t xml:space="preserve"> </w:t>
      </w:r>
      <w:r>
        <w:t>nuclear related issues in the region. ASEAN should also promote and uphold IAEA standards of</w:t>
      </w:r>
      <w:r w:rsidR="00CA4E2F">
        <w:t xml:space="preserve"> </w:t>
      </w:r>
      <w:r>
        <w:t>safety and security in the development of civilian nuclear energy.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While pledging to support the IAEA's efforts to strengthen the global nuclear safety framework,</w:t>
      </w:r>
      <w:r w:rsidR="00CA4E2F">
        <w:t xml:space="preserve"> </w:t>
      </w:r>
      <w:r>
        <w:t>we agreed to develop a coordinated ASEAN approach that would contribute to global</w:t>
      </w:r>
      <w:r w:rsidR="00CA4E2F">
        <w:t xml:space="preserve"> </w:t>
      </w:r>
      <w:r>
        <w:t>undertakings to improve nuclear safety, in cooperation with the IAEA and other relevant partners</w:t>
      </w:r>
      <w:r w:rsidR="00CA4E2F">
        <w:t xml:space="preserve"> </w:t>
      </w:r>
      <w:r>
        <w:t>as well as with other regional arrangements such as the Asian Nuclear Safety Network (ANSN).</w:t>
      </w:r>
    </w:p>
    <w:p w:rsidR="00816671" w:rsidRDefault="00226239" w:rsidP="00A17CED">
      <w:pPr>
        <w:pStyle w:val="Heading2"/>
      </w:pPr>
      <w:r>
        <w:br w:type="page"/>
      </w:r>
      <w:bookmarkStart w:id="12" w:name="_Toc477950091"/>
      <w:r w:rsidR="00816671">
        <w:lastRenderedPageBreak/>
        <w:t>ASEAN Inter-Governmental Commission on Human Rights (AICHR)</w:t>
      </w:r>
      <w:bookmarkEnd w:id="12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progress of the work of AICHR as the overarching body of ASEAN for the</w:t>
      </w:r>
      <w:r w:rsidR="00CA4E2F">
        <w:t xml:space="preserve"> </w:t>
      </w:r>
      <w:r>
        <w:t xml:space="preserve">promotion and protection of human rights and fundamental </w:t>
      </w:r>
      <w:r w:rsidR="00CA4E2F">
        <w:t xml:space="preserve">freedoms in accordance with the </w:t>
      </w:r>
      <w:r>
        <w:t>ASEAN Charter, namely the implementation of AICHR’s priority program 2010-2011, the</w:t>
      </w:r>
      <w:r w:rsidR="00CA4E2F">
        <w:t xml:space="preserve"> </w:t>
      </w:r>
      <w:r>
        <w:t>Guidelines of Operations of AICHR, and the progress in the drafting of the Terms of Reference</w:t>
      </w:r>
      <w:r w:rsidR="00CA4E2F">
        <w:t xml:space="preserve"> </w:t>
      </w:r>
      <w:r>
        <w:t>of AICHR Drafting Group for ASEAN Human Rights Declaration. We also looked forward to the</w:t>
      </w:r>
      <w:r w:rsidR="00CA4E2F">
        <w:t xml:space="preserve"> </w:t>
      </w:r>
      <w:r>
        <w:t>finalization of a Five-Year Work Plan of the AICHR.</w:t>
      </w:r>
    </w:p>
    <w:p w:rsidR="00816671" w:rsidRDefault="00816671" w:rsidP="00A17CED">
      <w:pPr>
        <w:pStyle w:val="Heading2"/>
      </w:pPr>
      <w:bookmarkStart w:id="13" w:name="_Toc477950092"/>
      <w:r>
        <w:t>Biennial Review of the APSC Blueprint</w:t>
      </w:r>
      <w:bookmarkEnd w:id="13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emphasized the importance of better coordination among different sectoral bodies under the</w:t>
      </w:r>
      <w:r w:rsidR="00CA4E2F">
        <w:t xml:space="preserve"> </w:t>
      </w:r>
      <w:r>
        <w:t>APSC and commended the report of the Chairman of the APSC Council to the 18th ASEAN</w:t>
      </w:r>
      <w:r w:rsidR="00CA4E2F">
        <w:t xml:space="preserve"> </w:t>
      </w:r>
      <w:r>
        <w:t>Summit. We also noted that the APSC Blueprint stipulates a biennial review and evaluation to</w:t>
      </w:r>
      <w:r w:rsidR="00CA4E2F">
        <w:t xml:space="preserve"> </w:t>
      </w:r>
      <w:r>
        <w:t>ensure that all the activities are relevant, responsive and meaningful to the attainment of the goals</w:t>
      </w:r>
      <w:r w:rsidR="00CA4E2F">
        <w:t xml:space="preserve"> </w:t>
      </w:r>
      <w:r>
        <w:t>and objectives of the ASEAN Political-Security Community. We noted that to this end, the</w:t>
      </w:r>
      <w:r w:rsidR="00CA4E2F">
        <w:t xml:space="preserve"> </w:t>
      </w:r>
      <w:r>
        <w:t>Coordinating Conference for the ASEAN Political-Security Community (ASCCO) was</w:t>
      </w:r>
      <w:r w:rsidR="00CA4E2F">
        <w:t xml:space="preserve"> </w:t>
      </w:r>
      <w:r>
        <w:t>instructed by the APSC Council to undertake necessary steps to conduct such review and</w:t>
      </w:r>
      <w:r w:rsidR="00CA4E2F">
        <w:t xml:space="preserve"> </w:t>
      </w:r>
      <w:r>
        <w:t>evaluation, in coordination with the ASEAN Secretariat and the Committee of Permanent</w:t>
      </w:r>
      <w:r w:rsidR="00CA4E2F">
        <w:t xml:space="preserve"> </w:t>
      </w:r>
      <w:r>
        <w:t>Representatives (CPR) to ASEAN.</w:t>
      </w:r>
    </w:p>
    <w:p w:rsidR="00816671" w:rsidRDefault="00816671" w:rsidP="00A17CED">
      <w:pPr>
        <w:pStyle w:val="Heading1"/>
      </w:pPr>
      <w:bookmarkStart w:id="14" w:name="_Toc477950093"/>
      <w:r>
        <w:t>ASEAN ECONOMIC COMMUNITY (AEC)</w:t>
      </w:r>
      <w:bookmarkEnd w:id="14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report of the ASEAN Economic Community Council on the implementation of</w:t>
      </w:r>
      <w:r w:rsidR="00CA4E2F">
        <w:t xml:space="preserve"> </w:t>
      </w:r>
      <w:r>
        <w:t>the AEC Blueprint, which is expected to complete the second ph</w:t>
      </w:r>
      <w:r w:rsidR="00CA4E2F">
        <w:t xml:space="preserve">ase of implementation (covering </w:t>
      </w:r>
      <w:r>
        <w:t>the period 2010-2011) this year.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reiterated our commitment to exert maximum effort and ensure timely implementation of the</w:t>
      </w:r>
      <w:r w:rsidR="00CA4E2F">
        <w:t xml:space="preserve"> </w:t>
      </w:r>
      <w:r>
        <w:t>AEC Blueprint measures. This would include addressing re</w:t>
      </w:r>
      <w:r w:rsidR="00CA4E2F">
        <w:t xml:space="preserve">gulatory issues in implementing </w:t>
      </w:r>
      <w:r>
        <w:t>intra-and extra-ASEAN commitments, as well as strengthening our respective national</w:t>
      </w:r>
      <w:r w:rsidR="00CA4E2F">
        <w:t xml:space="preserve"> </w:t>
      </w:r>
      <w:r>
        <w:t>coordination to effectively implement our AEC commitments across various ministries and</w:t>
      </w:r>
      <w:r w:rsidR="00CA4E2F">
        <w:t xml:space="preserve"> </w:t>
      </w:r>
      <w:r>
        <w:t>agencies.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took note of the commencement of the Mid-Term Review of the AEC Blueprint that will</w:t>
      </w:r>
      <w:r w:rsidR="00CA4E2F">
        <w:t xml:space="preserve"> </w:t>
      </w:r>
      <w:r>
        <w:t>assess the effectiveness and contribution of the implementation of the AEC Blueprint to</w:t>
      </w:r>
      <w:r w:rsidR="00CA4E2F">
        <w:t xml:space="preserve"> </w:t>
      </w:r>
      <w:r>
        <w:t>economic growth, employment, competitiveness, and social welfare within ASEAN.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recognised the importance of enhancing the regional monitoring capacity to ensure the timely</w:t>
      </w:r>
      <w:r w:rsidR="00CA4E2F">
        <w:t xml:space="preserve"> </w:t>
      </w:r>
      <w:r>
        <w:t>implementation of our economic integration initiatives. We</w:t>
      </w:r>
      <w:r w:rsidR="00CA4E2F">
        <w:t xml:space="preserve"> welcomed the setting up of the </w:t>
      </w:r>
      <w:r>
        <w:t>ASEAN Integration Monitoring Office (AIMO) to support the ASEAN Secretariat in monitoring</w:t>
      </w:r>
      <w:r w:rsidR="00CA4E2F">
        <w:t xml:space="preserve"> </w:t>
      </w:r>
      <w:r>
        <w:t>the progress of the AEC.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 xml:space="preserve">Recognizing the various characteristics of ASEAN Member </w:t>
      </w:r>
      <w:r w:rsidR="00CA4E2F">
        <w:t xml:space="preserve">States and the importance of an </w:t>
      </w:r>
      <w:r>
        <w:t>appropriate scoring mechanism reflective of the achieve</w:t>
      </w:r>
      <w:r w:rsidR="00CA4E2F">
        <w:t xml:space="preserve">ments made by ASEAN towards the </w:t>
      </w:r>
      <w:r>
        <w:t>realization of the ASEAN Economic Community in 2015, we look</w:t>
      </w:r>
      <w:r w:rsidR="00CA4E2F">
        <w:t xml:space="preserve"> forward to the completion of a </w:t>
      </w:r>
      <w:r>
        <w:t>comprehensive scoring system.</w:t>
      </w:r>
    </w:p>
    <w:p w:rsidR="00816671" w:rsidRDefault="00816671" w:rsidP="00A17CED">
      <w:pPr>
        <w:pStyle w:val="Heading2"/>
      </w:pPr>
      <w:bookmarkStart w:id="15" w:name="_Toc477950094"/>
      <w:r>
        <w:t>Services and Investment</w:t>
      </w:r>
      <w:bookmarkEnd w:id="15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noted the greater mobility of skilled labor facilitated through Mutual Recognition</w:t>
      </w:r>
      <w:r w:rsidR="00CA4E2F">
        <w:t xml:space="preserve"> </w:t>
      </w:r>
      <w:r>
        <w:t>Arrangements (MRAs) and reaffirmed our commitment to the full implementation of all ASEAN</w:t>
      </w:r>
      <w:r w:rsidR="00CA4E2F">
        <w:t xml:space="preserve"> </w:t>
      </w:r>
      <w:r>
        <w:t>MRAs. We also welcomed the substantial progress made in the liberalization of trade in services</w:t>
      </w:r>
      <w:r w:rsidR="00CA4E2F">
        <w:t xml:space="preserve"> </w:t>
      </w:r>
      <w:r>
        <w:t xml:space="preserve">under the ASEAN Framework Agreement on Services (AFAS). We looked forward </w:t>
      </w:r>
      <w:r>
        <w:lastRenderedPageBreak/>
        <w:t>to the</w:t>
      </w:r>
      <w:r w:rsidR="00CA4E2F">
        <w:t xml:space="preserve"> </w:t>
      </w:r>
      <w:r>
        <w:t>implementation of the ASEAN Comprehensive Investment Agreement (ACIA) at the earliest</w:t>
      </w:r>
      <w:r w:rsidR="00CA4E2F">
        <w:t xml:space="preserve"> </w:t>
      </w:r>
      <w:r>
        <w:t>possible time.</w:t>
      </w:r>
    </w:p>
    <w:p w:rsidR="00816671" w:rsidRDefault="00816671" w:rsidP="00A17CED">
      <w:pPr>
        <w:pStyle w:val="Heading2"/>
      </w:pPr>
      <w:bookmarkStart w:id="16" w:name="_Toc477950095"/>
      <w:r>
        <w:t>Food, Energy, and Water Security</w:t>
      </w:r>
      <w:bookmarkEnd w:id="16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have discussed the challenges of food and energy security as well as the volatility of food and</w:t>
      </w:r>
      <w:r w:rsidR="00CA4E2F">
        <w:t xml:space="preserve"> </w:t>
      </w:r>
      <w:r>
        <w:t xml:space="preserve">energy prices, especially with regard to short and longer-term responses. </w:t>
      </w:r>
      <w:r w:rsidR="00CA4E2F">
        <w:t xml:space="preserve">We agree to enhance </w:t>
      </w:r>
      <w:r>
        <w:t>existing ASEAN priorities based on programs that increa</w:t>
      </w:r>
      <w:r w:rsidR="00CA4E2F">
        <w:t xml:space="preserve">se productivity and production, </w:t>
      </w:r>
      <w:r>
        <w:t>coordinate in policies regarding pricing, stocks, export and import as well as alleviate the impact</w:t>
      </w:r>
      <w:r w:rsidR="00CA4E2F">
        <w:t xml:space="preserve"> </w:t>
      </w:r>
      <w:r>
        <w:t>on the poor. We instructed Ministers to follow up and prioritize the existing programs based on</w:t>
      </w:r>
      <w:r w:rsidR="00CA4E2F">
        <w:t xml:space="preserve"> </w:t>
      </w:r>
      <w:r>
        <w:t>these principles, and to also propose new ideas and concrete actions by the next Summit.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Being cognizant of the recent sharp increase in food prices, we agreed to prioritize research and</w:t>
      </w:r>
      <w:r w:rsidR="00CA4E2F">
        <w:t xml:space="preserve"> </w:t>
      </w:r>
      <w:r>
        <w:t>development as well as encouraging greater invest</w:t>
      </w:r>
      <w:r w:rsidR="00CA4E2F">
        <w:t xml:space="preserve">ment in food industry towards a </w:t>
      </w:r>
      <w:r>
        <w:t>comprehensive implementation of the ASEAN Integrated Food Security Framework.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 xml:space="preserve">While eagerly anticipating the signing of the ASEAN </w:t>
      </w:r>
      <w:proofErr w:type="gramStart"/>
      <w:r>
        <w:t>Plus</w:t>
      </w:r>
      <w:proofErr w:type="gramEnd"/>
      <w:r>
        <w:t xml:space="preserve"> Three Emergency Rice Reserve</w:t>
      </w:r>
      <w:r w:rsidR="00CA4E2F">
        <w:t xml:space="preserve"> </w:t>
      </w:r>
      <w:r>
        <w:t>(APTERR) later this year, we requested relevant Minister</w:t>
      </w:r>
      <w:r w:rsidR="00CA4E2F">
        <w:t xml:space="preserve">s to look at the possibility of </w:t>
      </w:r>
      <w:r>
        <w:t>incorporating commodities other than rice within the APTERR mechanism. We were of the</w:t>
      </w:r>
      <w:r w:rsidR="00CA4E2F">
        <w:t xml:space="preserve"> </w:t>
      </w:r>
      <w:r>
        <w:t>opinion that APTERR should not only be limited to secure stock in case of emergency but also to</w:t>
      </w:r>
      <w:r w:rsidR="00CA4E2F">
        <w:t xml:space="preserve"> </w:t>
      </w:r>
      <w:r>
        <w:t>support countries in vulnerable position as a result of food price volatility and surge in food</w:t>
      </w:r>
      <w:r w:rsidR="00CA4E2F">
        <w:t xml:space="preserve"> </w:t>
      </w:r>
      <w:r>
        <w:t>demand. We also underscored the importance of a coordinated food policy in the region, which</w:t>
      </w:r>
      <w:r w:rsidR="00CA4E2F">
        <w:t xml:space="preserve"> </w:t>
      </w:r>
      <w:r>
        <w:t>shall cover among others trade information, stocks and demand, prices, and logistics.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While recognizing the continued progress in implementing the ASEAN Plan of Action on Energy</w:t>
      </w:r>
      <w:r w:rsidR="00CA4E2F">
        <w:t xml:space="preserve"> </w:t>
      </w:r>
      <w:r>
        <w:t>Cooperation 2010-2015, we accepted that more concrete a</w:t>
      </w:r>
      <w:r w:rsidR="00CA4E2F">
        <w:t xml:space="preserve">nd action-oriented programs are </w:t>
      </w:r>
      <w:r>
        <w:t>necessary to boost energy efficiency and conservation in th</w:t>
      </w:r>
      <w:r w:rsidR="00CA4E2F">
        <w:t xml:space="preserve">e region. We stressed again our </w:t>
      </w:r>
      <w:r>
        <w:t>determination to reduce dependence on oil and other fossil fuel</w:t>
      </w:r>
      <w:r w:rsidR="00CA4E2F">
        <w:t xml:space="preserve">s, and to find viable renewable </w:t>
      </w:r>
      <w:r>
        <w:t>sources of energy.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 xml:space="preserve">Recalling the commitment to reduce </w:t>
      </w:r>
      <w:r w:rsidR="009721C9">
        <w:t>greenhouse</w:t>
      </w:r>
      <w:r>
        <w:t xml:space="preserve"> gas emission, we</w:t>
      </w:r>
      <w:r w:rsidR="00CA4E2F">
        <w:t xml:space="preserve"> encouraged all stakeholders in </w:t>
      </w:r>
      <w:r>
        <w:t>the region to embrace smart energy management in their economic</w:t>
      </w:r>
      <w:r w:rsidR="00CA4E2F">
        <w:t xml:space="preserve"> activities. We also tasked our </w:t>
      </w:r>
      <w:r>
        <w:t xml:space="preserve">relevant Ministers to expedite the realization of ASEAN Power Grid and </w:t>
      </w:r>
      <w:r w:rsidR="00CA4E2F">
        <w:t xml:space="preserve">to find affordable and </w:t>
      </w:r>
      <w:r>
        <w:t>stable sources of energy in rural areas.</w:t>
      </w:r>
    </w:p>
    <w:p w:rsidR="00816671" w:rsidRDefault="00816671" w:rsidP="00A17CED">
      <w:pPr>
        <w:pStyle w:val="Heading2"/>
      </w:pPr>
      <w:bookmarkStart w:id="17" w:name="_Toc477950096"/>
      <w:r>
        <w:t>Equitable Economic Development</w:t>
      </w:r>
      <w:bookmarkEnd w:id="17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Mindful of the fact that no segment of the society should be left out from the benefits of</w:t>
      </w:r>
      <w:r w:rsidR="000C4DCF">
        <w:t xml:space="preserve"> </w:t>
      </w:r>
      <w:r>
        <w:t>ASEAN’s economic integration, more emphasis should be given on realizing ASEAN as a region</w:t>
      </w:r>
      <w:r w:rsidR="000C4DCF">
        <w:t xml:space="preserve"> </w:t>
      </w:r>
      <w:r>
        <w:t>of equitable economic development. We welcomed the discussions that have been initiated</w:t>
      </w:r>
      <w:r w:rsidR="000C4DCF">
        <w:t xml:space="preserve"> </w:t>
      </w:r>
      <w:r>
        <w:t>among Ministers on ways to further enhance, in parallel, the Third Pillar of the ASEAN</w:t>
      </w:r>
      <w:r w:rsidR="000C4DCF">
        <w:t xml:space="preserve"> </w:t>
      </w:r>
      <w:r>
        <w:t>Economic Community Blueprint; that is, Small and Medium-sized Enterprises (SMEs)</w:t>
      </w:r>
      <w:r w:rsidR="000C4DCF">
        <w:t xml:space="preserve"> </w:t>
      </w:r>
      <w:r>
        <w:t>development and the narrowing of development gaps amongst and with ASEAN Member States.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For ASEAN SMEs to benefit from economic integration in 2015, we must enable them to</w:t>
      </w:r>
      <w:r w:rsidR="000C4DCF">
        <w:t xml:space="preserve"> </w:t>
      </w:r>
      <w:r>
        <w:t>compete in the free market system. In this regard, ASEAN SMEs must have better access to</w:t>
      </w:r>
      <w:r w:rsidR="000C4DCF">
        <w:t xml:space="preserve"> </w:t>
      </w:r>
      <w:r>
        <w:t>technology, market, and especially financing, through financial inclusion programme.</w:t>
      </w:r>
    </w:p>
    <w:p w:rsidR="00816671" w:rsidRDefault="00226239" w:rsidP="00A17CED">
      <w:pPr>
        <w:pStyle w:val="ListParagraph"/>
        <w:numPr>
          <w:ilvl w:val="0"/>
          <w:numId w:val="2"/>
        </w:numPr>
        <w:contextualSpacing w:val="0"/>
      </w:pPr>
      <w:r>
        <w:br w:type="page"/>
      </w:r>
      <w:r w:rsidR="00816671">
        <w:lastRenderedPageBreak/>
        <w:t>Building on this, we task our Ministers to enhance its existing work programme with stronger</w:t>
      </w:r>
      <w:r w:rsidR="000C4DCF">
        <w:t xml:space="preserve"> </w:t>
      </w:r>
      <w:r w:rsidR="00816671">
        <w:t xml:space="preserve">commitment and develop a Framework/Guiding Principles for </w:t>
      </w:r>
      <w:r w:rsidR="000C4DCF">
        <w:t xml:space="preserve">Equitable Economic Development, </w:t>
      </w:r>
      <w:r w:rsidR="00816671">
        <w:t>which should include new elements of high-impact targets and qu</w:t>
      </w:r>
      <w:r w:rsidR="000C4DCF">
        <w:t xml:space="preserve">ick wins, and goes beyond 2015. </w:t>
      </w:r>
      <w:r w:rsidR="00816671">
        <w:t>We resolved to intensify our efforts at implementing initiatives u</w:t>
      </w:r>
      <w:r w:rsidR="000C4DCF">
        <w:t xml:space="preserve">nder IAI, including by engaging </w:t>
      </w:r>
      <w:r w:rsidR="00816671">
        <w:t>Dialogue Partners and Development Partners in our efforts to</w:t>
      </w:r>
      <w:r w:rsidR="000C4DCF">
        <w:t xml:space="preserve"> bridge the development gap. We </w:t>
      </w:r>
      <w:r w:rsidR="00816671">
        <w:t>welcomed the successful outcome of the 3rd IAI Developm</w:t>
      </w:r>
      <w:r w:rsidR="000C4DCF">
        <w:t xml:space="preserve">ent Cooperation Forum (IDCF-3). </w:t>
      </w:r>
      <w:r w:rsidR="00816671">
        <w:t>Macroeconomic Coordination and Financial Cooperation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noted that the global economy continues to recover but at di</w:t>
      </w:r>
      <w:r w:rsidR="000C4DCF">
        <w:t xml:space="preserve">fferent paces. We further noted </w:t>
      </w:r>
      <w:r>
        <w:t>that the region has continued to lead the recovery but the</w:t>
      </w:r>
      <w:r w:rsidR="000C4DCF">
        <w:t xml:space="preserve">re are downside risks of rising </w:t>
      </w:r>
      <w:r>
        <w:t xml:space="preserve">inflationary pressure and rapid inflow of capital. In view of this development, we </w:t>
      </w:r>
      <w:r w:rsidR="000C4DCF">
        <w:t xml:space="preserve">emphasized </w:t>
      </w:r>
      <w:r>
        <w:t>the importance of complementing the domestic macroeconomic policy with regional</w:t>
      </w:r>
      <w:r w:rsidR="000C4DCF">
        <w:t xml:space="preserve"> </w:t>
      </w:r>
      <w:r>
        <w:t>macroeconomic coordination and financial cooperation, and accordingly tasked relevant</w:t>
      </w:r>
      <w:r w:rsidR="000C4DCF">
        <w:t xml:space="preserve"> </w:t>
      </w:r>
      <w:r>
        <w:t xml:space="preserve">Ministers to continue such efforts. We look forward to the full of operation of the ASEAN </w:t>
      </w:r>
      <w:proofErr w:type="gramStart"/>
      <w:r>
        <w:t>Plus</w:t>
      </w:r>
      <w:proofErr w:type="gramEnd"/>
      <w:r w:rsidR="000C4DCF">
        <w:t xml:space="preserve"> </w:t>
      </w:r>
      <w:r>
        <w:t>Three Macro Economic Regional Surveillance Office (AMRO) in Singapore, which is expected</w:t>
      </w:r>
      <w:r w:rsidR="000C4DCF">
        <w:t xml:space="preserve"> </w:t>
      </w:r>
      <w:r>
        <w:t xml:space="preserve">to play a crucial role in strengthening </w:t>
      </w:r>
      <w:r w:rsidR="009721C9">
        <w:t>macro-economic</w:t>
      </w:r>
      <w:r>
        <w:t xml:space="preserve"> coordination and promoting financial</w:t>
      </w:r>
      <w:r w:rsidR="000C4DCF">
        <w:t xml:space="preserve"> </w:t>
      </w:r>
      <w:r>
        <w:t>cooperation at the regional level. We were pleased with the entry into force of the Chiang-Mai</w:t>
      </w:r>
      <w:r w:rsidR="000C4DCF">
        <w:t xml:space="preserve"> </w:t>
      </w:r>
      <w:r>
        <w:t>Initiative Multilateralisation (CMIM) Agreement on 24 March 2010.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reaffirmed our commitment to freer flow of capital with the endorsement of the</w:t>
      </w:r>
      <w:r w:rsidR="000C4DCF">
        <w:t xml:space="preserve"> </w:t>
      </w:r>
      <w:r>
        <w:t>implementation plan to promote the development of an integrated ASEAN capital market</w:t>
      </w:r>
      <w:r w:rsidR="000C4DCF">
        <w:t>.</w:t>
      </w:r>
    </w:p>
    <w:p w:rsidR="00816671" w:rsidRDefault="00816671" w:rsidP="00A17CED">
      <w:pPr>
        <w:pStyle w:val="Heading2"/>
      </w:pPr>
      <w:bookmarkStart w:id="18" w:name="_Toc477950097"/>
      <w:r>
        <w:t>Evolving Regional Economic Architecture</w:t>
      </w:r>
      <w:bookmarkEnd w:id="18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 xml:space="preserve">We took note of the progress on the work of the four ASEAN </w:t>
      </w:r>
      <w:proofErr w:type="gramStart"/>
      <w:r>
        <w:t>Plus</w:t>
      </w:r>
      <w:proofErr w:type="gramEnd"/>
      <w:r>
        <w:t xml:space="preserve"> Working Groups that were</w:t>
      </w:r>
      <w:r w:rsidR="000C4DCF">
        <w:t xml:space="preserve"> </w:t>
      </w:r>
      <w:r>
        <w:t>tasked to look into the recommendations in the Studies o</w:t>
      </w:r>
      <w:r w:rsidR="000C4DCF">
        <w:t xml:space="preserve">n the East Asia Free Trade Area </w:t>
      </w:r>
      <w:r>
        <w:t>(EAFTA) and the Comprehensive Economic Partnership in East Asia (CEPEA) in parallel. To</w:t>
      </w:r>
      <w:r w:rsidR="000C4DCF">
        <w:t xml:space="preserve"> </w:t>
      </w:r>
      <w:r>
        <w:t>ensure and strengthen ASEAN centrality in its objectives to promote partnership with wider</w:t>
      </w:r>
      <w:r w:rsidR="000C4DCF">
        <w:t xml:space="preserve"> </w:t>
      </w:r>
      <w:r>
        <w:t>region, we tasked the officials to intensify efforts to accelerate the process of consolidating</w:t>
      </w:r>
      <w:r w:rsidR="000C4DCF">
        <w:t xml:space="preserve"> </w:t>
      </w:r>
      <w:r>
        <w:t>ASEAN’s Plus One FTAs by identifying the gaps and making a recommendation for a possible</w:t>
      </w:r>
      <w:r w:rsidR="000C4DCF">
        <w:t xml:space="preserve"> </w:t>
      </w:r>
      <w:r>
        <w:t>modality, using the ASEAN Plus One FTAs as the building blocks and the basis for the evolving</w:t>
      </w:r>
      <w:r w:rsidR="000C4DCF">
        <w:t xml:space="preserve"> </w:t>
      </w:r>
      <w:r>
        <w:t>ASEAN-centred regional architecture.</w:t>
      </w:r>
    </w:p>
    <w:p w:rsidR="00816671" w:rsidRDefault="00816671" w:rsidP="00A17CED">
      <w:pPr>
        <w:pStyle w:val="Heading2"/>
      </w:pPr>
      <w:bookmarkStart w:id="19" w:name="_Toc477950098"/>
      <w:r>
        <w:t>ASEAN Strategic Transportation Plan (ASTP)</w:t>
      </w:r>
      <w:bookmarkEnd w:id="19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adoption of the Brunei Action Plan (BAP)/ASEAN Strategic Transport Plan</w:t>
      </w:r>
      <w:r w:rsidR="000C4DCF">
        <w:t xml:space="preserve"> </w:t>
      </w:r>
      <w:r>
        <w:t>(ASTP) 2011–2015 by the ASEAN Transport Ministers to pro</w:t>
      </w:r>
      <w:r w:rsidR="000C4DCF">
        <w:t xml:space="preserve">vide the main reference guiding </w:t>
      </w:r>
      <w:r>
        <w:t>ASEAN transport cooperation and integration over the next five years. The BAP identifies</w:t>
      </w:r>
      <w:r w:rsidR="000C4DCF">
        <w:t xml:space="preserve"> </w:t>
      </w:r>
      <w:r>
        <w:t>strategic actions to be implemented to support the realization of the ASEAN Economic</w:t>
      </w:r>
      <w:r w:rsidR="000C4DCF">
        <w:t xml:space="preserve"> </w:t>
      </w:r>
      <w:r>
        <w:t>Community (AEC) by 2015 as well as the new priority of enhancing regional connectivity</w:t>
      </w:r>
      <w:r w:rsidR="000C4DCF">
        <w:t xml:space="preserve"> </w:t>
      </w:r>
      <w:r>
        <w:t>identified in the Master Plan on ASEAN Connectivity (MPAC).</w:t>
      </w:r>
    </w:p>
    <w:p w:rsidR="00816671" w:rsidRDefault="00816671" w:rsidP="00A17CED">
      <w:pPr>
        <w:pStyle w:val="Heading2"/>
      </w:pPr>
      <w:bookmarkStart w:id="20" w:name="_Toc477950099"/>
      <w:r>
        <w:t>ASEAN Tourism</w:t>
      </w:r>
      <w:bookmarkEnd w:id="20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noted with pleasure the development of the ASEAN Tourism Strategic Plan (ATSP)</w:t>
      </w:r>
      <w:r w:rsidR="000C4DCF">
        <w:t xml:space="preserve"> </w:t>
      </w:r>
      <w:r>
        <w:t>2011-2015, which is the successor of the Roadmap for the Integration of the Tourism Sector</w:t>
      </w:r>
      <w:r w:rsidR="000C4DCF">
        <w:t xml:space="preserve"> </w:t>
      </w:r>
      <w:r>
        <w:t>2005-2010 that will promote the region as a single tourist destination, develop a set of ASEAN</w:t>
      </w:r>
      <w:r w:rsidR="000C4DCF">
        <w:t xml:space="preserve"> </w:t>
      </w:r>
      <w:r>
        <w:t>tourism standards with a certification process, enable tourism professionals to work in any of the</w:t>
      </w:r>
      <w:r w:rsidR="000C4DCF">
        <w:t xml:space="preserve"> </w:t>
      </w:r>
      <w:r>
        <w:t>ASEAN Member States and facilitate visitors to travel throughout ASEAN with a single visa.</w:t>
      </w:r>
    </w:p>
    <w:p w:rsidR="00816671" w:rsidRDefault="00226239" w:rsidP="00A17CED">
      <w:pPr>
        <w:pStyle w:val="Heading2"/>
      </w:pPr>
      <w:r>
        <w:br w:type="page"/>
      </w:r>
      <w:bookmarkStart w:id="21" w:name="_Toc477950100"/>
      <w:r w:rsidR="00816671">
        <w:lastRenderedPageBreak/>
        <w:t>World Trade Organization</w:t>
      </w:r>
      <w:bookmarkEnd w:id="21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upheld the primacy of the multilateral trading system, embodied in the WTO, where a stable,</w:t>
      </w:r>
      <w:r w:rsidR="000C4DCF">
        <w:t xml:space="preserve"> </w:t>
      </w:r>
      <w:r>
        <w:t>transparent, inclusive, and rules-based structure has facilitate</w:t>
      </w:r>
      <w:r w:rsidR="000C4DCF">
        <w:t xml:space="preserve">d global trade and served ASEAN </w:t>
      </w:r>
      <w:r>
        <w:t>well in our own efforts towards regional economic integration. We reaffirm, as a priority, our</w:t>
      </w:r>
      <w:r w:rsidR="000C4DCF">
        <w:t xml:space="preserve"> </w:t>
      </w:r>
      <w:r>
        <w:t>commitment to support and strengthen this valuable system which has helped to maintain trade</w:t>
      </w:r>
      <w:r w:rsidR="000C4DCF">
        <w:t xml:space="preserve"> </w:t>
      </w:r>
      <w:r>
        <w:t>flows, monitor the global trading environment, and keep protectionism in check during the recent</w:t>
      </w:r>
      <w:r w:rsidR="000C4DCF">
        <w:t xml:space="preserve"> </w:t>
      </w:r>
      <w:r>
        <w:t>global financial crisis. We see the Doha Development Agenda as an indispensable part of the</w:t>
      </w:r>
      <w:r w:rsidR="000C4DCF">
        <w:t xml:space="preserve"> </w:t>
      </w:r>
      <w:r>
        <w:t>necessary improvement of the multilateral trading system, representing gains for the entire WTO</w:t>
      </w:r>
      <w:r w:rsidR="000C4DCF">
        <w:t xml:space="preserve"> </w:t>
      </w:r>
      <w:r>
        <w:t>membership. We call on all Members to work constructively towards a balanced conclusion of</w:t>
      </w:r>
      <w:r w:rsidR="000C4DCF">
        <w:t xml:space="preserve"> </w:t>
      </w:r>
      <w:r>
        <w:t>the Round as a priority and shoulder common responsibility to the multilateral trading system.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reiterated our support for the accession of Lao PDR to WTO at the earliest time possible.</w:t>
      </w:r>
    </w:p>
    <w:p w:rsidR="00816671" w:rsidRDefault="00816671" w:rsidP="00A17CED">
      <w:pPr>
        <w:pStyle w:val="Heading2"/>
      </w:pPr>
      <w:bookmarkStart w:id="22" w:name="_Toc477950101"/>
      <w:r>
        <w:t>ASEAN Economic Initiatives</w:t>
      </w:r>
      <w:bookmarkEnd w:id="22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were pleased that encouraging progress had been made towards achieving the AEC by 2015.</w:t>
      </w:r>
      <w:r w:rsidR="000C4DCF">
        <w:t xml:space="preserve"> </w:t>
      </w:r>
      <w:r>
        <w:t>We welcomed, among others, the substantial progress made in</w:t>
      </w:r>
      <w:r w:rsidR="000C4DCF">
        <w:t xml:space="preserve"> the liberalization of trade in </w:t>
      </w:r>
      <w:r>
        <w:t>services under the ASEAN Framework Agreement on Services (AFAS), and ASEAN Trade in</w:t>
      </w:r>
      <w:r w:rsidR="000C4DCF">
        <w:t xml:space="preserve"> </w:t>
      </w:r>
      <w:r>
        <w:t>Goods Agreement (ATIGA). We looked forward to the implementation of the ASEAN</w:t>
      </w:r>
      <w:r w:rsidR="000C4DCF">
        <w:t xml:space="preserve"> </w:t>
      </w:r>
      <w:r>
        <w:t>Comprehensive Investment Agreement (ACIA) by this year. We also noted the greater mobility</w:t>
      </w:r>
      <w:r w:rsidR="000C4DCF">
        <w:t xml:space="preserve"> </w:t>
      </w:r>
      <w:r>
        <w:t>of skilled labor facilitated through Mutual Recognition Arrangements (MRAs) and reaffirmed our</w:t>
      </w:r>
      <w:r w:rsidR="000C4DCF">
        <w:t xml:space="preserve"> </w:t>
      </w:r>
      <w:r>
        <w:t>commitment for the full implementation of all ASEAN MRAs.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continued to support the studies being undertaken to take forward broader regional</w:t>
      </w:r>
      <w:r w:rsidR="000C4DCF">
        <w:t xml:space="preserve"> </w:t>
      </w:r>
      <w:r>
        <w:t>integration by considering the recommendations of both East Asia Free Trade Agreement</w:t>
      </w:r>
      <w:r w:rsidR="000C4DCF">
        <w:t xml:space="preserve"> </w:t>
      </w:r>
      <w:r>
        <w:t>(EAFTA) and the Comprehensive Economic Partnership for East Asia (CEPEA). We underlined</w:t>
      </w:r>
      <w:r w:rsidR="000C4DCF">
        <w:t xml:space="preserve"> </w:t>
      </w:r>
      <w:r>
        <w:t>the need to maintain ASEAN centrality in its objectives to promote partnership with the wider</w:t>
      </w:r>
      <w:r w:rsidR="000C4DCF">
        <w:t xml:space="preserve"> </w:t>
      </w:r>
      <w:r>
        <w:t>region.</w:t>
      </w:r>
    </w:p>
    <w:p w:rsidR="00816671" w:rsidRDefault="00816671" w:rsidP="00A17CED">
      <w:pPr>
        <w:pStyle w:val="Heading2"/>
      </w:pPr>
      <w:bookmarkStart w:id="23" w:name="_Toc477950102"/>
      <w:r>
        <w:t>ASEAN Single Window</w:t>
      </w:r>
      <w:bookmarkEnd w:id="23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reaffirmed our commitment to enhance trade facilitation by promoting trade efficiency and</w:t>
      </w:r>
      <w:r w:rsidR="000C4DCF">
        <w:t xml:space="preserve"> </w:t>
      </w:r>
      <w:r>
        <w:t>competitiveness through the full implementation of National</w:t>
      </w:r>
      <w:r w:rsidR="000C4DCF">
        <w:t xml:space="preserve"> Single Window across all ASEAN </w:t>
      </w:r>
      <w:r>
        <w:t>countries as a prerequisite to establishing ASEAN Single Wind</w:t>
      </w:r>
      <w:r w:rsidR="000C4DCF">
        <w:t xml:space="preserve">ow that would be one of the key </w:t>
      </w:r>
      <w:r>
        <w:t>elements to achieving the ASEAN Economic Community by 2015. We reaffirmed our</w:t>
      </w:r>
      <w:r w:rsidR="000C4DCF">
        <w:t xml:space="preserve"> C</w:t>
      </w:r>
      <w:r>
        <w:t>ommitments to fully operationalize National Single Window no later than 2012 and to</w:t>
      </w:r>
      <w:r w:rsidR="000C4DCF">
        <w:t xml:space="preserve"> </w:t>
      </w:r>
      <w:r>
        <w:t>accelerate the establishment of ASEAN Single Window.</w:t>
      </w:r>
    </w:p>
    <w:p w:rsidR="00816671" w:rsidRDefault="00816671" w:rsidP="00A17CED">
      <w:pPr>
        <w:pStyle w:val="Heading2"/>
      </w:pPr>
      <w:bookmarkStart w:id="24" w:name="_Toc477950103"/>
      <w:r>
        <w:t>ASEAN Economic Vision Beyond 2015</w:t>
      </w:r>
      <w:bookmarkEnd w:id="24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While initiatives and actions are taken to ensure the realization of ASEAN integration by 2015,</w:t>
      </w:r>
      <w:r w:rsidR="000C4DCF">
        <w:t xml:space="preserve"> </w:t>
      </w:r>
      <w:r>
        <w:t>we should not lose sight of what we envision of ASEAN beyond 2015. It is especially crucial at</w:t>
      </w:r>
      <w:r w:rsidR="000C4DCF">
        <w:t xml:space="preserve"> </w:t>
      </w:r>
      <w:r>
        <w:t>this juncture to think of what ASEAN will be after 2015.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Our work these days and our expectations of how things will evolve may inspire us to think of</w:t>
      </w:r>
      <w:r w:rsidR="000C4DCF">
        <w:t xml:space="preserve"> </w:t>
      </w:r>
      <w:r>
        <w:t>ASEAN beyond 2015 which is competitive, fairly equal, in</w:t>
      </w:r>
      <w:r w:rsidR="000C4DCF">
        <w:t xml:space="preserve">clusive, green, sustainable and </w:t>
      </w:r>
      <w:r>
        <w:t>resilient. Noting that there remain different levels of development among and within Member</w:t>
      </w:r>
      <w:r w:rsidR="000C4DCF">
        <w:t xml:space="preserve"> </w:t>
      </w:r>
      <w:r>
        <w:t>States, and the consolidation of regional economic integration will continue internally and with</w:t>
      </w:r>
      <w:r w:rsidR="000C4DCF">
        <w:t xml:space="preserve"> </w:t>
      </w:r>
      <w:r>
        <w:t>ASEAN’s strategic partners, we may think of adopting multi-track and multi-speed approaches to</w:t>
      </w:r>
      <w:r w:rsidR="000C4DCF">
        <w:t xml:space="preserve"> </w:t>
      </w:r>
      <w:r>
        <w:t xml:space="preserve">deepening economic integration among ASEAN Member States and its Dialogue Partners. </w:t>
      </w:r>
      <w:r>
        <w:lastRenderedPageBreak/>
        <w:t>We</w:t>
      </w:r>
      <w:r w:rsidR="000C4DCF">
        <w:t xml:space="preserve"> </w:t>
      </w:r>
      <w:r>
        <w:t>may instruct Ministers to develop such an idea and report back to us when we meet in November</w:t>
      </w:r>
      <w:r w:rsidR="000C4DCF">
        <w:t xml:space="preserve"> </w:t>
      </w:r>
      <w:r>
        <w:t>this year.</w:t>
      </w:r>
    </w:p>
    <w:p w:rsidR="00816671" w:rsidRDefault="00816671" w:rsidP="00A17CED">
      <w:pPr>
        <w:pStyle w:val="Heading1"/>
      </w:pPr>
      <w:bookmarkStart w:id="25" w:name="_Toc477950104"/>
      <w:r>
        <w:t>ASEAN SOCIO-CULTURAL COMMUNITY</w:t>
      </w:r>
      <w:bookmarkEnd w:id="25"/>
    </w:p>
    <w:p w:rsidR="00816671" w:rsidRPr="000C4DCF" w:rsidRDefault="00816671" w:rsidP="00A17CED">
      <w:pPr>
        <w:pStyle w:val="Heading2"/>
      </w:pPr>
      <w:bookmarkStart w:id="26" w:name="_Toc477950105"/>
      <w:r>
        <w:t>Engagement and Participation of the People</w:t>
      </w:r>
      <w:bookmarkEnd w:id="26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The development of a sense of ownership of and belonging to ASEAN among the region’s</w:t>
      </w:r>
      <w:r w:rsidR="000C4DCF">
        <w:t xml:space="preserve"> </w:t>
      </w:r>
      <w:r>
        <w:t xml:space="preserve">peoples is a necessity. We encourage the increased constructive </w:t>
      </w:r>
      <w:r w:rsidR="000C4DCF">
        <w:t xml:space="preserve">participation of civil society, </w:t>
      </w:r>
      <w:r>
        <w:t>including the youth, in the ASEAN community-building. We th</w:t>
      </w:r>
      <w:r w:rsidR="000C4DCF">
        <w:t xml:space="preserve">erefore pledged to continue and </w:t>
      </w:r>
      <w:r>
        <w:t>develop regular interaction with the people with the aim of developing a people-oriented</w:t>
      </w:r>
      <w:r w:rsidR="000C4DCF">
        <w:t xml:space="preserve"> </w:t>
      </w:r>
      <w:r>
        <w:t>organization. We reiterated our determination to promote constructive dialogue and stronger</w:t>
      </w:r>
      <w:r w:rsidR="000C4DCF">
        <w:t xml:space="preserve"> </w:t>
      </w:r>
      <w:r>
        <w:t>partnership with civil society in various sectors of cooperation.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noted the need to launch more endeavours to promote interaction between ASEAN and the</w:t>
      </w:r>
      <w:r w:rsidR="000C4DCF">
        <w:t xml:space="preserve"> </w:t>
      </w:r>
      <w:r>
        <w:t>people, which will bring ASEAN closer to the people and vice v</w:t>
      </w:r>
      <w:r w:rsidR="000C4DCF">
        <w:t xml:space="preserve">ersa. We further encouraged the </w:t>
      </w:r>
      <w:r>
        <w:t>organization of activities that not only raise public awareness o</w:t>
      </w:r>
      <w:r w:rsidR="000C4DCF">
        <w:t xml:space="preserve">f ASEAN, but, more importantly, </w:t>
      </w:r>
      <w:r>
        <w:t>engage and empower the people. We took note of the initiatives of</w:t>
      </w:r>
      <w:r w:rsidR="000C4DCF">
        <w:t xml:space="preserve"> the Secretary-General to offer </w:t>
      </w:r>
      <w:r>
        <w:t>flagship projects to the Chair.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Indonesia’s invitation for ASEAN Member States to</w:t>
      </w:r>
      <w:r w:rsidR="000C4DCF">
        <w:t xml:space="preserve"> participate in the ASEAN Fair, </w:t>
      </w:r>
      <w:r>
        <w:t>to be held in Bali in conjunction with the 19th ASEAN</w:t>
      </w:r>
      <w:r w:rsidR="000C4DCF">
        <w:t xml:space="preserve"> Summit and Related Summits, in </w:t>
      </w:r>
      <w:r>
        <w:t>November 2011. The Fair will bring together many elements of society in various activities that</w:t>
      </w:r>
      <w:r w:rsidR="000C4DCF">
        <w:t xml:space="preserve"> </w:t>
      </w:r>
      <w:r>
        <w:t>demonstrate the nature of ASEAN as being of the people, by the people and for the people.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acknowledged the importance of the participation of civil society in the attainment of the</w:t>
      </w:r>
      <w:r w:rsidR="000C4DCF">
        <w:t xml:space="preserve"> </w:t>
      </w:r>
      <w:r>
        <w:t>ASEAN Community by 2015. We pledged to promote cons</w:t>
      </w:r>
      <w:r w:rsidR="000C4DCF">
        <w:t xml:space="preserve">tructive dialogue and establish </w:t>
      </w:r>
      <w:r>
        <w:t>stronger partnership and active collaboration with civil society in various sectors of cooperation.</w:t>
      </w:r>
      <w:r w:rsidR="000C4DCF">
        <w:t xml:space="preserve"> </w:t>
      </w:r>
      <w:r>
        <w:t>We welcomed the initiative of civil societies in ASEAN that made a robust contribution to</w:t>
      </w:r>
      <w:r w:rsidR="000C4DCF">
        <w:t xml:space="preserve"> </w:t>
      </w:r>
      <w:r>
        <w:t>ASEAN Community building and noted the successful convening of the 7th ASEAN Civil</w:t>
      </w:r>
      <w:r w:rsidR="000C4DCF">
        <w:t xml:space="preserve"> </w:t>
      </w:r>
      <w:r>
        <w:t>Society Conference/ASEAN People’s Forum in Jakarta, Indonesia on 3- 5 May 2011.</w:t>
      </w:r>
    </w:p>
    <w:p w:rsidR="00816671" w:rsidRDefault="00816671" w:rsidP="00A17CED">
      <w:pPr>
        <w:pStyle w:val="Heading2"/>
      </w:pPr>
      <w:bookmarkStart w:id="27" w:name="_Toc477950106"/>
      <w:r>
        <w:t>Disaster Management</w:t>
      </w:r>
      <w:bookmarkEnd w:id="27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Aware of the urgency to improve regional coordination in disaster preparedness and response, we</w:t>
      </w:r>
      <w:r w:rsidR="000C4DCF">
        <w:t xml:space="preserve"> </w:t>
      </w:r>
      <w:r>
        <w:t xml:space="preserve">agreed to strengthen the existing arrangements such as </w:t>
      </w:r>
      <w:r w:rsidR="000C4DCF">
        <w:t xml:space="preserve">the ASEAN Agreement on Disaster </w:t>
      </w:r>
      <w:r>
        <w:t>Management and Emergency Response (AADMER) and th</w:t>
      </w:r>
      <w:r w:rsidR="000C4DCF">
        <w:t xml:space="preserve">e ASEAN Coordinating Centre for </w:t>
      </w:r>
      <w:r>
        <w:t xml:space="preserve">Humanitarian Assistance on disaster management (AHA Centre). </w:t>
      </w:r>
      <w:r w:rsidR="000C4DCF">
        <w:t xml:space="preserve">We agreed to reinforce the role </w:t>
      </w:r>
      <w:r>
        <w:t>of the Secretary-General of ASEAN as ASEAN’s humanitarian assistance coordinator and to</w:t>
      </w:r>
      <w:r w:rsidR="000C4DCF">
        <w:t xml:space="preserve"> </w:t>
      </w:r>
      <w:r>
        <w:t>encourage greater civilian-military coordination on humanitarian assistance and disaster relief.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The soft launch of the AHA Centre on 27 January 2011 showcased the realization of ASEAN</w:t>
      </w:r>
      <w:r w:rsidR="000C4DCF">
        <w:t xml:space="preserve"> </w:t>
      </w:r>
      <w:r>
        <w:t>efforts at effective response to and management of disasters.</w:t>
      </w:r>
      <w:r w:rsidR="000C4DCF">
        <w:t xml:space="preserve"> We further tasked our relevant </w:t>
      </w:r>
      <w:r>
        <w:t>Ministers to expedite the full operation of the AHA Centre an</w:t>
      </w:r>
      <w:r w:rsidR="000C4DCF">
        <w:t xml:space="preserve">d emphasized the importance of </w:t>
      </w:r>
      <w:r>
        <w:t>concerted efforts by all stakeholders as well as support from partners and donors to achieve this</w:t>
      </w:r>
      <w:r w:rsidR="000C4DCF">
        <w:t xml:space="preserve"> </w:t>
      </w:r>
      <w:r>
        <w:t>goal. We reaffirmed our commitment to ensure the effective operation of the AHA Centre. We</w:t>
      </w:r>
      <w:r w:rsidR="000C4DCF">
        <w:t xml:space="preserve"> </w:t>
      </w:r>
      <w:r>
        <w:t>cited the contributions and commitment of ASEAN external partners to ensure the effective</w:t>
      </w:r>
      <w:r w:rsidR="000C4DCF">
        <w:t xml:space="preserve"> </w:t>
      </w:r>
      <w:r>
        <w:t>implementation of the Centre which would be complemented by the activities of the WFP</w:t>
      </w:r>
      <w:r w:rsidR="000C4DCF">
        <w:t xml:space="preserve"> </w:t>
      </w:r>
      <w:r>
        <w:t>Humanitarian Response Depot in Subang and Thailand’s offer to develop Utapao airport facilities</w:t>
      </w:r>
      <w:r w:rsidR="000C4DCF">
        <w:t xml:space="preserve"> </w:t>
      </w:r>
      <w:r>
        <w:t xml:space="preserve">to support rapid deployment of assets in the event of a disaster in the region. By </w:t>
      </w:r>
      <w:r>
        <w:lastRenderedPageBreak/>
        <w:t>enhancing our</w:t>
      </w:r>
      <w:r w:rsidR="000C4DCF">
        <w:t xml:space="preserve"> </w:t>
      </w:r>
      <w:r>
        <w:t>collective efforts, we moved closer to achieving our goal of building disaster-resilient societies</w:t>
      </w:r>
      <w:r w:rsidR="000C4DCF">
        <w:t xml:space="preserve"> </w:t>
      </w:r>
      <w:r>
        <w:t>and towards a safer community by the year 2015.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successful holding of the ASEAN Regional Forum Disaster Relief Exercise</w:t>
      </w:r>
      <w:r w:rsidR="000C4DCF">
        <w:t xml:space="preserve"> </w:t>
      </w:r>
      <w:r>
        <w:t xml:space="preserve">(ARF DiREx) 2011 in Manado, Indonesia on 14-19 March 2011 </w:t>
      </w:r>
      <w:r w:rsidR="000C4DCF">
        <w:t xml:space="preserve">and concluded that the Exercise </w:t>
      </w:r>
      <w:r>
        <w:t>had promoted contributed to cooperation and coordination between civilian and military</w:t>
      </w:r>
      <w:r w:rsidR="000C4DCF">
        <w:t xml:space="preserve"> </w:t>
      </w:r>
      <w:r>
        <w:t>authorities on disaster management in the Asia Pacific region. We noted the willingness of the</w:t>
      </w:r>
      <w:r w:rsidR="000C4DCF">
        <w:t xml:space="preserve"> </w:t>
      </w:r>
      <w:r>
        <w:t>Asian Disaster Preparedness Center (ADPC) in Thailand to work with partners to do a regional</w:t>
      </w:r>
      <w:r w:rsidR="000C4DCF">
        <w:t xml:space="preserve"> </w:t>
      </w:r>
      <w:r>
        <w:t>stock take of HADR facilities and capabilities in the region.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Following the Special ASEAN-Japan Ministerial Meeting in April 2011, we emphasized the need</w:t>
      </w:r>
      <w:r w:rsidR="000C4DCF">
        <w:t xml:space="preserve"> </w:t>
      </w:r>
      <w:r>
        <w:t>to further strengthen existing disaster management cooperation under the various regional</w:t>
      </w:r>
      <w:r w:rsidR="000C4DCF">
        <w:t xml:space="preserve"> </w:t>
      </w:r>
      <w:r>
        <w:t xml:space="preserve">mechanisms, including ASEAN </w:t>
      </w:r>
      <w:proofErr w:type="gramStart"/>
      <w:r>
        <w:t>Plus</w:t>
      </w:r>
      <w:proofErr w:type="gramEnd"/>
      <w:r>
        <w:t xml:space="preserve"> Three, EAS, ARF, and ADMM Plus, as well as periodic</w:t>
      </w:r>
      <w:r w:rsidR="000C4DCF">
        <w:t xml:space="preserve"> </w:t>
      </w:r>
      <w:r>
        <w:t>holding of Disaster Relief Exercises. In addition, we underlined the need to strengthen such</w:t>
      </w:r>
      <w:r w:rsidR="000C4DCF">
        <w:t xml:space="preserve"> </w:t>
      </w:r>
      <w:r>
        <w:t>cooperation through sharing of exercises and lessons-learned as well as conducting training and</w:t>
      </w:r>
      <w:r w:rsidR="000C4DCF">
        <w:t xml:space="preserve"> </w:t>
      </w:r>
      <w:r>
        <w:t>capacity building programs for disaster preparedness, emergency response, relief, and</w:t>
      </w:r>
      <w:r w:rsidR="000C4DCF">
        <w:t xml:space="preserve"> </w:t>
      </w:r>
      <w:r>
        <w:t>reconstruction efforts.</w:t>
      </w:r>
    </w:p>
    <w:p w:rsidR="00816671" w:rsidRDefault="00816671" w:rsidP="00A17CED">
      <w:pPr>
        <w:pStyle w:val="Heading2"/>
      </w:pPr>
      <w:bookmarkStart w:id="28" w:name="_Toc477950107"/>
      <w:r>
        <w:t>Migrant Workers</w:t>
      </w:r>
      <w:bookmarkEnd w:id="28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reaffirmed our commitment to implement the ASEAN Declaration on the Protection and</w:t>
      </w:r>
      <w:r w:rsidR="000C4DCF">
        <w:t xml:space="preserve"> </w:t>
      </w:r>
      <w:r>
        <w:t>Promotion of the Rights of Migrant Workers adopted in C</w:t>
      </w:r>
      <w:r w:rsidR="000C4DCF">
        <w:t xml:space="preserve">ebu at the 12th ASEAN Summit in </w:t>
      </w:r>
      <w:r>
        <w:t>2007.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 xml:space="preserve">We reiterated our commitment to develop an ASEAN instrument </w:t>
      </w:r>
      <w:r w:rsidR="000C4DCF">
        <w:t xml:space="preserve">on the protection and promotion </w:t>
      </w:r>
      <w:r>
        <w:t>of the rights of migrant workers, consistent with ASEAN's</w:t>
      </w:r>
      <w:r w:rsidR="000C4DCF">
        <w:t xml:space="preserve"> vision of a caring and sharing </w:t>
      </w:r>
      <w:r>
        <w:t>community. In this connection, we tasked the ASEAN Labour Ministers Meeting (ALMM) to</w:t>
      </w:r>
      <w:r w:rsidR="000C4DCF">
        <w:t xml:space="preserve"> </w:t>
      </w:r>
      <w:r>
        <w:t>expedite the completion of this instrument based on the spirit of the Cebu Declaration. We also</w:t>
      </w:r>
      <w:r w:rsidR="000C4DCF">
        <w:t xml:space="preserve"> </w:t>
      </w:r>
      <w:r>
        <w:t>requested the ASEAN Socio-Cultural Community (ASCC) Council, as agreed by the Summit, to</w:t>
      </w:r>
      <w:r w:rsidR="000C4DCF">
        <w:t xml:space="preserve"> </w:t>
      </w:r>
      <w:r>
        <w:t>exercise its mandate in ensuring the accomplishment of this task accordingly by the ALMM as</w:t>
      </w:r>
      <w:r w:rsidR="000C4DCF">
        <w:t xml:space="preserve"> </w:t>
      </w:r>
      <w:r>
        <w:t>one of the Sectoral Ministerial Bodies under its purview. We also look forward to the</w:t>
      </w:r>
      <w:r w:rsidR="000C4DCF">
        <w:t xml:space="preserve"> </w:t>
      </w:r>
      <w:r>
        <w:t>development of a proposal on the convening of a workshop on this matter.</w:t>
      </w:r>
      <w:r w:rsidR="000C4DCF">
        <w:t xml:space="preserve"> 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tasked the Secretary General, in cooperation with the ASCC, to report the progress of the implementation of the Declaration to the 19th ASEAN Summit.</w:t>
      </w:r>
    </w:p>
    <w:p w:rsidR="00816671" w:rsidRDefault="00816671" w:rsidP="00A17CED">
      <w:pPr>
        <w:pStyle w:val="Heading2"/>
      </w:pPr>
      <w:bookmarkStart w:id="29" w:name="_Toc477950108"/>
      <w:r>
        <w:t xml:space="preserve">ASEAN Commission on the Promotion and Protection of the Rights of Women and </w:t>
      </w:r>
      <w:r w:rsidR="000C4DCF">
        <w:t xml:space="preserve">Children </w:t>
      </w:r>
      <w:r>
        <w:t>(ACWC)</w:t>
      </w:r>
      <w:bookmarkEnd w:id="29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convening of the First Meeting of the ASEAN Commission on the Promotion</w:t>
      </w:r>
      <w:r w:rsidR="000C4DCF">
        <w:t xml:space="preserve"> </w:t>
      </w:r>
      <w:r>
        <w:t xml:space="preserve">and Protection of the Rights of Women and Children (ACWC) in </w:t>
      </w:r>
      <w:r w:rsidR="000C4DCF">
        <w:t xml:space="preserve">Jakarta as another milestone in </w:t>
      </w:r>
      <w:r>
        <w:t>ASEAN’s commitment to promote and protect the rights of wo</w:t>
      </w:r>
      <w:r w:rsidR="000C4DCF">
        <w:t xml:space="preserve">men and children in the region. </w:t>
      </w:r>
      <w:r>
        <w:t>We looked forward to the ACWC undertaking concrete measures to safeguard the interest and</w:t>
      </w:r>
      <w:r w:rsidR="000C4DCF">
        <w:t xml:space="preserve"> </w:t>
      </w:r>
      <w:r>
        <w:t>rights as well as provide equal opportunities, and raise the quality of life and the standard of</w:t>
      </w:r>
      <w:r w:rsidR="000C4DCF">
        <w:t xml:space="preserve"> </w:t>
      </w:r>
      <w:r>
        <w:t>living of women and children.</w:t>
      </w:r>
    </w:p>
    <w:p w:rsidR="00816671" w:rsidRDefault="00816671" w:rsidP="00A17CED">
      <w:pPr>
        <w:pStyle w:val="Heading2"/>
      </w:pPr>
      <w:bookmarkStart w:id="30" w:name="_Toc477950109"/>
      <w:r>
        <w:t>Youth</w:t>
      </w:r>
      <w:bookmarkEnd w:id="30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underscored the important roles of the youth as the next generation of leaders in our region</w:t>
      </w:r>
      <w:r w:rsidR="000C4DCF">
        <w:t xml:space="preserve"> </w:t>
      </w:r>
      <w:r>
        <w:t>and as the custodians of the future of ASEAN. We pledged t</w:t>
      </w:r>
      <w:r w:rsidR="000C4DCF">
        <w:t xml:space="preserve">o ensure that they would have a </w:t>
      </w:r>
      <w:r>
        <w:t>decent life in the future. We also agreed to engage youth in the building of the ASEAN</w:t>
      </w:r>
      <w:r w:rsidR="000C4DCF">
        <w:t xml:space="preserve"> </w:t>
      </w:r>
      <w:r>
        <w:t>Community by 2015, and noted the proposal to task relevant sectoral bodies under the ASCC</w:t>
      </w:r>
      <w:r w:rsidR="000C4DCF">
        <w:t xml:space="preserve"> </w:t>
      </w:r>
      <w:r>
        <w:t>Council to submit recommendations which would allow the region’s youth to have a more</w:t>
      </w:r>
      <w:r w:rsidR="000C4DCF">
        <w:t xml:space="preserve"> </w:t>
      </w:r>
      <w:r>
        <w:lastRenderedPageBreak/>
        <w:t>prominent and constructive role in this process. Hence, we encouraged all stakeholders to create</w:t>
      </w:r>
      <w:r w:rsidR="000C4DCF">
        <w:t xml:space="preserve"> </w:t>
      </w:r>
      <w:r>
        <w:t>and implement more inclusive programs for youth.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Since these efforts require adequate support, we welcomed the initiative to establish an ASEAN</w:t>
      </w:r>
      <w:r w:rsidR="000C4DCF">
        <w:t xml:space="preserve"> </w:t>
      </w:r>
      <w:r>
        <w:t>Youth Program Fund to foster stronger cooperation and engage</w:t>
      </w:r>
      <w:r w:rsidR="000C4DCF">
        <w:t xml:space="preserve">ment by all stakeholders in the </w:t>
      </w:r>
      <w:r>
        <w:t>enhancement of the capabilities of the youth in the region.</w:t>
      </w:r>
    </w:p>
    <w:p w:rsidR="00816671" w:rsidRDefault="00816671" w:rsidP="00A17CED">
      <w:pPr>
        <w:pStyle w:val="Heading2"/>
      </w:pPr>
      <w:bookmarkStart w:id="31" w:name="_Toc477950110"/>
      <w:r>
        <w:t>Health</w:t>
      </w:r>
      <w:bookmarkEnd w:id="31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affirmed our determination to enhance regional preparedness and capacity through integrated</w:t>
      </w:r>
      <w:r w:rsidR="000C4DCF">
        <w:t xml:space="preserve"> </w:t>
      </w:r>
      <w:r>
        <w:t>approaches to assess, prevent, and respond to widespread commu</w:t>
      </w:r>
      <w:r w:rsidR="000C4DCF">
        <w:t xml:space="preserve">nicable and infectious diseases </w:t>
      </w:r>
      <w:r>
        <w:t>including HIV/AIDS. Due to the threat of increasing number o</w:t>
      </w:r>
      <w:r w:rsidR="000C4DCF">
        <w:t xml:space="preserve">f HIV/AIDS cases in our region, </w:t>
      </w:r>
      <w:r>
        <w:t>we underlined the need to provide more affordable and universal access to HIV/AIDS prevention,</w:t>
      </w:r>
      <w:r w:rsidR="000C4DCF">
        <w:t xml:space="preserve"> </w:t>
      </w:r>
      <w:r>
        <w:t xml:space="preserve">treatment, care, and support. We welcomed planned activities </w:t>
      </w:r>
      <w:r w:rsidR="000C4DCF">
        <w:t xml:space="preserve">of the ASEAN Task Force on AIDS </w:t>
      </w:r>
      <w:r>
        <w:t xml:space="preserve">(ATFOA) for the Commemoration of the 10th Anniversary </w:t>
      </w:r>
      <w:r w:rsidR="000C4DCF">
        <w:t xml:space="preserve">of the ASEAN Declaration on HIV </w:t>
      </w:r>
      <w:r>
        <w:t>and AIDS during the 19th ASEAN Summit, namely the launching of the ASEAN Regional Report</w:t>
      </w:r>
      <w:r w:rsidR="000C4DCF">
        <w:t xml:space="preserve"> </w:t>
      </w:r>
      <w:r>
        <w:t>on HIV/AIDS (2010) which includes the AIDS Work Programme IV (2011-2015) and the</w:t>
      </w:r>
      <w:r w:rsidR="000C4DCF">
        <w:t xml:space="preserve"> </w:t>
      </w:r>
      <w:r>
        <w:t>Renewal of the ASEAN Declaration of Commitment on HIV and AIDS to the 2011 Declaration</w:t>
      </w:r>
      <w:r w:rsidR="000C4DCF">
        <w:t xml:space="preserve"> </w:t>
      </w:r>
      <w:r>
        <w:t xml:space="preserve">on HIV/AIDS. 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also emphasized the need for all stakeholders in our reg</w:t>
      </w:r>
      <w:r w:rsidR="000C4DCF">
        <w:t xml:space="preserve">ion to take measures to prevent </w:t>
      </w:r>
      <w:r>
        <w:t>spread of communicable and infectious diseases in the region.</w:t>
      </w:r>
      <w:r w:rsidR="000C4DCF">
        <w:t xml:space="preserve"> We also recognized the need to </w:t>
      </w:r>
      <w:r>
        <w:t>provide more attention to those already infected by HIV/AIDS an</w:t>
      </w:r>
      <w:r w:rsidR="000C4DCF">
        <w:t xml:space="preserve">d other diseases, and to ensure </w:t>
      </w:r>
      <w:r>
        <w:t>that they have access and affordable health care and management.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underlined that these groups should not be marginalized and be provided equal with</w:t>
      </w:r>
      <w:r w:rsidR="000C4DCF">
        <w:t xml:space="preserve"> </w:t>
      </w:r>
      <w:r>
        <w:t>opportunities to live a normal life. We agreed that further collabo</w:t>
      </w:r>
      <w:r w:rsidR="000C4DCF">
        <w:t xml:space="preserve">ration with partners and donors </w:t>
      </w:r>
      <w:r>
        <w:t>were necessary for our region's capability to become more capable of dealing with this problem.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Government of Indonesia’s contribution for the official launch of ASEAN</w:t>
      </w:r>
      <w:r w:rsidR="000C4DCF">
        <w:t xml:space="preserve"> </w:t>
      </w:r>
      <w:r>
        <w:t xml:space="preserve">Dengue Day at regional level on 15 June 2011 with the theme </w:t>
      </w:r>
      <w:r w:rsidR="000C4DCF">
        <w:t xml:space="preserve">“Dengue is Everybody’s Concern, </w:t>
      </w:r>
      <w:r>
        <w:t xml:space="preserve">Causing Socio-Economic Burden but its Preventable”. </w:t>
      </w:r>
      <w:r w:rsidR="000C4DCF">
        <w:t xml:space="preserve">We looked forward and supported </w:t>
      </w:r>
      <w:r>
        <w:t>activities that would be held alongside the launch, including the ASEAN Dengue Conference and</w:t>
      </w:r>
      <w:r w:rsidR="000C4DCF">
        <w:t xml:space="preserve"> </w:t>
      </w:r>
      <w:r>
        <w:t>ASEAN Logo Competition for ASEAN Dengue Day.</w:t>
      </w:r>
    </w:p>
    <w:p w:rsidR="00816671" w:rsidRDefault="00816671" w:rsidP="00A17CED">
      <w:pPr>
        <w:pStyle w:val="Heading2"/>
      </w:pPr>
      <w:bookmarkStart w:id="32" w:name="_Toc477950111"/>
      <w:r>
        <w:t>Persons with Disabilities</w:t>
      </w:r>
      <w:bookmarkEnd w:id="32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reaffirmed the possibility to promote a people-oriented ASEAN where all of the society,</w:t>
      </w:r>
      <w:r w:rsidR="000C4DCF">
        <w:t xml:space="preserve"> </w:t>
      </w:r>
      <w:r>
        <w:t>including persons with disabilities, could participate in and be</w:t>
      </w:r>
      <w:r w:rsidR="000C4DCF">
        <w:t xml:space="preserve">nefit fully from the process of </w:t>
      </w:r>
      <w:r>
        <w:t>ASEAN integration. We also underlined the importance of enhancing the role, opportunities and</w:t>
      </w:r>
      <w:r w:rsidR="000C4DCF">
        <w:t xml:space="preserve"> </w:t>
      </w:r>
      <w:r>
        <w:t xml:space="preserve">participation of persons with disabilities in contributing to the </w:t>
      </w:r>
      <w:r w:rsidR="000C4DCF">
        <w:t xml:space="preserve">development of the region. </w:t>
      </w:r>
      <w:r>
        <w:t>Therefore, we welcomed the initiative to draft the Bali Declaration on the Enhancement of the</w:t>
      </w:r>
      <w:r w:rsidR="000C4DCF">
        <w:t xml:space="preserve"> </w:t>
      </w:r>
      <w:r>
        <w:t>Role and Participation of Persons with Disabilities in ASEAN Community as well as the</w:t>
      </w:r>
      <w:r w:rsidR="000C4DCF">
        <w:t xml:space="preserve"> </w:t>
      </w:r>
      <w:r>
        <w:t>Proclamation of the ASEAN Decade for Persons with Disabilities 2011-2020. We tasked our</w:t>
      </w:r>
      <w:r w:rsidR="000C4DCF">
        <w:t xml:space="preserve"> </w:t>
      </w:r>
      <w:r>
        <w:t>relevant Ministers to complete the said Declaration for adoption at the 19th ASEAN Summit.</w:t>
      </w:r>
    </w:p>
    <w:p w:rsidR="00816671" w:rsidRDefault="00226239" w:rsidP="00A17CED">
      <w:pPr>
        <w:pStyle w:val="Heading2"/>
      </w:pPr>
      <w:r>
        <w:br w:type="page"/>
      </w:r>
      <w:bookmarkStart w:id="33" w:name="_Toc477950112"/>
      <w:r w:rsidR="00816671">
        <w:lastRenderedPageBreak/>
        <w:t>Education</w:t>
      </w:r>
      <w:bookmarkEnd w:id="33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cited the importance of education as a foundation for a useful and meaningful life. We</w:t>
      </w:r>
      <w:r w:rsidR="000C4DCF">
        <w:t xml:space="preserve"> </w:t>
      </w:r>
      <w:r>
        <w:t>acknowledged and lauded the concerted efforts by our Ministe</w:t>
      </w:r>
      <w:r w:rsidR="000C4DCF">
        <w:t xml:space="preserve">rs to ensure the integration of </w:t>
      </w:r>
      <w:r>
        <w:t>education priorities into ASEAN’s development agenda an</w:t>
      </w:r>
      <w:r w:rsidR="000C4DCF">
        <w:t xml:space="preserve">d to improve the well-being and </w:t>
      </w:r>
      <w:r>
        <w:t>livelihood of the peoples of ASEAN as well as enhance awareness of ASEAN through education.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adoption of the ASEAN 5-Year Work Plan on Education (2011-2015) to</w:t>
      </w:r>
      <w:r w:rsidR="000C4DCF">
        <w:t xml:space="preserve"> </w:t>
      </w:r>
      <w:r>
        <w:t>facilitate the implementation of relevant actions of the ASCC B</w:t>
      </w:r>
      <w:r w:rsidR="000C4DCF">
        <w:t xml:space="preserve">lueprint and the Cha-am Hua Hin </w:t>
      </w:r>
      <w:r>
        <w:t xml:space="preserve">Declaration on Strengthening Cooperation on Education to Achieve an ASEAN Caring </w:t>
      </w:r>
      <w:r w:rsidR="000C4DCF">
        <w:t xml:space="preserve">and </w:t>
      </w:r>
      <w:r>
        <w:t>Sharing Community. We also welcomed the progress of the work of the ASEAN University</w:t>
      </w:r>
      <w:r w:rsidR="000C4DCF">
        <w:t xml:space="preserve"> </w:t>
      </w:r>
      <w:r>
        <w:t>Network (AUN) in promoting student mobility and building a network among universities in</w:t>
      </w:r>
      <w:r w:rsidR="000C4DCF">
        <w:t xml:space="preserve"> </w:t>
      </w:r>
      <w:r>
        <w:t>ASEAN Member States, China, Japan and the Republic of Korea. We further encourage the</w:t>
      </w:r>
      <w:r w:rsidR="000C4DCF">
        <w:t xml:space="preserve"> </w:t>
      </w:r>
      <w:r>
        <w:t>teaching of ASEAN Studies in primary, secondary, and higher education levels as stipulated in</w:t>
      </w:r>
      <w:r w:rsidR="000C4DCF">
        <w:t xml:space="preserve"> </w:t>
      </w:r>
      <w:r>
        <w:t>the ASCC Blueprint and the Work Plan on Education.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tasked the ASEAN Ministerial Meeting on Education to devel</w:t>
      </w:r>
      <w:r w:rsidR="000C4DCF">
        <w:t xml:space="preserve">op a framework of a transfer of </w:t>
      </w:r>
      <w:r>
        <w:t>credits among university students in ASEAN Membe</w:t>
      </w:r>
      <w:r w:rsidR="000C4DCF">
        <w:t xml:space="preserve">r States in order to strengthen </w:t>
      </w:r>
      <w:r>
        <w:t>people-to-people contact.</w:t>
      </w:r>
    </w:p>
    <w:p w:rsidR="00816671" w:rsidRDefault="00816671" w:rsidP="00A17CED">
      <w:pPr>
        <w:pStyle w:val="Heading2"/>
      </w:pPr>
      <w:bookmarkStart w:id="34" w:name="_Toc477950113"/>
      <w:r>
        <w:t>Community &amp; Harmony in ASEAN through Tertiary Education Relations (CHARTER)</w:t>
      </w:r>
      <w:bookmarkEnd w:id="34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In line with ASEAN's community building efforts, we endorsed the concept of a Community and</w:t>
      </w:r>
      <w:r w:rsidR="000C4DCF">
        <w:t xml:space="preserve"> </w:t>
      </w:r>
      <w:r>
        <w:t>Harmony in ASEAN through Tertiary Education Relations</w:t>
      </w:r>
      <w:r w:rsidR="000C4DCF">
        <w:t xml:space="preserve"> (CHARTER) programme to enhance </w:t>
      </w:r>
      <w:r>
        <w:t>exchanges between universities and institutions of higher le</w:t>
      </w:r>
      <w:r w:rsidR="000C4DCF">
        <w:t xml:space="preserve">arning in ASEAN. We agreed that </w:t>
      </w:r>
      <w:r>
        <w:t>the programme would help develop a stronger sense of identity and belonging to ASEAN among</w:t>
      </w:r>
      <w:r w:rsidR="000C4DCF">
        <w:t xml:space="preserve"> </w:t>
      </w:r>
      <w:r>
        <w:t>our youth through the promotion of cross-cultural understanding. In this regard, we tasked our</w:t>
      </w:r>
      <w:r w:rsidR="000C4DCF">
        <w:t xml:space="preserve"> </w:t>
      </w:r>
      <w:r>
        <w:t>Education Ministers to explore the programme further with a view to its early implementation.</w:t>
      </w:r>
    </w:p>
    <w:p w:rsidR="00816671" w:rsidRDefault="00816671" w:rsidP="00A17CED">
      <w:pPr>
        <w:pStyle w:val="Heading2"/>
      </w:pPr>
      <w:bookmarkStart w:id="35" w:name="_Toc477950114"/>
      <w:r>
        <w:t>Climate Change</w:t>
      </w:r>
      <w:bookmarkEnd w:id="35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reaffirmed our strong commitment to intensify efforts in addressing climate change at</w:t>
      </w:r>
      <w:r w:rsidR="000C4DCF">
        <w:t xml:space="preserve"> </w:t>
      </w:r>
      <w:r>
        <w:t>national, regional and global levels. We agreed that ASEAN should be actively involved in</w:t>
      </w:r>
      <w:r w:rsidR="000C4DCF">
        <w:t xml:space="preserve"> </w:t>
      </w:r>
      <w:r>
        <w:t>contributing to global efforts to achieve a balanced, comprehensive, and legally-binding</w:t>
      </w:r>
      <w:r w:rsidR="000C4DCF">
        <w:t xml:space="preserve"> </w:t>
      </w:r>
      <w:r>
        <w:t>instrument under the UN Framework Convention on Climate Change agreed upon through the</w:t>
      </w:r>
      <w:r w:rsidR="000C4DCF">
        <w:t xml:space="preserve"> </w:t>
      </w:r>
      <w:r>
        <w:t>two-track approaches as mandated by the Bali Action Plan.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underlined the importance of the ASEAN Climate Change Initiative (ACCI) in providing a</w:t>
      </w:r>
      <w:r w:rsidR="000C4DCF">
        <w:t xml:space="preserve"> </w:t>
      </w:r>
      <w:r>
        <w:t>consultative platform to strengthen regional coordination and co</w:t>
      </w:r>
      <w:r w:rsidR="000C4DCF">
        <w:t xml:space="preserve">operation in addressing climate </w:t>
      </w:r>
      <w:r>
        <w:t xml:space="preserve">change. We encouraged ASEAN Member States to enhance </w:t>
      </w:r>
      <w:r w:rsidR="000C4DCF">
        <w:t xml:space="preserve">their implementation of ACCI by </w:t>
      </w:r>
      <w:r>
        <w:t>engaging relevant stakeholders in ASEAN Member States in this effort.</w:t>
      </w:r>
    </w:p>
    <w:p w:rsidR="00816671" w:rsidRDefault="00816671" w:rsidP="00A17CED">
      <w:pPr>
        <w:pStyle w:val="Heading2"/>
      </w:pPr>
      <w:bookmarkStart w:id="36" w:name="_Toc477950115"/>
      <w:r>
        <w:t>Environmentally-Sustainable Cities</w:t>
      </w:r>
      <w:bookmarkEnd w:id="36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encouraged efforts to meet the social and economic needs of the peoples of the region to</w:t>
      </w:r>
      <w:r w:rsidR="000C4DCF">
        <w:t xml:space="preserve"> </w:t>
      </w:r>
      <w:r>
        <w:t>improve their living standards. We welcomed the initiative to</w:t>
      </w:r>
      <w:r w:rsidR="000C4DCF">
        <w:t xml:space="preserve"> have the ASEAN Environmentally </w:t>
      </w:r>
      <w:r>
        <w:t>Sustainable Cities Award, in order to increase people's awareness o</w:t>
      </w:r>
      <w:r w:rsidR="000C4DCF">
        <w:t xml:space="preserve">f the importance of living in a </w:t>
      </w:r>
      <w:r>
        <w:t xml:space="preserve">more environmentally sustainable way. We encouraged more cities </w:t>
      </w:r>
      <w:r w:rsidR="000C4DCF">
        <w:t xml:space="preserve">in our region to participate </w:t>
      </w:r>
      <w:r>
        <w:t>actively in the Award. This will be part of our collaborative efforts at achieving a more</w:t>
      </w:r>
      <w:r w:rsidR="000C4DCF">
        <w:t xml:space="preserve"> </w:t>
      </w:r>
      <w:r>
        <w:t>environmentally sustainable region by 2015.</w:t>
      </w:r>
    </w:p>
    <w:p w:rsidR="00816671" w:rsidRDefault="00816671" w:rsidP="00A17CED">
      <w:pPr>
        <w:pStyle w:val="Heading2"/>
      </w:pPr>
      <w:bookmarkStart w:id="37" w:name="_Toc477950116"/>
      <w:r>
        <w:lastRenderedPageBreak/>
        <w:t>Culture</w:t>
      </w:r>
      <w:bookmarkEnd w:id="37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acknowledged the importance of the conservation and preservation of ASEAN cultural</w:t>
      </w:r>
      <w:r w:rsidR="000C4DCF">
        <w:t xml:space="preserve"> </w:t>
      </w:r>
      <w:r>
        <w:t>heritage in enhancing mutual awareness and understanding amo</w:t>
      </w:r>
      <w:r w:rsidR="000C4DCF">
        <w:t xml:space="preserve">ng our peoples. We welcomed the </w:t>
      </w:r>
      <w:r>
        <w:t>initiative to develop a draft ASEAN Declaration on Shared A</w:t>
      </w:r>
      <w:r w:rsidR="000C4DCF">
        <w:t xml:space="preserve">SEAN Cultural Identity: Towards </w:t>
      </w:r>
      <w:r>
        <w:t xml:space="preserve">Strengthening the ASEAN Community. We tasked our relevant Ministers </w:t>
      </w:r>
      <w:r w:rsidR="000C4DCF">
        <w:t xml:space="preserve">to ensure the </w:t>
      </w:r>
      <w:r>
        <w:t>finalisation of the said draft as an outcome document of the 19th ASEAN Summit. We also take</w:t>
      </w:r>
      <w:r w:rsidR="000C4DCF">
        <w:t xml:space="preserve"> </w:t>
      </w:r>
      <w:r>
        <w:t>note the suggestion of having an ASEAN television, channel or network in each ASEAN</w:t>
      </w:r>
      <w:r w:rsidR="000C4DCF">
        <w:t xml:space="preserve"> </w:t>
      </w:r>
      <w:r>
        <w:t>Member States as part of ASEAN’s endeavour to enhance mutual awareness and understanding</w:t>
      </w:r>
      <w:r w:rsidR="000C4DCF">
        <w:t xml:space="preserve"> </w:t>
      </w:r>
      <w:r>
        <w:t>among our peoples.</w:t>
      </w:r>
    </w:p>
    <w:p w:rsidR="00816671" w:rsidRDefault="00816671" w:rsidP="00A17CED">
      <w:pPr>
        <w:pStyle w:val="Heading2"/>
      </w:pPr>
      <w:bookmarkStart w:id="38" w:name="_Toc477950117"/>
      <w:r>
        <w:t>Sports</w:t>
      </w:r>
      <w:bookmarkEnd w:id="38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endorsed the establishment of an ASEAN Ministerial Meeting on Sports designed to enhance</w:t>
      </w:r>
      <w:r w:rsidR="000C4DCF">
        <w:t xml:space="preserve"> </w:t>
      </w:r>
      <w:r>
        <w:t>cooperation in sport and sports-related activities, to promote a hea</w:t>
      </w:r>
      <w:r w:rsidR="000C4DCF">
        <w:t xml:space="preserve">lthier lifestyle among citizens </w:t>
      </w:r>
      <w:r>
        <w:t>of ASEAN Member States, encourage more interaction among peoples of ASEAN, as well as</w:t>
      </w:r>
      <w:r w:rsidR="000C4DCF">
        <w:t xml:space="preserve"> </w:t>
      </w:r>
      <w:r>
        <w:t>contributing to ASEAN integration and community building.</w:t>
      </w:r>
    </w:p>
    <w:p w:rsidR="00816671" w:rsidRDefault="00816671" w:rsidP="00A17CED">
      <w:pPr>
        <w:pStyle w:val="Heading2"/>
      </w:pPr>
      <w:bookmarkStart w:id="39" w:name="_Toc477950118"/>
      <w:r>
        <w:t>ASEAN’s bid to host World Cup 2030</w:t>
      </w:r>
      <w:bookmarkEnd w:id="39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initiative of the ASEAN Foreign Ministers, working together with the ASEAN</w:t>
      </w:r>
      <w:r w:rsidR="00A929C6">
        <w:t xml:space="preserve"> </w:t>
      </w:r>
      <w:r>
        <w:t>Football Federation (AFF), on ASEAN’s bid to host FI</w:t>
      </w:r>
      <w:r w:rsidR="00A929C6">
        <w:t xml:space="preserve">FA World Cup in 2030, including </w:t>
      </w:r>
      <w:r>
        <w:t>undertaking a comprehensive study as suggested by the AFF. We would systematically and</w:t>
      </w:r>
      <w:r w:rsidR="00A929C6">
        <w:t xml:space="preserve"> </w:t>
      </w:r>
      <w:r>
        <w:t>procedurally explore possibilities in this major initiative.</w:t>
      </w:r>
    </w:p>
    <w:p w:rsidR="00816671" w:rsidRDefault="00816671" w:rsidP="00A17CED">
      <w:pPr>
        <w:pStyle w:val="Heading1"/>
      </w:pPr>
      <w:bookmarkStart w:id="40" w:name="_Toc477950119"/>
      <w:r>
        <w:t>NARROWING THE DEVELOPMENT GAP</w:t>
      </w:r>
      <w:bookmarkEnd w:id="40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reaffirmed the importance of narrowing the development gap between Member States to</w:t>
      </w:r>
      <w:r w:rsidR="00146EED">
        <w:t xml:space="preserve"> </w:t>
      </w:r>
      <w:r>
        <w:t>accelerate ASEAN integration in order to achieve the goal of</w:t>
      </w:r>
      <w:r w:rsidR="00146EED">
        <w:t xml:space="preserve"> a more balanced, inclusive and </w:t>
      </w:r>
      <w:r>
        <w:t>sustained ASEAN Community. We resolved to intensify our effort</w:t>
      </w:r>
      <w:r w:rsidR="00146EED">
        <w:t xml:space="preserve">s at implementing the Strategic </w:t>
      </w:r>
      <w:r>
        <w:t>Framework and the IAI Work Plan II (2009-2015) in full and in a timely manner.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called on Dialogue Partners and Development Partner</w:t>
      </w:r>
      <w:r w:rsidR="00146EED">
        <w:t xml:space="preserve">s to continue their support and </w:t>
      </w:r>
      <w:r>
        <w:t xml:space="preserve">assistance for ASEAN’s efforts to bridge the development </w:t>
      </w:r>
      <w:r w:rsidR="00146EED">
        <w:t xml:space="preserve">gap. We welcomed the successful </w:t>
      </w:r>
      <w:r>
        <w:t>outcome of the 3rd IAI Development Cooperation Forum (IDCF-3).</w:t>
      </w:r>
    </w:p>
    <w:p w:rsidR="00816671" w:rsidRDefault="00816671" w:rsidP="00A17CED">
      <w:pPr>
        <w:pStyle w:val="Heading1"/>
      </w:pPr>
      <w:bookmarkStart w:id="41" w:name="_Toc477950120"/>
      <w:r>
        <w:t>ASEAN CONNECTIVITY</w:t>
      </w:r>
      <w:bookmarkEnd w:id="41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reaffirmed our commitment to promote ASEAN Connectivity that would benefit all Member</w:t>
      </w:r>
      <w:r w:rsidR="00146EED">
        <w:t xml:space="preserve"> </w:t>
      </w:r>
      <w:r>
        <w:t xml:space="preserve">States through enhanced trade, investment, tourism, </w:t>
      </w:r>
      <w:r w:rsidR="00146EED">
        <w:t xml:space="preserve">people-to-people exchanges, and </w:t>
      </w:r>
      <w:r>
        <w:t>development which would complement ongoing regional efforts to realize a people-oriented</w:t>
      </w:r>
      <w:r w:rsidR="00146EED">
        <w:t xml:space="preserve"> </w:t>
      </w:r>
      <w:r>
        <w:t>ASEAN Community by 2015. Through an enhanced connectivity between the mainland and</w:t>
      </w:r>
      <w:r w:rsidR="00146EED">
        <w:t xml:space="preserve"> </w:t>
      </w:r>
      <w:r>
        <w:t>archipelagic states in ASEAN, the production and distribution networks in the region would be</w:t>
      </w:r>
      <w:r w:rsidR="00146EED">
        <w:t xml:space="preserve"> </w:t>
      </w:r>
      <w:r>
        <w:t>deepened and enlarged, and become more entrenched in the East Asia and global economy.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establishment of the ASEAN Connectivity Coordinating Committee (ACCC)</w:t>
      </w:r>
      <w:r w:rsidR="00146EED">
        <w:t xml:space="preserve"> </w:t>
      </w:r>
      <w:r>
        <w:t>and the ASEAN Connectivity National Coordinators (NC) and tasked both mechanisms to</w:t>
      </w:r>
      <w:r w:rsidR="00146EED">
        <w:t xml:space="preserve"> </w:t>
      </w:r>
      <w:r>
        <w:t>expedite the implementation of the Master Plan on ASEAN Connectivity. We commended strong support and commitment ASEAN Dialogue Partners and other external partners, including</w:t>
      </w:r>
      <w:r w:rsidR="00146EED">
        <w:t xml:space="preserve"> </w:t>
      </w:r>
      <w:r>
        <w:t>other stakeholders for the implementation of the Master Plan on ASEAN Connectivity.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lastRenderedPageBreak/>
        <w:t>We welcomed the report of the “First Meeting of the ASEAN Connectivity Coordinating</w:t>
      </w:r>
      <w:r w:rsidR="00146EED">
        <w:t xml:space="preserve"> </w:t>
      </w:r>
      <w:r>
        <w:t>Committee (ACCC)" held recently in Jakarta, and commended the work of the Committee. We call</w:t>
      </w:r>
      <w:r w:rsidR="00146EED">
        <w:t xml:space="preserve"> </w:t>
      </w:r>
      <w:r>
        <w:t>on the relevant sectoral bodies of the three Community Councils to coordinate and to extend</w:t>
      </w:r>
      <w:r w:rsidR="00146EED">
        <w:t xml:space="preserve"> </w:t>
      </w:r>
      <w:r>
        <w:t>cooperation and support to the ACCC.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tasked our Finance Ministers to expedite the establishment and the guidelines on the use of</w:t>
      </w:r>
      <w:r w:rsidR="00146EED">
        <w:t xml:space="preserve"> </w:t>
      </w:r>
      <w:r>
        <w:t>the ASEAN Infrastructure Fund (AIF) which would play a catalys</w:t>
      </w:r>
      <w:r w:rsidR="00146EED">
        <w:t xml:space="preserve">t role in resource mobilization </w:t>
      </w:r>
      <w:r>
        <w:t>with the help of external partners.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noted with appreciation the development of sub-regional interconnectivity among ASEAN</w:t>
      </w:r>
      <w:r w:rsidR="00146EED">
        <w:t xml:space="preserve"> </w:t>
      </w:r>
      <w:r>
        <w:t>Members States, namely: Indonesia-Malaysia-Tha</w:t>
      </w:r>
      <w:r w:rsidR="00146EED">
        <w:t xml:space="preserve">iland Growth Triangle (IMT-GT), </w:t>
      </w:r>
      <w:r>
        <w:t>Brunei-Indonesia-Malaysia-Philippines East ASEAN Growth Area (BIMP-EAGA), and Greater</w:t>
      </w:r>
      <w:r w:rsidR="00146EED">
        <w:t xml:space="preserve"> </w:t>
      </w:r>
      <w:r>
        <w:t xml:space="preserve">Mekong </w:t>
      </w:r>
      <w:r w:rsidR="009721C9">
        <w:t>Sub region</w:t>
      </w:r>
      <w:r>
        <w:t xml:space="preserve"> (GMS) as fundamental building blocks for the ASEAN interconnectivity as a</w:t>
      </w:r>
      <w:r w:rsidR="00146EED">
        <w:t xml:space="preserve"> </w:t>
      </w:r>
      <w:r>
        <w:t>whole.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recognized the role of governments in encouraging low-cost airlines as well as national</w:t>
      </w:r>
      <w:r w:rsidR="00146EED">
        <w:t xml:space="preserve"> </w:t>
      </w:r>
      <w:r>
        <w:t>airlines to operate more flights and flight routes within the A</w:t>
      </w:r>
      <w:r w:rsidR="00146EED">
        <w:t xml:space="preserve">SEAN region in order to promote </w:t>
      </w:r>
      <w:r>
        <w:t>closer people-to-people connectivity.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agreed to explore the development of an ASEAN Business Travel Card that would help</w:t>
      </w:r>
      <w:r w:rsidR="00146EED">
        <w:t xml:space="preserve"> </w:t>
      </w:r>
      <w:r>
        <w:t>facilitate the movement of business peoples in the region and t</w:t>
      </w:r>
      <w:r w:rsidR="00146EED">
        <w:t xml:space="preserve">hereby promote people-to-people </w:t>
      </w:r>
      <w:r>
        <w:t>connectivity as called for in the Master Plan.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acknowledged that ASEAN Connectivity is the first step</w:t>
      </w:r>
      <w:r w:rsidR="00146EED">
        <w:t xml:space="preserve"> in the development of enhanced </w:t>
      </w:r>
      <w:r>
        <w:t>connectivity between ASEAN and Northeast Asia, South As</w:t>
      </w:r>
      <w:r w:rsidR="00146EED">
        <w:t xml:space="preserve">ia and beyond which remains our </w:t>
      </w:r>
      <w:r>
        <w:t>long-term goal. We thus noted the possibility of having a “connectivity master plan plus” which</w:t>
      </w:r>
      <w:r w:rsidR="00146EED">
        <w:t xml:space="preserve"> </w:t>
      </w:r>
      <w:r>
        <w:t>would explore connectivity beyond ASEAN, focusing on Northeast Asia, South Asia and other</w:t>
      </w:r>
      <w:r w:rsidR="00146EED">
        <w:t xml:space="preserve"> </w:t>
      </w:r>
      <w:r>
        <w:t>regions.</w:t>
      </w:r>
    </w:p>
    <w:p w:rsidR="00816671" w:rsidRDefault="00816671" w:rsidP="00A17CED">
      <w:pPr>
        <w:pStyle w:val="Heading1"/>
      </w:pPr>
      <w:bookmarkStart w:id="42" w:name="_Toc477950121"/>
      <w:r>
        <w:t>IMPLEMENTATION OF THE ASEAN CHARTER</w:t>
      </w:r>
      <w:bookmarkEnd w:id="42"/>
    </w:p>
    <w:p w:rsidR="00816671" w:rsidRDefault="00816671" w:rsidP="00A17CED">
      <w:pPr>
        <w:pStyle w:val="Heading2"/>
      </w:pPr>
      <w:bookmarkStart w:id="43" w:name="_Toc477950122"/>
      <w:r>
        <w:t>Remaining Legal Instruments under the ASEAN Charter</w:t>
      </w:r>
      <w:bookmarkEnd w:id="43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progress in the implementation of the ASEAN Charter, particularly the</w:t>
      </w:r>
      <w:r w:rsidR="00146EED">
        <w:t xml:space="preserve"> </w:t>
      </w:r>
      <w:r>
        <w:t>finalization of the draft legal instruments that would enable ASE</w:t>
      </w:r>
      <w:r w:rsidR="00146EED">
        <w:t xml:space="preserve">AN to function as a rules-based </w:t>
      </w:r>
      <w:r>
        <w:t>organization. We looked forward to the conclusion of the rem</w:t>
      </w:r>
      <w:r w:rsidR="00146EED">
        <w:t xml:space="preserve">aining legal instruments of the </w:t>
      </w:r>
      <w:r>
        <w:t>ASEAN Charter and the consideration of the establishment of an ASEAN legal committee that</w:t>
      </w:r>
      <w:r w:rsidR="00146EED">
        <w:t xml:space="preserve"> </w:t>
      </w:r>
      <w:r>
        <w:t xml:space="preserve">would address any possible legal issues in the future. </w:t>
      </w:r>
    </w:p>
    <w:p w:rsidR="00816671" w:rsidRDefault="00816671" w:rsidP="00A17CED">
      <w:pPr>
        <w:pStyle w:val="Heading2"/>
      </w:pPr>
      <w:bookmarkStart w:id="44" w:name="_Toc477950123"/>
      <w:r>
        <w:t>ASEAN Inter-Parliamentary Assembly (AIPA)</w:t>
      </w:r>
      <w:bookmarkEnd w:id="44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renewed our commitment to building a people-oriented and people-centered ASEAN and to</w:t>
      </w:r>
      <w:r w:rsidR="00146EED">
        <w:t xml:space="preserve"> </w:t>
      </w:r>
      <w:r>
        <w:t>increase our peoples’ sense of involvement in the work of ASEAN</w:t>
      </w:r>
      <w:r w:rsidR="00146EED">
        <w:t xml:space="preserve"> through their greater people’s </w:t>
      </w:r>
      <w:r>
        <w:t xml:space="preserve">participation in our community-building process. We were </w:t>
      </w:r>
      <w:r w:rsidR="00146EED">
        <w:t xml:space="preserve">pleased with the outcome of our </w:t>
      </w:r>
      <w:r>
        <w:t>Meeting with Representatives from the ASEAN Inter-Parliamentary Assembly (AIPA) in Jakarta</w:t>
      </w:r>
      <w:r w:rsidR="00146EED">
        <w:t xml:space="preserve"> </w:t>
      </w:r>
      <w:r>
        <w:t>on 7th May. We tasked the ASEAN Secretariat to coordinate with AIPA in developing</w:t>
      </w:r>
      <w:r w:rsidR="00146EED">
        <w:t xml:space="preserve"> </w:t>
      </w:r>
      <w:r>
        <w:t>appropriate modalities for future cooperation between ASEAN Government and legislatures.</w:t>
      </w:r>
    </w:p>
    <w:p w:rsidR="00816671" w:rsidRDefault="00096105" w:rsidP="00A17CED">
      <w:pPr>
        <w:pStyle w:val="Heading2"/>
      </w:pPr>
      <w:r>
        <w:br w:type="page"/>
      </w:r>
      <w:bookmarkStart w:id="45" w:name="_Toc477950124"/>
      <w:r w:rsidR="00816671">
        <w:lastRenderedPageBreak/>
        <w:t>Committee of Permanent Representatives to ASEAN (CPR)</w:t>
      </w:r>
      <w:bookmarkEnd w:id="45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welcomed the increasing role and contribution of the Committee of Permanent</w:t>
      </w:r>
      <w:r w:rsidR="00146EED">
        <w:t xml:space="preserve"> </w:t>
      </w:r>
      <w:r>
        <w:t>Representatives to ASEAN (CPR), including its effort to</w:t>
      </w:r>
      <w:r w:rsidR="00146EED">
        <w:t xml:space="preserve"> promote closer cooperation and </w:t>
      </w:r>
      <w:r>
        <w:t>coordination across the three pillars and sectoral bodies of ASEAN in accordance with the</w:t>
      </w:r>
      <w:r w:rsidR="00146EED">
        <w:t xml:space="preserve"> </w:t>
      </w:r>
      <w:r>
        <w:t>ASEAN Charter. We took note of the efforts of the CPR to facilitate closer cooperation with</w:t>
      </w:r>
      <w:r w:rsidR="00146EED">
        <w:t xml:space="preserve"> </w:t>
      </w:r>
      <w:r>
        <w:t>ASEAN Dialogue Partners and other external partners thereby helping the ASEAN Community</w:t>
      </w:r>
      <w:r w:rsidR="00146EED">
        <w:t xml:space="preserve"> </w:t>
      </w:r>
      <w:r>
        <w:t>building process.</w:t>
      </w:r>
    </w:p>
    <w:p w:rsidR="00816671" w:rsidRDefault="00816671" w:rsidP="00A17CED">
      <w:pPr>
        <w:pStyle w:val="Heading2"/>
      </w:pPr>
      <w:bookmarkStart w:id="46" w:name="_Toc477950125"/>
      <w:r>
        <w:t>ASEAN Secretariat</w:t>
      </w:r>
      <w:bookmarkEnd w:id="46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stressed the need to enhance the capacity of the ASEAN Secretariat with necessary resources</w:t>
      </w:r>
      <w:r w:rsidR="00146EED">
        <w:t xml:space="preserve"> </w:t>
      </w:r>
      <w:r>
        <w:t>so it would be able to cope with the external dynamic</w:t>
      </w:r>
      <w:r w:rsidR="00146EED">
        <w:t xml:space="preserve">s and to support enhanced ASEAN </w:t>
      </w:r>
      <w:r>
        <w:t>integration, as well as ASEAN’s greater role in the region and in the global community.</w:t>
      </w:r>
    </w:p>
    <w:p w:rsidR="00816671" w:rsidRDefault="00816671" w:rsidP="00A17CED">
      <w:pPr>
        <w:pStyle w:val="Heading2"/>
      </w:pPr>
      <w:bookmarkStart w:id="47" w:name="_Toc477950126"/>
      <w:r>
        <w:t>ASEAN Foundation</w:t>
      </w:r>
      <w:bookmarkEnd w:id="47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have high expectations that the ASEAN Foundation, unde</w:t>
      </w:r>
      <w:r w:rsidR="00146EED">
        <w:t xml:space="preserve">r the newly appointed Executive </w:t>
      </w:r>
      <w:r>
        <w:t>Director, will promote greater awareness of the ASEAN identity</w:t>
      </w:r>
      <w:r w:rsidR="00146EED">
        <w:t xml:space="preserve">, people-to-people interaction, </w:t>
      </w:r>
      <w:r>
        <w:t>and close collaboration among the business sector, civil society, academia and other stakeholders</w:t>
      </w:r>
      <w:r w:rsidR="00146EED">
        <w:t xml:space="preserve"> </w:t>
      </w:r>
      <w:r>
        <w:t>in ASEAN.</w:t>
      </w:r>
    </w:p>
    <w:p w:rsidR="00816671" w:rsidRDefault="00816671" w:rsidP="00A17CED">
      <w:pPr>
        <w:pStyle w:val="Heading1"/>
      </w:pPr>
      <w:bookmarkStart w:id="48" w:name="_Toc477950127"/>
      <w:r>
        <w:t>REGIONAL ARCHITECTURE</w:t>
      </w:r>
      <w:bookmarkEnd w:id="48"/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underlined the need to maintain ASEAN Centrality in regional architecture building and</w:t>
      </w:r>
      <w:r w:rsidR="00146EED">
        <w:t xml:space="preserve"> </w:t>
      </w:r>
      <w:r>
        <w:t>institutional building within ASEAN – with its three pillar</w:t>
      </w:r>
      <w:r w:rsidR="00146EED">
        <w:t xml:space="preserve">s and its Blueprints, the ASEAN </w:t>
      </w:r>
      <w:r>
        <w:t>Charter, and the strengthening of the ASEAN Secretariat – as fundamentals upon which to build</w:t>
      </w:r>
      <w:r w:rsidR="00146EED">
        <w:t xml:space="preserve"> </w:t>
      </w:r>
      <w:r>
        <w:t>a strong ASEAN Community that would be the core building block in the evolving regional</w:t>
      </w:r>
      <w:r w:rsidR="00146EED">
        <w:t xml:space="preserve"> </w:t>
      </w:r>
      <w:r>
        <w:t>architecture.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 xml:space="preserve">We reiterated the mutually reinforcing roles of ASEAN </w:t>
      </w:r>
      <w:proofErr w:type="gramStart"/>
      <w:r>
        <w:t>Plus</w:t>
      </w:r>
      <w:proofErr w:type="gramEnd"/>
      <w:r>
        <w:t xml:space="preserve"> One, ASEAN Plus Three, the East</w:t>
      </w:r>
      <w:r w:rsidR="00146EED">
        <w:t xml:space="preserve"> </w:t>
      </w:r>
      <w:r>
        <w:t xml:space="preserve">Asia Summit (EAS), ASEAN Regional Forum (ARF), ASEAN </w:t>
      </w:r>
      <w:r w:rsidR="00146EED">
        <w:t xml:space="preserve">Defence Ministers’ Meeting Plus </w:t>
      </w:r>
      <w:r>
        <w:t>(ADMM Plus) and other forums in the region in the promotion</w:t>
      </w:r>
      <w:r w:rsidR="00146EED">
        <w:t xml:space="preserve"> of East Asian cooperation and </w:t>
      </w:r>
      <w:r>
        <w:t>dialogue towards the building of a community in the wider region. We also reaffirmed that each</w:t>
      </w:r>
      <w:r w:rsidR="00146EED">
        <w:t xml:space="preserve"> </w:t>
      </w:r>
      <w:r>
        <w:t>partners have their respective niche in addressing the many challenges confronting the region and</w:t>
      </w:r>
      <w:r w:rsidR="00146EED">
        <w:t xml:space="preserve"> </w:t>
      </w:r>
      <w:r>
        <w:t>in this regard, ASEAN should tap on their individual strengths.</w:t>
      </w:r>
    </w:p>
    <w:p w:rsidR="00816671" w:rsidRDefault="00816671" w:rsidP="00A17CED">
      <w:pPr>
        <w:pStyle w:val="ListParagraph"/>
        <w:numPr>
          <w:ilvl w:val="0"/>
          <w:numId w:val="2"/>
        </w:numPr>
        <w:contextualSpacing w:val="0"/>
      </w:pPr>
      <w:r>
        <w:t>We looked forward to the participation of the Russian Federation and the United States in the 6</w:t>
      </w:r>
      <w:r w:rsidRPr="00A929C6">
        <w:rPr>
          <w:vertAlign w:val="superscript"/>
        </w:rPr>
        <w:t>th</w:t>
      </w:r>
      <w:r w:rsidR="00146EED">
        <w:t xml:space="preserve"> </w:t>
      </w:r>
      <w:r>
        <w:t>EAS in Bali. Both countries’ role and engagement should contribute constructively to the</w:t>
      </w:r>
      <w:r w:rsidR="00146EED">
        <w:t xml:space="preserve"> </w:t>
      </w:r>
      <w:r>
        <w:t>ongoing dynamism of the region, as well as in enhancing ASEAN’s role to the changing global</w:t>
      </w:r>
      <w:r w:rsidR="00146EED">
        <w:t xml:space="preserve"> </w:t>
      </w:r>
      <w:r>
        <w:t>landscape.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pledged to nurture the evolution of the regional architectu</w:t>
      </w:r>
      <w:r w:rsidR="00146EED">
        <w:t xml:space="preserve">re toward a dynamic equilibrium </w:t>
      </w:r>
      <w:r>
        <w:t>by enhancing and synergizing the role of ASEAN Community in the region, through</w:t>
      </w:r>
      <w:r w:rsidR="00146EED">
        <w:t xml:space="preserve"> </w:t>
      </w:r>
      <w:r>
        <w:t>constructive partnerships between ASEAN and its external partners with the objective of</w:t>
      </w:r>
      <w:r w:rsidR="00146EED">
        <w:t xml:space="preserve"> </w:t>
      </w:r>
      <w:r>
        <w:t>achieving common stability, common security and common prosperity.</w:t>
      </w:r>
    </w:p>
    <w:p w:rsidR="00816671" w:rsidRDefault="00096105" w:rsidP="00A17CED">
      <w:pPr>
        <w:pStyle w:val="Heading2"/>
      </w:pPr>
      <w:r>
        <w:br w:type="page"/>
      </w:r>
      <w:bookmarkStart w:id="49" w:name="_Toc477950128"/>
      <w:r w:rsidR="00816671">
        <w:lastRenderedPageBreak/>
        <w:t>ASEAN Centrality</w:t>
      </w:r>
      <w:bookmarkEnd w:id="49"/>
    </w:p>
    <w:p w:rsidR="00816671" w:rsidRDefault="00816671" w:rsidP="008F53BA">
      <w:pPr>
        <w:pStyle w:val="ListParagraph"/>
        <w:numPr>
          <w:ilvl w:val="0"/>
          <w:numId w:val="2"/>
        </w:numPr>
        <w:ind w:hanging="468"/>
        <w:contextualSpacing w:val="0"/>
      </w:pPr>
      <w:r>
        <w:t>We emphasized the importance of ASEAN’s centrality in the evolving regional architecture in</w:t>
      </w:r>
      <w:r w:rsidR="00146EED">
        <w:t xml:space="preserve"> </w:t>
      </w:r>
      <w:r>
        <w:t>cooperation with external partners, and reaffirmed basi</w:t>
      </w:r>
      <w:r w:rsidR="00146EED">
        <w:t xml:space="preserve">c principles and modalities and </w:t>
      </w:r>
      <w:r>
        <w:t>commitment of the EAS as outlined in the 2005 Kuala Lumpur Declaration on the East Asia</w:t>
      </w:r>
      <w:r w:rsidR="00146EED">
        <w:t xml:space="preserve"> </w:t>
      </w:r>
      <w:r>
        <w:t>Summit. We stressed the need to ensure ASEAN Centrality by building on existing ASEAN-led</w:t>
      </w:r>
      <w:r w:rsidR="00146EED">
        <w:t xml:space="preserve"> </w:t>
      </w:r>
      <w:r>
        <w:t>mechanisms, as well as through existing ASEAN cooperation with individual participating</w:t>
      </w:r>
      <w:r w:rsidR="00146EED">
        <w:t xml:space="preserve"> </w:t>
      </w:r>
      <w:r>
        <w:t>countries of the EAS.</w:t>
      </w:r>
    </w:p>
    <w:p w:rsidR="00816671" w:rsidRDefault="00816671" w:rsidP="00A17CED">
      <w:pPr>
        <w:pStyle w:val="Heading2"/>
      </w:pPr>
      <w:bookmarkStart w:id="50" w:name="_Toc477950129"/>
      <w:r>
        <w:t>East Asia Summit (EAS)</w:t>
      </w:r>
      <w:bookmarkEnd w:id="50"/>
    </w:p>
    <w:p w:rsidR="00816671" w:rsidRDefault="00816671" w:rsidP="008F53BA">
      <w:pPr>
        <w:pStyle w:val="ListParagraph"/>
        <w:numPr>
          <w:ilvl w:val="0"/>
          <w:numId w:val="2"/>
        </w:numPr>
        <w:ind w:hanging="468"/>
        <w:contextualSpacing w:val="0"/>
      </w:pPr>
      <w:r>
        <w:t>We had in-depth discussions on the development of the EAS and emphasized the importance of</w:t>
      </w:r>
      <w:r w:rsidR="00146EED">
        <w:t xml:space="preserve"> </w:t>
      </w:r>
      <w:r>
        <w:t>strengthening commitment to the 2005 Kuala Lumpur Declarat</w:t>
      </w:r>
      <w:r w:rsidR="00146EED">
        <w:t xml:space="preserve">ion on the Establishment of the </w:t>
      </w:r>
      <w:r>
        <w:t>East Asia Summit which contains the principles of the EAS as a Leaders-led as a forum for</w:t>
      </w:r>
      <w:r w:rsidR="00146EED">
        <w:t xml:space="preserve"> </w:t>
      </w:r>
      <w:r>
        <w:t>dialogue on broad strategic, political and economic issues of common interest and concern</w:t>
      </w:r>
      <w:r w:rsidR="00146EED">
        <w:t xml:space="preserve"> </w:t>
      </w:r>
      <w:r>
        <w:t>with the aim of promoting peace, stability and economic prosperity in East Asia.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68"/>
        <w:contextualSpacing w:val="0"/>
      </w:pPr>
      <w:r>
        <w:t>With the inclusion of the Russian Federation and the United States, we agreed to ensure that</w:t>
      </w:r>
      <w:r w:rsidR="00146EED">
        <w:t xml:space="preserve"> </w:t>
      </w:r>
      <w:r>
        <w:t>the EAS, with an enlarged participation, can contribute to the maintenance and promotion of a</w:t>
      </w:r>
      <w:r w:rsidR="00146EED">
        <w:t xml:space="preserve"> </w:t>
      </w:r>
      <w:r>
        <w:t>stable and peaceful regional environment.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68"/>
        <w:contextualSpacing w:val="0"/>
      </w:pPr>
      <w:r>
        <w:t>In responding to emerging multi-dimensional challenges in the region, we agreed to ensure</w:t>
      </w:r>
      <w:r w:rsidR="00146EED">
        <w:t xml:space="preserve"> </w:t>
      </w:r>
      <w:r>
        <w:t>that the EAS serves as an effective forum for deliberations on traditional and non-traditional</w:t>
      </w:r>
      <w:r w:rsidR="00146EED">
        <w:t xml:space="preserve"> </w:t>
      </w:r>
      <w:r>
        <w:t>security threats. We further stressed the need to deliberate on strategic geo-political issues of</w:t>
      </w:r>
      <w:r w:rsidR="00146EED">
        <w:t xml:space="preserve"> </w:t>
      </w:r>
      <w:r>
        <w:t>common interest, while continuing deliberations on the 5 (five) existing EAS priority areas as</w:t>
      </w:r>
      <w:r w:rsidR="00146EED">
        <w:t xml:space="preserve"> </w:t>
      </w:r>
      <w:r>
        <w:t>well as ASEAN Connectivity.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68"/>
        <w:contextualSpacing w:val="0"/>
      </w:pPr>
      <w:r>
        <w:t>We agreed to reaffirm, among EAS participating countries, t</w:t>
      </w:r>
      <w:r w:rsidR="00146EED">
        <w:t xml:space="preserve">he shared norms and principles, </w:t>
      </w:r>
      <w:r>
        <w:t>such as those enshrined in the UN Charter, the TAC, and ASEAN Charter, whi</w:t>
      </w:r>
      <w:r w:rsidR="00146EED">
        <w:t xml:space="preserve">ch are all aimed </w:t>
      </w:r>
      <w:r>
        <w:t>at maintaining peace, stability, and economic prosperity in the region and beyond.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68"/>
        <w:contextualSpacing w:val="0"/>
      </w:pPr>
      <w:r>
        <w:t>We endorsed decisions that would be followed up at the 6th East Asia Summit in November</w:t>
      </w:r>
      <w:r w:rsidR="00146EED">
        <w:t xml:space="preserve"> </w:t>
      </w:r>
      <w:r>
        <w:t>2011 namely:</w:t>
      </w:r>
    </w:p>
    <w:p w:rsidR="00816671" w:rsidRDefault="00816671" w:rsidP="00A17CED">
      <w:pPr>
        <w:pStyle w:val="ListParagraph"/>
        <w:numPr>
          <w:ilvl w:val="0"/>
          <w:numId w:val="30"/>
        </w:numPr>
        <w:contextualSpacing w:val="0"/>
      </w:pPr>
      <w:r>
        <w:t>To continue, consolidate, and enhance existing E</w:t>
      </w:r>
      <w:r w:rsidR="00146EED">
        <w:t xml:space="preserve">AS cooperation on the issues of </w:t>
      </w:r>
      <w:r>
        <w:t>energy, finance, disaster management, education and avian flu prevention, which would</w:t>
      </w:r>
      <w:r w:rsidR="00146EED">
        <w:t xml:space="preserve"> </w:t>
      </w:r>
      <w:r>
        <w:t>be transformed to global health and foreign policy, and to discuss connectivity and the</w:t>
      </w:r>
      <w:r w:rsidR="00146EED">
        <w:t xml:space="preserve"> </w:t>
      </w:r>
      <w:r>
        <w:t>CEPEA at the upcoming EAS;</w:t>
      </w:r>
    </w:p>
    <w:p w:rsidR="00816671" w:rsidRDefault="00816671" w:rsidP="00A17CED">
      <w:pPr>
        <w:pStyle w:val="ListParagraph"/>
        <w:numPr>
          <w:ilvl w:val="0"/>
          <w:numId w:val="30"/>
        </w:numPr>
        <w:contextualSpacing w:val="0"/>
      </w:pPr>
      <w:r>
        <w:t>To continue the practice of EAS consideration of various specific regional and</w:t>
      </w:r>
      <w:r w:rsidR="00146EED">
        <w:t xml:space="preserve"> </w:t>
      </w:r>
      <w:r>
        <w:t>international developments, as reflected in the Chairman’s Statement outcome, as</w:t>
      </w:r>
      <w:r w:rsidR="00146EED">
        <w:t xml:space="preserve"> </w:t>
      </w:r>
      <w:r>
        <w:t>appropriate;</w:t>
      </w:r>
    </w:p>
    <w:p w:rsidR="00816671" w:rsidRDefault="00816671" w:rsidP="00A17CED">
      <w:pPr>
        <w:pStyle w:val="ListParagraph"/>
        <w:numPr>
          <w:ilvl w:val="0"/>
          <w:numId w:val="30"/>
        </w:numPr>
        <w:contextualSpacing w:val="0"/>
      </w:pPr>
      <w:r>
        <w:t>To safeguard and manifest ASEAN centrality in the EAS by carrying out the decisions</w:t>
      </w:r>
      <w:r w:rsidR="00146EED">
        <w:t xml:space="preserve"> </w:t>
      </w:r>
      <w:r>
        <w:t>made on existing ASEAN-led mechanisms;</w:t>
      </w:r>
    </w:p>
    <w:p w:rsidR="00816671" w:rsidRDefault="00816671" w:rsidP="00A17CED">
      <w:pPr>
        <w:pStyle w:val="ListParagraph"/>
        <w:numPr>
          <w:ilvl w:val="0"/>
          <w:numId w:val="30"/>
        </w:numPr>
        <w:contextualSpacing w:val="0"/>
      </w:pPr>
      <w:r>
        <w:t>To reaffirm among the EAS participating countries common global norms and</w:t>
      </w:r>
      <w:r w:rsidR="00146EED">
        <w:t xml:space="preserve"> </w:t>
      </w:r>
      <w:r>
        <w:t>principles such as those enshrined in the UN Charter, TAC, the ASEAN Charter, ARF</w:t>
      </w:r>
      <w:r w:rsidR="00146EED">
        <w:t xml:space="preserve"> </w:t>
      </w:r>
      <w:r>
        <w:t>and in various arrangements between non-ASEAN participating countries which are all</w:t>
      </w:r>
      <w:r w:rsidR="00146EED">
        <w:t xml:space="preserve"> </w:t>
      </w:r>
      <w:r>
        <w:t>aimed at maintaining peace, stability and economic prosperity in the region and beyond;</w:t>
      </w:r>
    </w:p>
    <w:p w:rsidR="00816671" w:rsidRDefault="00816671" w:rsidP="00A17CED">
      <w:pPr>
        <w:pStyle w:val="ListParagraph"/>
        <w:numPr>
          <w:ilvl w:val="0"/>
          <w:numId w:val="30"/>
        </w:numPr>
        <w:contextualSpacing w:val="0"/>
      </w:pPr>
      <w:r>
        <w:t>To set in motion EAS deliberations and cooperat</w:t>
      </w:r>
      <w:r w:rsidR="00146EED">
        <w:t xml:space="preserve">ion on a set of traditional and </w:t>
      </w:r>
      <w:r>
        <w:t>non-traditional security issues, based on the existing ASEAN body of work;</w:t>
      </w:r>
    </w:p>
    <w:p w:rsidR="00816671" w:rsidRDefault="00816671" w:rsidP="00A17CED">
      <w:pPr>
        <w:pStyle w:val="ListParagraph"/>
        <w:numPr>
          <w:ilvl w:val="0"/>
          <w:numId w:val="30"/>
        </w:numPr>
        <w:contextualSpacing w:val="0"/>
      </w:pPr>
      <w:r>
        <w:lastRenderedPageBreak/>
        <w:t>We agreed to maintain the momentum of the EAS during the period between the regular</w:t>
      </w:r>
      <w:r w:rsidR="00146EED">
        <w:t xml:space="preserve"> </w:t>
      </w:r>
      <w:r>
        <w:t>leaders’ level meeting by strengthening the EAS Foreign Ministers’ process;</w:t>
      </w:r>
    </w:p>
    <w:p w:rsidR="00816671" w:rsidRDefault="00816671" w:rsidP="00A17CED">
      <w:pPr>
        <w:pStyle w:val="ListParagraph"/>
        <w:numPr>
          <w:ilvl w:val="0"/>
          <w:numId w:val="30"/>
        </w:numPr>
        <w:contextualSpacing w:val="0"/>
      </w:pPr>
      <w:r>
        <w:t>To strengthen the resources available to the ASEAN Secretariat in supporting the EAS.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Accordingly, we intend to issue a declaration at the 6th EAS encapsulating essential elements</w:t>
      </w:r>
      <w:r w:rsidR="00146EED">
        <w:t xml:space="preserve"> </w:t>
      </w:r>
      <w:r>
        <w:t>and common principles that should imbue the conduct of EAS participating countries.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tasked our Ministers to prepare a draft declaration on the selected p</w:t>
      </w:r>
      <w:r w:rsidR="00146EED">
        <w:t xml:space="preserve">rinciples to be issued at </w:t>
      </w:r>
      <w:r>
        <w:t>the 6th EAS.</w:t>
      </w:r>
    </w:p>
    <w:p w:rsidR="00816671" w:rsidRDefault="00816671" w:rsidP="00A17CED">
      <w:pPr>
        <w:pStyle w:val="Heading1"/>
      </w:pPr>
      <w:bookmarkStart w:id="51" w:name="_Toc477950130"/>
      <w:r>
        <w:t>ASEAN’S EXTERNAL RELATIONS</w:t>
      </w:r>
      <w:bookmarkEnd w:id="51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were encouraged by the progress of ASEAN external coop</w:t>
      </w:r>
      <w:r w:rsidR="00146EED">
        <w:t xml:space="preserve">eration with Dialogue </w:t>
      </w:r>
      <w:proofErr w:type="gramStart"/>
      <w:r w:rsidR="00146EED">
        <w:t xml:space="preserve">Partners  </w:t>
      </w:r>
      <w:r>
        <w:t>and</w:t>
      </w:r>
      <w:proofErr w:type="gramEnd"/>
      <w:r>
        <w:t xml:space="preserve"> agreed that ASEAN-led mechanisms/process</w:t>
      </w:r>
      <w:r w:rsidR="00146EED">
        <w:t xml:space="preserve">es (ASEAN+1, ASEAN+3, EAS, ARF, </w:t>
      </w:r>
      <w:r>
        <w:t>ADMM Plus) are all elements of the regional architecture in East Asia. Therefore, we must</w:t>
      </w:r>
      <w:r w:rsidR="00146EED">
        <w:t xml:space="preserve"> </w:t>
      </w:r>
      <w:r>
        <w:t>ensure their mutually reinforcing roles and complementarities. We agreed to fully utilize the</w:t>
      </w:r>
      <w:r w:rsidR="00146EED">
        <w:t xml:space="preserve"> </w:t>
      </w:r>
      <w:r>
        <w:t>existing ASEAN cooperation with the Dialogue Partners to promote and support the ASEAN</w:t>
      </w:r>
      <w:r w:rsidR="00146EED">
        <w:t xml:space="preserve"> </w:t>
      </w:r>
      <w:r>
        <w:t>Community.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commended the proactive participation and constructive contribution of external partners</w:t>
      </w:r>
      <w:r w:rsidR="00146EED">
        <w:t xml:space="preserve"> </w:t>
      </w:r>
      <w:r>
        <w:t>in dealing with emerging challenges facing the region. We agreed to optimize the contribution</w:t>
      </w:r>
      <w:r w:rsidR="00146EED">
        <w:t xml:space="preserve"> </w:t>
      </w:r>
      <w:r>
        <w:t>of our dialogue partners to our community building ventures, such as ASEAN Connectivity,</w:t>
      </w:r>
      <w:r w:rsidR="00146EED">
        <w:t xml:space="preserve"> </w:t>
      </w:r>
      <w:r>
        <w:t>disaster management, maritime security and others.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noted the importance of ASEAN energy cooperation to ensure greater security and</w:t>
      </w:r>
      <w:r w:rsidR="00146EED">
        <w:t xml:space="preserve"> </w:t>
      </w:r>
      <w:r>
        <w:t>sustainability of energy through diversification, development</w:t>
      </w:r>
      <w:r w:rsidR="00146EED">
        <w:t xml:space="preserve"> and conservation of resources, </w:t>
      </w:r>
      <w:r>
        <w:t>the efficient use of energy, as well as the wider application of environmentally-sound</w:t>
      </w:r>
      <w:r w:rsidR="00146EED">
        <w:t xml:space="preserve"> </w:t>
      </w:r>
      <w:r>
        <w:t>technologies. We underlined the need to intensify our cooperation on the development of</w:t>
      </w:r>
      <w:r w:rsidR="00146EED">
        <w:t xml:space="preserve"> </w:t>
      </w:r>
      <w:r>
        <w:t>renewable and alternative energy, including hydropower and bio-fuels in order to achieve a</w:t>
      </w:r>
      <w:r w:rsidR="00146EED">
        <w:t xml:space="preserve"> </w:t>
      </w:r>
      <w:r>
        <w:t>sustainable environment.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 xml:space="preserve">We looked forward to the signing of the ASEAN </w:t>
      </w:r>
      <w:proofErr w:type="gramStart"/>
      <w:r>
        <w:t>Plus</w:t>
      </w:r>
      <w:proofErr w:type="gramEnd"/>
      <w:r>
        <w:t xml:space="preserve"> Three Emergency Rice Reserve</w:t>
      </w:r>
      <w:r w:rsidR="00146EED">
        <w:t xml:space="preserve"> </w:t>
      </w:r>
      <w:r>
        <w:t>(APTERR) by this year, to help ensure the stability of food supply for our people, in the event</w:t>
      </w:r>
      <w:r w:rsidR="00146EED">
        <w:t xml:space="preserve"> </w:t>
      </w:r>
      <w:r>
        <w:t>of a food shortage or crisis. We also emphasized the need to implement the ASEAN Integrated</w:t>
      </w:r>
      <w:r w:rsidR="00146EED">
        <w:t xml:space="preserve"> </w:t>
      </w:r>
      <w:r>
        <w:t>Food Security Framework and the Strategic Plan of Action on Food Security in the ASEAN</w:t>
      </w:r>
      <w:r w:rsidR="00146EED">
        <w:t xml:space="preserve"> </w:t>
      </w:r>
      <w:r>
        <w:t>Region.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reaffirmed our commitment to elevate ASEAN-UN cooperation to a comprehensive</w:t>
      </w:r>
      <w:r w:rsidR="00146EED">
        <w:t xml:space="preserve"> </w:t>
      </w:r>
      <w:r>
        <w:t>partnership. Furthermore, we encourage collaborat</w:t>
      </w:r>
      <w:r w:rsidR="00146EED">
        <w:t xml:space="preserve">ion between ASEAN and the UN to </w:t>
      </w:r>
      <w:r>
        <w:t>increase ASEAN’s capacity to respond to key global issues of common interest. We cited great</w:t>
      </w:r>
      <w:r w:rsidR="00146EED">
        <w:t xml:space="preserve"> </w:t>
      </w:r>
      <w:r>
        <w:t>potential for strengthening cooperation in the area of multi-dimensional peacekeeping and</w:t>
      </w:r>
      <w:r w:rsidR="00146EED">
        <w:t xml:space="preserve"> </w:t>
      </w:r>
      <w:r>
        <w:t>post-conflict peace-building. We look forward to issue a Declaration on ASEAN-UN</w:t>
      </w:r>
      <w:r w:rsidR="00146EED">
        <w:t xml:space="preserve"> </w:t>
      </w:r>
      <w:r>
        <w:t>Comprehensive Partnership at the 19th ASEAN Summit and Related Summits.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further agreed to fully capitalize on the momentum provided in 2011 to elevate our</w:t>
      </w:r>
      <w:r w:rsidR="00146EED">
        <w:t xml:space="preserve"> </w:t>
      </w:r>
      <w:r>
        <w:t xml:space="preserve">cooperation with Japan and commend the efforts </w:t>
      </w:r>
      <w:r w:rsidR="00146EED">
        <w:t xml:space="preserve">to develop in a new ASEAN-Japan </w:t>
      </w:r>
      <w:r>
        <w:t>Declaration and Plan of Action.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commended the People’s Republic of China and the Russian Federation for their initiatives</w:t>
      </w:r>
      <w:r w:rsidR="00146EED">
        <w:t xml:space="preserve"> </w:t>
      </w:r>
      <w:r>
        <w:t>to launch activities in conjunction with the 20th Annivers</w:t>
      </w:r>
      <w:r w:rsidR="00146EED">
        <w:t xml:space="preserve">ary of the ASEAN-China Dialogue </w:t>
      </w:r>
      <w:r>
        <w:t>Relations and the 15th Anniversary of the ASEAN-Russian Federation Dialogue Relations in</w:t>
      </w:r>
      <w:r w:rsidR="00146EED">
        <w:t xml:space="preserve"> </w:t>
      </w:r>
      <w:r>
        <w:t>2011 respectively. We expressed support for the deliberations on an ASEAN-</w:t>
      </w:r>
      <w:r>
        <w:lastRenderedPageBreak/>
        <w:t>China Leaders</w:t>
      </w:r>
      <w:r w:rsidR="00146EED">
        <w:t xml:space="preserve"> </w:t>
      </w:r>
      <w:r>
        <w:t>Joint Statement to be issued at the ASEAN-China Summit t</w:t>
      </w:r>
      <w:r w:rsidR="00146EED">
        <w:t xml:space="preserve">hat would commemorate 20 years </w:t>
      </w:r>
      <w:r>
        <w:t>of dialogue relations. We tasked the Ministers to continue finalizing the relevant documents to</w:t>
      </w:r>
      <w:r w:rsidR="00146EED">
        <w:t xml:space="preserve"> </w:t>
      </w:r>
      <w:r>
        <w:t>be adopted at the 19th ASEAN Summit and Related Summits in Bali.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looked forward to the finalization of the ASEAN-US Plan of Action 2011-2015, which</w:t>
      </w:r>
      <w:r w:rsidR="00146EED">
        <w:t xml:space="preserve"> </w:t>
      </w:r>
      <w:r>
        <w:t>would expand and deepen cooperation beyond the existing areas of our partnership.</w:t>
      </w:r>
    </w:p>
    <w:p w:rsidR="00816671" w:rsidRDefault="00816671" w:rsidP="00A17CED">
      <w:pPr>
        <w:pStyle w:val="Heading2"/>
      </w:pPr>
      <w:bookmarkStart w:id="52" w:name="_Toc477950131"/>
      <w:r>
        <w:t>ASEAN-EU Business Summit</w:t>
      </w:r>
      <w:bookmarkEnd w:id="52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commend the convening of the First ASEAN-EU Business Summit on 5th of May 2011 in</w:t>
      </w:r>
      <w:r w:rsidR="00146EED">
        <w:t xml:space="preserve"> </w:t>
      </w:r>
      <w:r>
        <w:t>Jakarta, attended by the President of Indonesia, ASE</w:t>
      </w:r>
      <w:r w:rsidR="00146EED">
        <w:t xml:space="preserve">AN Economic Ministers, EU Trade </w:t>
      </w:r>
      <w:r>
        <w:t xml:space="preserve">Commissioner, ASEAN Secretary General and the business </w:t>
      </w:r>
      <w:r w:rsidR="00146EED">
        <w:t xml:space="preserve">communities of the two regions. </w:t>
      </w:r>
      <w:r>
        <w:t>This Summit provided a solid foundation for strengthening cooperation and partnerships</w:t>
      </w:r>
      <w:r w:rsidR="00146EED">
        <w:t xml:space="preserve"> </w:t>
      </w:r>
      <w:r>
        <w:t>between the two regions.</w:t>
      </w:r>
    </w:p>
    <w:p w:rsidR="00816671" w:rsidRDefault="00816671" w:rsidP="00A17CED">
      <w:pPr>
        <w:pStyle w:val="Heading1"/>
      </w:pPr>
      <w:bookmarkStart w:id="53" w:name="_Toc477950132"/>
      <w:r>
        <w:t>ASEAN COMMUNITY IN A GLOBAL COMMUNITY OF NATIONS</w:t>
      </w:r>
      <w:bookmarkEnd w:id="53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recalled ASEAN basic provisions on global visions and commitments, ASEAN joint</w:t>
      </w:r>
      <w:r w:rsidR="00146EED">
        <w:t xml:space="preserve"> </w:t>
      </w:r>
      <w:r>
        <w:t>statements on various global issues, and ASEAN collaboration</w:t>
      </w:r>
      <w:r w:rsidR="00146EED">
        <w:t xml:space="preserve"> with various international and </w:t>
      </w:r>
      <w:r>
        <w:t>regional organizations, in underscoring the foundation and future direction for an outward</w:t>
      </w:r>
      <w:r w:rsidR="00146EED">
        <w:t xml:space="preserve"> </w:t>
      </w:r>
      <w:r>
        <w:t>looking ASEAN Community that could play a pivotal role in the international fora, and</w:t>
      </w:r>
      <w:r w:rsidR="00146EED">
        <w:t xml:space="preserve"> </w:t>
      </w:r>
      <w:r>
        <w:t>advance ASEAN’s common interest.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agreed to develop an ASEAN common platform on global issues, and to enhance</w:t>
      </w:r>
      <w:r w:rsidR="00146EED">
        <w:t xml:space="preserve"> </w:t>
      </w:r>
      <w:r>
        <w:t>ASEAN’s capacity to respond to key global issues, that aims to promote greater coordination,</w:t>
      </w:r>
      <w:r w:rsidR="00146EED">
        <w:t xml:space="preserve"> </w:t>
      </w:r>
      <w:r>
        <w:t>coherence and cohesiveness on positions and efforts undertaken by ASEAN to address global</w:t>
      </w:r>
      <w:r w:rsidR="00146EED">
        <w:t xml:space="preserve"> </w:t>
      </w:r>
      <w:r>
        <w:t>challenges of the 21st century. To help better prepare ASEAN for this undertaking, we also</w:t>
      </w:r>
      <w:r w:rsidR="00146EED">
        <w:t xml:space="preserve"> </w:t>
      </w:r>
      <w:r>
        <w:t>agreed that ASEAN should make a detailed and comprehensive study and assessment of the</w:t>
      </w:r>
      <w:r w:rsidR="00146EED">
        <w:t xml:space="preserve"> </w:t>
      </w:r>
      <w:r>
        <w:t>key medium to long-term global trends and expected transformations in the global</w:t>
      </w:r>
      <w:r w:rsidR="00146EED">
        <w:t xml:space="preserve"> </w:t>
      </w:r>
      <w:r>
        <w:t>architecture.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decided to issue at the 19th ASEAN Summit a declaration on ASEAN Community in A</w:t>
      </w:r>
      <w:r w:rsidR="00146EED">
        <w:t xml:space="preserve"> </w:t>
      </w:r>
      <w:r>
        <w:t>Global Community of Nations to further promote a common platform on global issues. We</w:t>
      </w:r>
      <w:r w:rsidR="00146EED">
        <w:t xml:space="preserve"> </w:t>
      </w:r>
      <w:r>
        <w:t>tasked our Foreign Minister to work on such a declaration.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For that purpose we issued the ASEAN Leaders’ Joint Statement on the ASEAN Community</w:t>
      </w:r>
      <w:r w:rsidR="00146EED">
        <w:t xml:space="preserve"> </w:t>
      </w:r>
      <w:r>
        <w:t>in a Global Community of Nations, stating our agreement to have a common platform on</w:t>
      </w:r>
      <w:r w:rsidR="00146EED">
        <w:t xml:space="preserve"> </w:t>
      </w:r>
      <w:r>
        <w:t>global issues to be optimally attained by 2022.</w:t>
      </w:r>
    </w:p>
    <w:p w:rsidR="00816671" w:rsidRDefault="00816671" w:rsidP="00A17CED">
      <w:pPr>
        <w:pStyle w:val="Heading1"/>
      </w:pPr>
      <w:bookmarkStart w:id="54" w:name="_Toc477950133"/>
      <w:r>
        <w:t>GLOBAL MOVEMENT OF MODERATES</w:t>
      </w:r>
      <w:bookmarkEnd w:id="54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welcome the initiative to establish the Global Movement of Moderates as one of ASEAN’s</w:t>
      </w:r>
      <w:r w:rsidR="00146EED">
        <w:t xml:space="preserve"> </w:t>
      </w:r>
      <w:r>
        <w:t>positive contributions in shaping global developments. We task the ASEAN S</w:t>
      </w:r>
      <w:r w:rsidR="00146EED">
        <w:t xml:space="preserve">ecretariat to </w:t>
      </w:r>
      <w:r>
        <w:t>produce a concept paper on how ASEAN can promote this idea at the global level.</w:t>
      </w:r>
    </w:p>
    <w:p w:rsidR="00816671" w:rsidRDefault="008F53BA" w:rsidP="00A17CED">
      <w:pPr>
        <w:pStyle w:val="Heading1"/>
      </w:pPr>
      <w:r>
        <w:br w:type="page"/>
      </w:r>
      <w:bookmarkStart w:id="55" w:name="_Toc477950134"/>
      <w:r w:rsidR="00816671">
        <w:lastRenderedPageBreak/>
        <w:t>REGIONAL AND INTERNATIONAL ISSUES</w:t>
      </w:r>
      <w:bookmarkEnd w:id="55"/>
    </w:p>
    <w:p w:rsidR="00816671" w:rsidRDefault="00816671" w:rsidP="00A17CED">
      <w:pPr>
        <w:pStyle w:val="Heading2"/>
      </w:pPr>
      <w:bookmarkStart w:id="56" w:name="_Toc477950135"/>
      <w:r>
        <w:t>Myanmar</w:t>
      </w:r>
      <w:bookmarkEnd w:id="56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reiterated our support to the steady progress and political developments in Myanmar</w:t>
      </w:r>
      <w:r w:rsidR="00146EED">
        <w:t xml:space="preserve"> </w:t>
      </w:r>
      <w:r>
        <w:t>following the holding of General Elections and the f</w:t>
      </w:r>
      <w:r w:rsidR="00146EED">
        <w:t xml:space="preserve">ormation of a new parliamentary </w:t>
      </w:r>
      <w:r>
        <w:t>government in accordance with the Seven-Step Roadmap to Democracy. We considered the</w:t>
      </w:r>
      <w:r w:rsidR="00146EED">
        <w:t xml:space="preserve"> </w:t>
      </w:r>
      <w:r>
        <w:t>proposal of Myanmar to host the ASEAN Summits in 2014, based on its firm commitment to the</w:t>
      </w:r>
      <w:r w:rsidR="00146EED">
        <w:t xml:space="preserve"> </w:t>
      </w:r>
      <w:r>
        <w:t>principles of ASEAN.</w:t>
      </w:r>
    </w:p>
    <w:p w:rsidR="00816671" w:rsidRDefault="00816671" w:rsidP="00A17CED">
      <w:pPr>
        <w:pStyle w:val="Heading2"/>
      </w:pPr>
      <w:bookmarkStart w:id="57" w:name="_Toc477950136"/>
      <w:r>
        <w:t>Current Situation in the Cambodia-Thailand Border</w:t>
      </w:r>
      <w:bookmarkEnd w:id="57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emphasized the underlying norm and principle of ASEAN that differences between ASEAN</w:t>
      </w:r>
      <w:r w:rsidR="00146EED">
        <w:t xml:space="preserve"> </w:t>
      </w:r>
      <w:r>
        <w:t xml:space="preserve">Member States should be amicably resolved in the spirit of </w:t>
      </w:r>
      <w:r w:rsidR="00146EED">
        <w:t xml:space="preserve">ASEAN Solidarity, in accordance </w:t>
      </w:r>
      <w:r>
        <w:t>with the principles contained in the Treaty of Amity and Cooperation in Southeast Asia (TAC)</w:t>
      </w:r>
      <w:r w:rsidR="00146EED">
        <w:t xml:space="preserve"> </w:t>
      </w:r>
      <w:r>
        <w:t>and the ASEAN Charter.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welcomed Cambodia’s and Thailand’s commitment to peacefully resolve their differences</w:t>
      </w:r>
      <w:r w:rsidR="00146EED">
        <w:t xml:space="preserve"> </w:t>
      </w:r>
      <w:r>
        <w:t>through political dialogue and negotiations with a view t</w:t>
      </w:r>
      <w:r w:rsidR="00146EED">
        <w:t xml:space="preserve">o achieving mutually acceptable </w:t>
      </w:r>
      <w:r>
        <w:t>solution through the fullest utilization of their existing bilateral mechanism, with appropriate</w:t>
      </w:r>
      <w:r w:rsidR="00146EED">
        <w:t xml:space="preserve"> </w:t>
      </w:r>
      <w:r>
        <w:t>engagement of Indonesia, current Chair of ASEAN. In this regard, we appreciate that Cambodia</w:t>
      </w:r>
      <w:r w:rsidR="00146EED">
        <w:t xml:space="preserve"> </w:t>
      </w:r>
      <w:r>
        <w:t>and Thailand have agreed on the text of the Terms of Reference (TOR) on the Indonesian</w:t>
      </w:r>
      <w:r w:rsidR="00146EED">
        <w:t xml:space="preserve"> </w:t>
      </w:r>
      <w:r>
        <w:t>Observers Team (IOT) in the affected areas following the incidents in February 2011 and</w:t>
      </w:r>
      <w:r w:rsidR="00146EED">
        <w:t xml:space="preserve"> </w:t>
      </w:r>
      <w:r>
        <w:t>encourage the attainment of an environment conducive to their assignment. We also expressed</w:t>
      </w:r>
      <w:r w:rsidR="00146EED">
        <w:t xml:space="preserve"> </w:t>
      </w:r>
      <w:r>
        <w:t>our appreciation and support for the continuing effort of Indonesia, current Chair of ASEAN, to</w:t>
      </w:r>
      <w:r w:rsidR="00146EED">
        <w:t xml:space="preserve"> </w:t>
      </w:r>
      <w:r>
        <w:t>facilitate the process through its appropriate engagement which would help advance our</w:t>
      </w:r>
      <w:r w:rsidR="00146EED">
        <w:t xml:space="preserve"> </w:t>
      </w:r>
      <w:r>
        <w:t>collective efforts to attain the ASEAN Community.</w:t>
      </w:r>
    </w:p>
    <w:p w:rsidR="00816671" w:rsidRDefault="00816671" w:rsidP="00A17CED">
      <w:pPr>
        <w:pStyle w:val="Heading2"/>
      </w:pPr>
      <w:bookmarkStart w:id="58" w:name="_Toc477950137"/>
      <w:r>
        <w:t>South China Sea</w:t>
      </w:r>
      <w:bookmarkEnd w:id="58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reaffirmed the importance of the Declaration on the Conduct of the Parties in the South</w:t>
      </w:r>
      <w:r w:rsidR="00146EED">
        <w:t xml:space="preserve"> </w:t>
      </w:r>
      <w:r>
        <w:t>China Sea (DOC) as a milestone document signed betwee</w:t>
      </w:r>
      <w:r w:rsidR="00146EED">
        <w:t xml:space="preserve">n ASEAN and China embodying the </w:t>
      </w:r>
      <w:r>
        <w:t>collective commitment to promoting peace, stability, and mutu</w:t>
      </w:r>
      <w:r w:rsidR="00146EED">
        <w:t xml:space="preserve">al trust in the South China Sea </w:t>
      </w:r>
      <w:r>
        <w:t>and to ensuring the peaceful resolution of disputes in this area in accordance with universally</w:t>
      </w:r>
      <w:r w:rsidR="00146EED">
        <w:t xml:space="preserve"> </w:t>
      </w:r>
      <w:r>
        <w:t>recognized principles of international law, including the 1982 United Nations Convention on</w:t>
      </w:r>
      <w:r w:rsidR="00146EED">
        <w:t xml:space="preserve"> </w:t>
      </w:r>
      <w:r>
        <w:t>the Law of the Sea (UNCLOS).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stressed that continuing the positive engagement of ASEAN-China is essential in moving</w:t>
      </w:r>
      <w:r w:rsidR="00146EED">
        <w:t xml:space="preserve"> </w:t>
      </w:r>
      <w:r>
        <w:t>forward the DOC issue. We stressed the need to further inten</w:t>
      </w:r>
      <w:r w:rsidR="00146EED">
        <w:t xml:space="preserve">sify the efforts of both ASEAN </w:t>
      </w:r>
      <w:r>
        <w:t>and China to ensure the effective and full implementation of the DOC and move forward the</w:t>
      </w:r>
      <w:r w:rsidR="00146EED">
        <w:t xml:space="preserve"> </w:t>
      </w:r>
      <w:r>
        <w:t>eventual conclusion of a Regional Code of Conduct (COC).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welcomed the convening of the 6th ASEAN-China Joint Working Group on the DOC on</w:t>
      </w:r>
      <w:r w:rsidR="00146EED">
        <w:t xml:space="preserve"> </w:t>
      </w:r>
      <w:r>
        <w:t>18-20 April 2011 in Medan, Indonesia. In this connection, we encouraged the continued</w:t>
      </w:r>
      <w:r w:rsidR="00146EED">
        <w:t xml:space="preserve"> </w:t>
      </w:r>
      <w:r>
        <w:t>constructive consultations between ASEAN and China, including the early convening of the</w:t>
      </w:r>
      <w:r w:rsidR="00146EED">
        <w:t xml:space="preserve"> </w:t>
      </w:r>
      <w:r>
        <w:t>ASEAN-China SOM on the DOC. We therefore reaffirm the principle of ASEAN, on the</w:t>
      </w:r>
      <w:r w:rsidR="00146EED">
        <w:t xml:space="preserve"> </w:t>
      </w:r>
      <w:r>
        <w:t>basis of unity and solidarity, to coordinate and to endeavour to develop common positions in</w:t>
      </w:r>
      <w:r w:rsidR="00146EED">
        <w:t xml:space="preserve"> </w:t>
      </w:r>
      <w:r>
        <w:t>its dialogues with its Dialogue Partners.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resolved to take advantage of the momentum of the anniversary of the 20 years of</w:t>
      </w:r>
      <w:r w:rsidR="00146EED">
        <w:t xml:space="preserve"> </w:t>
      </w:r>
      <w:r>
        <w:t>ASEAN-China relations in 2011 and 10 years of the adoption of the DOC in 2012 to finalize</w:t>
      </w:r>
      <w:r w:rsidR="00146EED">
        <w:t xml:space="preserve"> </w:t>
      </w:r>
      <w:r>
        <w:t>the Guidelines on the implementation of the DOC and initiate discussions on a regional COC.</w:t>
      </w:r>
    </w:p>
    <w:p w:rsidR="00816671" w:rsidRDefault="00816671" w:rsidP="00A17CED">
      <w:pPr>
        <w:pStyle w:val="Heading2"/>
      </w:pPr>
      <w:bookmarkStart w:id="59" w:name="_Toc477950138"/>
      <w:r>
        <w:lastRenderedPageBreak/>
        <w:t>Korean Peninsula</w:t>
      </w:r>
      <w:bookmarkEnd w:id="59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expressed concern at the situation on the Korean Peninsula. Considering the ramifications</w:t>
      </w:r>
      <w:r w:rsidR="00146EED">
        <w:t xml:space="preserve"> </w:t>
      </w:r>
      <w:r>
        <w:t>toward the Asia-Pacific region, we resolved to continue sup</w:t>
      </w:r>
      <w:r w:rsidR="00146EED">
        <w:t xml:space="preserve">porting the Six-party Talks, by </w:t>
      </w:r>
      <w:r>
        <w:t>helping create conditions conducive to the resumption of the Talks. This can be achieved</w:t>
      </w:r>
      <w:r w:rsidR="00146EED">
        <w:t xml:space="preserve"> </w:t>
      </w:r>
      <w:r>
        <w:t>particularly by optimizing the use of the ASEAN Regional Forum. We encourage ASEAN</w:t>
      </w:r>
      <w:r w:rsidR="00146EED">
        <w:t xml:space="preserve"> </w:t>
      </w:r>
      <w:r>
        <w:t>Foreign Ministers to continue exploring ways and means to enhance ASEAN’s potential</w:t>
      </w:r>
      <w:r w:rsidR="00146EED">
        <w:t xml:space="preserve"> </w:t>
      </w:r>
      <w:r>
        <w:t>contribution to the resolution of the conflict.</w:t>
      </w:r>
    </w:p>
    <w:p w:rsidR="00816671" w:rsidRDefault="00816671" w:rsidP="00A17CED">
      <w:pPr>
        <w:pStyle w:val="Heading2"/>
      </w:pPr>
      <w:bookmarkStart w:id="60" w:name="_Toc477950139"/>
      <w:r>
        <w:t>Middle East</w:t>
      </w:r>
      <w:bookmarkEnd w:id="60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reviewed with concern the developments in the domestic political crises in some countries</w:t>
      </w:r>
      <w:r w:rsidR="00146EED">
        <w:t xml:space="preserve"> </w:t>
      </w:r>
      <w:r>
        <w:t>in the Middle East and North Africa.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expressed hope that the political unrest occurring in some parts of the region would be</w:t>
      </w:r>
      <w:r w:rsidR="00146EED">
        <w:t xml:space="preserve"> </w:t>
      </w:r>
      <w:r>
        <w:t>resolved by peaceful means. We noted with satisfaction</w:t>
      </w:r>
      <w:r w:rsidR="00146EED">
        <w:t xml:space="preserve"> that, amidst the unrest, ASEAN </w:t>
      </w:r>
      <w:r>
        <w:t>Member States, through their respective embassies in the affected countries, have lent support</w:t>
      </w:r>
      <w:r w:rsidR="00146EED">
        <w:t xml:space="preserve"> </w:t>
      </w:r>
      <w:r>
        <w:t>to one another in assisting their nationals to reach safety.</w:t>
      </w:r>
    </w:p>
    <w:p w:rsidR="00816671" w:rsidRDefault="00816671" w:rsidP="00A17CED">
      <w:pPr>
        <w:pStyle w:val="Heading2"/>
      </w:pPr>
      <w:bookmarkStart w:id="61" w:name="_Toc477950140"/>
      <w:r>
        <w:t>Palestine</w:t>
      </w:r>
      <w:bookmarkEnd w:id="61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welcomed recent developments in Palestine, particularly the reconciliation between</w:t>
      </w:r>
      <w:r w:rsidR="00146EED">
        <w:t xml:space="preserve"> </w:t>
      </w:r>
      <w:r>
        <w:t>Palestine factions which was facilitated by Egypt. This recon</w:t>
      </w:r>
      <w:r w:rsidR="00146EED">
        <w:t xml:space="preserve">ciliation is fundamental in the </w:t>
      </w:r>
      <w:r>
        <w:t>struggle of the Palestinian people in attaining an independent and sovereign Palestinian state.</w:t>
      </w:r>
    </w:p>
    <w:p w:rsidR="00816671" w:rsidRDefault="00816671" w:rsidP="00A17CED">
      <w:pPr>
        <w:pStyle w:val="Heading2"/>
      </w:pPr>
      <w:bookmarkStart w:id="62" w:name="_Toc477950141"/>
      <w:r>
        <w:t>G-20</w:t>
      </w:r>
      <w:bookmarkEnd w:id="62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 xml:space="preserve">We welcomed the results of the G-20 Summit in Seoul, particularly the adoption </w:t>
      </w:r>
      <w:r w:rsidR="00146EED">
        <w:t xml:space="preserve">of the agenda </w:t>
      </w:r>
      <w:r>
        <w:t>for development, as provided in the “Seoul Development Con</w:t>
      </w:r>
      <w:r w:rsidR="00146EED">
        <w:t xml:space="preserve">sensus”, as an integral part of </w:t>
      </w:r>
      <w:r>
        <w:t>the G20 Framework for Strong, Sustainable and Balanced Growth. We cited the agenda as in</w:t>
      </w:r>
      <w:r w:rsidR="00146EED">
        <w:t xml:space="preserve"> </w:t>
      </w:r>
      <w:r>
        <w:t>accordance with the developing countries’ interests and conducive to comprehensive and</w:t>
      </w:r>
      <w:r w:rsidR="00146EED">
        <w:t xml:space="preserve"> </w:t>
      </w:r>
      <w:r>
        <w:t>balanced ideas on the development of the global economic and financial architecture. We</w:t>
      </w:r>
      <w:r w:rsidR="00146EED">
        <w:t xml:space="preserve"> </w:t>
      </w:r>
      <w:r>
        <w:t>reiterated our support for the continuance of discussions on the issues of financial safety net,</w:t>
      </w:r>
      <w:r w:rsidR="00146EED">
        <w:t xml:space="preserve"> </w:t>
      </w:r>
      <w:r>
        <w:t>the reform of international financial institutions, the commitment to free and fair trade and</w:t>
      </w:r>
      <w:r w:rsidR="00146EED">
        <w:t xml:space="preserve"> </w:t>
      </w:r>
      <w:r>
        <w:t>resisting protectionism.</w:t>
      </w:r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underscored the need to reform the global economic architecture to meet global challenges</w:t>
      </w:r>
      <w:r w:rsidR="00146EED">
        <w:t xml:space="preserve"> </w:t>
      </w:r>
      <w:r>
        <w:t>such as supporting and stabilizing the global econo</w:t>
      </w:r>
      <w:r w:rsidR="00146EED">
        <w:t xml:space="preserve">my and addressing the impact of </w:t>
      </w:r>
      <w:r>
        <w:t>commodities and energy price volatility. In line with the ASEAN theme for 2011, we further</w:t>
      </w:r>
      <w:r w:rsidR="00146EED">
        <w:t xml:space="preserve"> </w:t>
      </w:r>
      <w:r>
        <w:t>underlined the importance of ASEAN playing a more active role in reform of the global</w:t>
      </w:r>
      <w:r w:rsidR="00146EED">
        <w:t xml:space="preserve"> </w:t>
      </w:r>
      <w:r>
        <w:t>economic governance. We stressed the need for the ASEAN Chair to be invited to participate</w:t>
      </w:r>
      <w:r w:rsidR="00146EED">
        <w:t xml:space="preserve"> </w:t>
      </w:r>
      <w:r>
        <w:t>in the G-20 Summits on a regular basis.</w:t>
      </w:r>
    </w:p>
    <w:p w:rsidR="00816671" w:rsidRDefault="00816671" w:rsidP="00A17CED">
      <w:pPr>
        <w:pStyle w:val="Heading2"/>
      </w:pPr>
      <w:bookmarkStart w:id="63" w:name="_Toc477950142"/>
      <w:r>
        <w:t>Millennium Development Goals (MDGs)</w:t>
      </w:r>
      <w:bookmarkEnd w:id="63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affirmed ASEAN’s commitment to fully address socio-economic disparities and poverty</w:t>
      </w:r>
      <w:r w:rsidR="00146EED">
        <w:t xml:space="preserve"> </w:t>
      </w:r>
      <w:r>
        <w:t>that persist across ASEAN Member States by developing and implementing an ASEAN</w:t>
      </w:r>
      <w:r w:rsidR="00146EED">
        <w:t xml:space="preserve"> </w:t>
      </w:r>
      <w:r>
        <w:t>Roadmap towards realizing the Millennium Development Goals (MDGs). We renewed our</w:t>
      </w:r>
      <w:r w:rsidR="00146EED">
        <w:t xml:space="preserve"> </w:t>
      </w:r>
      <w:r>
        <w:t>commitment in the Joint Declaration on the Attainment of the Millennium Development Goals</w:t>
      </w:r>
      <w:r w:rsidR="00146EED">
        <w:t xml:space="preserve"> </w:t>
      </w:r>
      <w:r>
        <w:t>in ASEAN, underscoring the importance of better coordination and participation of all key</w:t>
      </w:r>
      <w:r w:rsidR="00146EED">
        <w:t xml:space="preserve"> </w:t>
      </w:r>
      <w:r>
        <w:t>stakeholders, including public and private sectors, civil societies and UN specialized agencies,</w:t>
      </w:r>
      <w:r w:rsidR="00146EED">
        <w:t xml:space="preserve"> </w:t>
      </w:r>
      <w:r>
        <w:t xml:space="preserve">in implementing the MDGs. We called upon ASEAN Member States to further </w:t>
      </w:r>
      <w:r>
        <w:lastRenderedPageBreak/>
        <w:t>strengthen our</w:t>
      </w:r>
      <w:r w:rsidR="00146EED">
        <w:t xml:space="preserve"> </w:t>
      </w:r>
      <w:r>
        <w:t>efforts at poverty alleviation towards narrowing the development gap within ASEAN.</w:t>
      </w:r>
    </w:p>
    <w:p w:rsidR="00816671" w:rsidRDefault="00816671" w:rsidP="00A17CED">
      <w:pPr>
        <w:pStyle w:val="Heading2"/>
      </w:pPr>
      <w:bookmarkStart w:id="64" w:name="_Toc477950143"/>
      <w:r>
        <w:t>Non-Aligned Movement (NAM)</w:t>
      </w:r>
      <w:bookmarkEnd w:id="64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affirmed our confidence in the relevance of the Non Aligned Movement’s principles and</w:t>
      </w:r>
      <w:r w:rsidR="00146EED">
        <w:t xml:space="preserve"> </w:t>
      </w:r>
      <w:r>
        <w:t>role in the pursuit of the interests of developing countries in multilateral fora and in the</w:t>
      </w:r>
      <w:r w:rsidR="00146EED">
        <w:t xml:space="preserve"> </w:t>
      </w:r>
      <w:r>
        <w:t>solution of global challenges. We expressed our support for Indonesia’s hosting of the 118</w:t>
      </w:r>
      <w:r w:rsidRPr="00A17CED">
        <w:rPr>
          <w:vertAlign w:val="superscript"/>
        </w:rPr>
        <w:t>th</w:t>
      </w:r>
      <w:r w:rsidR="00146EED">
        <w:t xml:space="preserve"> </w:t>
      </w:r>
      <w:r>
        <w:t>meeting of Foreign Ministers of Non-Aligned Countries in Bali, May 2011, and the</w:t>
      </w:r>
      <w:r w:rsidR="00146EED">
        <w:t xml:space="preserve"> </w:t>
      </w:r>
      <w:r>
        <w:t>commemoration of the 50th Anniversary of the Establishment of the Non-Aligned Movement.</w:t>
      </w:r>
    </w:p>
    <w:p w:rsidR="00816671" w:rsidRDefault="00816671" w:rsidP="00A17CED">
      <w:pPr>
        <w:pStyle w:val="Heading1"/>
      </w:pPr>
      <w:bookmarkStart w:id="65" w:name="_Toc477950144"/>
      <w:r>
        <w:t>OTHER ISSUES</w:t>
      </w:r>
      <w:bookmarkEnd w:id="65"/>
    </w:p>
    <w:p w:rsidR="00816671" w:rsidRDefault="00816671" w:rsidP="00A17CED">
      <w:pPr>
        <w:pStyle w:val="Heading2"/>
      </w:pPr>
      <w:bookmarkStart w:id="66" w:name="_Toc477950145"/>
      <w:r>
        <w:t>Timor-Leste’s Formal Request to be a Full Member of ASEAN</w:t>
      </w:r>
      <w:bookmarkEnd w:id="66"/>
    </w:p>
    <w:p w:rsidR="00816671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came to an understanding that the discussion on Timor-Leste’s formal request to be a</w:t>
      </w:r>
      <w:r w:rsidR="00146EED">
        <w:t xml:space="preserve"> </w:t>
      </w:r>
      <w:r>
        <w:t>member of ASEAN needs further consideration. In this</w:t>
      </w:r>
      <w:r w:rsidR="00146EED">
        <w:t xml:space="preserve"> context, we tasked the Foreign </w:t>
      </w:r>
      <w:r>
        <w:t>Ministers, in their capacity as the ASEAN Coordinating Counc</w:t>
      </w:r>
      <w:r w:rsidR="00146EED">
        <w:t xml:space="preserve">il, to look at this issue very </w:t>
      </w:r>
      <w:r>
        <w:t>closely and provide recommendations for the Leaders’ consideration at a later stage with a</w:t>
      </w:r>
      <w:r w:rsidR="00146EED">
        <w:t xml:space="preserve"> </w:t>
      </w:r>
      <w:r>
        <w:t>view to a decision later in 2011.</w:t>
      </w:r>
    </w:p>
    <w:p w:rsidR="00816671" w:rsidRDefault="00816671" w:rsidP="00A17CED">
      <w:pPr>
        <w:pStyle w:val="Heading2"/>
      </w:pPr>
      <w:bookmarkStart w:id="67" w:name="_Toc477950146"/>
      <w:r>
        <w:t>The Ottawa Convention to Ban Anti-Personnel Landmines</w:t>
      </w:r>
      <w:bookmarkEnd w:id="67"/>
    </w:p>
    <w:p w:rsidR="00F61B4F" w:rsidRPr="009C1F90" w:rsidRDefault="00816671" w:rsidP="008F53BA">
      <w:pPr>
        <w:pStyle w:val="ListParagraph"/>
        <w:numPr>
          <w:ilvl w:val="0"/>
          <w:numId w:val="2"/>
        </w:numPr>
        <w:ind w:hanging="482"/>
        <w:contextualSpacing w:val="0"/>
      </w:pPr>
      <w:r>
        <w:t>We welcomed the convening of the 11th Meeting of Parties to the Ottawa Convention to Ban</w:t>
      </w:r>
      <w:r w:rsidR="00146EED">
        <w:t xml:space="preserve"> </w:t>
      </w:r>
      <w:r>
        <w:t>Anti-Personnel Landmines in Phnom Penh from 28th No</w:t>
      </w:r>
      <w:r w:rsidR="00146EED">
        <w:t xml:space="preserve">vember to 2nd December 2011 and </w:t>
      </w:r>
      <w:r>
        <w:t>encouraged ASEAN Member States to send the representatives t</w:t>
      </w:r>
      <w:r w:rsidR="00146EED">
        <w:t xml:space="preserve">o participate in the meeting in </w:t>
      </w:r>
      <w:r>
        <w:t>order to show solidarity and commitment to peace and securi</w:t>
      </w:r>
      <w:r w:rsidR="008F53BA">
        <w:t>ty in our region and the world.</w:t>
      </w:r>
    </w:p>
    <w:sectPr w:rsidR="00F61B4F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23" w:rsidRDefault="00262423" w:rsidP="00F61B4F">
      <w:pPr>
        <w:spacing w:before="0" w:after="0" w:line="240" w:lineRule="auto"/>
      </w:pPr>
      <w:r>
        <w:separator/>
      </w:r>
    </w:p>
  </w:endnote>
  <w:endnote w:type="continuationSeparator" w:id="0">
    <w:p w:rsidR="00262423" w:rsidRDefault="00262423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C6" w:rsidRDefault="00A929C6" w:rsidP="00F61B4F">
    <w:pPr>
      <w:pStyle w:val="Footer"/>
      <w:tabs>
        <w:tab w:val="clear" w:pos="9360"/>
        <w:tab w:val="right" w:pos="8931"/>
      </w:tabs>
      <w:jc w:val="right"/>
    </w:pPr>
  </w:p>
  <w:p w:rsidR="00A929C6" w:rsidRPr="00F61B4F" w:rsidRDefault="00A929C6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905FE3">
      <w:rPr>
        <w:rFonts w:cs="Arial"/>
        <w:noProof/>
        <w:color w:val="7F7F7F"/>
        <w:sz w:val="16"/>
        <w:szCs w:val="16"/>
      </w:rPr>
      <w:t>21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905FE3">
      <w:rPr>
        <w:rFonts w:cs="Arial"/>
        <w:noProof/>
        <w:color w:val="7F7F7F"/>
        <w:sz w:val="16"/>
        <w:szCs w:val="16"/>
      </w:rPr>
      <w:t>23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C6" w:rsidRDefault="00A929C6" w:rsidP="00F61B4F">
    <w:pPr>
      <w:pStyle w:val="Footer"/>
      <w:tabs>
        <w:tab w:val="clear" w:pos="9360"/>
        <w:tab w:val="right" w:pos="8931"/>
      </w:tabs>
      <w:jc w:val="right"/>
    </w:pPr>
  </w:p>
  <w:p w:rsidR="00A929C6" w:rsidRPr="00F61B4F" w:rsidRDefault="00A929C6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23" w:rsidRDefault="00262423" w:rsidP="00F61B4F">
      <w:pPr>
        <w:spacing w:before="0" w:after="0" w:line="240" w:lineRule="auto"/>
      </w:pPr>
      <w:r>
        <w:separator/>
      </w:r>
    </w:p>
  </w:footnote>
  <w:footnote w:type="continuationSeparator" w:id="0">
    <w:p w:rsidR="00262423" w:rsidRDefault="00262423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C6" w:rsidRPr="00A929C6" w:rsidRDefault="00A929C6" w:rsidP="00A929C6">
    <w:pPr>
      <w:pStyle w:val="Header"/>
      <w:pBdr>
        <w:bottom w:val="single" w:sz="4" w:space="1" w:color="auto"/>
      </w:pBdr>
    </w:pPr>
    <w:r w:rsidRPr="00A929C6">
      <w:rPr>
        <w:rFonts w:cs="Arial"/>
        <w:caps/>
        <w:color w:val="808080"/>
        <w:sz w:val="16"/>
        <w:szCs w:val="16"/>
      </w:rPr>
      <w:t>2011 CHAIRMAN’S STATEMENT OF THE 18TH ASEAN SUMMIT “ASEAN COMMUNITY IN A GLOBAL COMMUNITY OF NATIONS”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541"/>
    <w:multiLevelType w:val="hybridMultilevel"/>
    <w:tmpl w:val="423A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8D0"/>
    <w:multiLevelType w:val="hybridMultilevel"/>
    <w:tmpl w:val="2BAC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D05"/>
    <w:multiLevelType w:val="hybridMultilevel"/>
    <w:tmpl w:val="B2EA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53C2"/>
    <w:multiLevelType w:val="hybridMultilevel"/>
    <w:tmpl w:val="F534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3543"/>
    <w:multiLevelType w:val="hybridMultilevel"/>
    <w:tmpl w:val="01FC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1C67"/>
    <w:multiLevelType w:val="hybridMultilevel"/>
    <w:tmpl w:val="9CCE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8A2"/>
    <w:multiLevelType w:val="hybridMultilevel"/>
    <w:tmpl w:val="429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1A9B"/>
    <w:multiLevelType w:val="hybridMultilevel"/>
    <w:tmpl w:val="C93A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775F"/>
    <w:multiLevelType w:val="hybridMultilevel"/>
    <w:tmpl w:val="6EDA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85BBD"/>
    <w:multiLevelType w:val="hybridMultilevel"/>
    <w:tmpl w:val="5BF8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7EDB"/>
    <w:multiLevelType w:val="hybridMultilevel"/>
    <w:tmpl w:val="EAE2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63D5"/>
    <w:multiLevelType w:val="hybridMultilevel"/>
    <w:tmpl w:val="40324F24"/>
    <w:lvl w:ilvl="0" w:tplc="C1F218D8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A23C0"/>
    <w:multiLevelType w:val="hybridMultilevel"/>
    <w:tmpl w:val="8A00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7300"/>
    <w:multiLevelType w:val="hybridMultilevel"/>
    <w:tmpl w:val="1968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71E0"/>
    <w:multiLevelType w:val="hybridMultilevel"/>
    <w:tmpl w:val="BF72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7FCF"/>
    <w:multiLevelType w:val="hybridMultilevel"/>
    <w:tmpl w:val="E9FA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5536"/>
    <w:multiLevelType w:val="hybridMultilevel"/>
    <w:tmpl w:val="E2EE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3E51"/>
    <w:multiLevelType w:val="hybridMultilevel"/>
    <w:tmpl w:val="F954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A1862"/>
    <w:multiLevelType w:val="hybridMultilevel"/>
    <w:tmpl w:val="2300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A22D4"/>
    <w:multiLevelType w:val="hybridMultilevel"/>
    <w:tmpl w:val="A8F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93E56"/>
    <w:multiLevelType w:val="hybridMultilevel"/>
    <w:tmpl w:val="6876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15BB"/>
    <w:multiLevelType w:val="hybridMultilevel"/>
    <w:tmpl w:val="9718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24EA"/>
    <w:multiLevelType w:val="hybridMultilevel"/>
    <w:tmpl w:val="C0889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279B0"/>
    <w:multiLevelType w:val="hybridMultilevel"/>
    <w:tmpl w:val="653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A35A7"/>
    <w:multiLevelType w:val="hybridMultilevel"/>
    <w:tmpl w:val="181A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E0A4E"/>
    <w:multiLevelType w:val="hybridMultilevel"/>
    <w:tmpl w:val="E2765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F2E45"/>
    <w:multiLevelType w:val="hybridMultilevel"/>
    <w:tmpl w:val="9FE6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C6EE8"/>
    <w:multiLevelType w:val="hybridMultilevel"/>
    <w:tmpl w:val="4A32E5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128CB"/>
    <w:multiLevelType w:val="hybridMultilevel"/>
    <w:tmpl w:val="671A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E7560"/>
    <w:multiLevelType w:val="hybridMultilevel"/>
    <w:tmpl w:val="75D2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106D6"/>
    <w:multiLevelType w:val="hybridMultilevel"/>
    <w:tmpl w:val="E3FC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F0317"/>
    <w:multiLevelType w:val="hybridMultilevel"/>
    <w:tmpl w:val="872AF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67E29"/>
    <w:multiLevelType w:val="hybridMultilevel"/>
    <w:tmpl w:val="7890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20318"/>
    <w:multiLevelType w:val="hybridMultilevel"/>
    <w:tmpl w:val="D7E6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E1F22"/>
    <w:multiLevelType w:val="hybridMultilevel"/>
    <w:tmpl w:val="0A14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35680"/>
    <w:multiLevelType w:val="hybridMultilevel"/>
    <w:tmpl w:val="49A8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F504B"/>
    <w:multiLevelType w:val="hybridMultilevel"/>
    <w:tmpl w:val="31E69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1"/>
  </w:num>
  <w:num w:numId="5">
    <w:abstractNumId w:val="30"/>
  </w:num>
  <w:num w:numId="6">
    <w:abstractNumId w:val="10"/>
  </w:num>
  <w:num w:numId="7">
    <w:abstractNumId w:val="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21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  <w:num w:numId="17">
    <w:abstractNumId w:val="25"/>
  </w:num>
  <w:num w:numId="18">
    <w:abstractNumId w:val="19"/>
  </w:num>
  <w:num w:numId="19">
    <w:abstractNumId w:val="1"/>
  </w:num>
  <w:num w:numId="20">
    <w:abstractNumId w:val="34"/>
  </w:num>
  <w:num w:numId="21">
    <w:abstractNumId w:val="20"/>
  </w:num>
  <w:num w:numId="22">
    <w:abstractNumId w:val="4"/>
  </w:num>
  <w:num w:numId="23">
    <w:abstractNumId w:val="32"/>
  </w:num>
  <w:num w:numId="24">
    <w:abstractNumId w:val="14"/>
  </w:num>
  <w:num w:numId="25">
    <w:abstractNumId w:val="33"/>
  </w:num>
  <w:num w:numId="26">
    <w:abstractNumId w:val="9"/>
  </w:num>
  <w:num w:numId="27">
    <w:abstractNumId w:val="29"/>
  </w:num>
  <w:num w:numId="28">
    <w:abstractNumId w:val="35"/>
  </w:num>
  <w:num w:numId="29">
    <w:abstractNumId w:val="31"/>
  </w:num>
  <w:num w:numId="30">
    <w:abstractNumId w:val="27"/>
  </w:num>
  <w:num w:numId="31">
    <w:abstractNumId w:val="0"/>
  </w:num>
  <w:num w:numId="32">
    <w:abstractNumId w:val="18"/>
  </w:num>
  <w:num w:numId="33">
    <w:abstractNumId w:val="22"/>
  </w:num>
  <w:num w:numId="34">
    <w:abstractNumId w:val="23"/>
  </w:num>
  <w:num w:numId="35">
    <w:abstractNumId w:val="36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54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E42"/>
    <w:rsid w:val="00080FD6"/>
    <w:rsid w:val="00081E70"/>
    <w:rsid w:val="00082260"/>
    <w:rsid w:val="000922A6"/>
    <w:rsid w:val="0009558E"/>
    <w:rsid w:val="00096105"/>
    <w:rsid w:val="00097F77"/>
    <w:rsid w:val="000A329C"/>
    <w:rsid w:val="000B02EF"/>
    <w:rsid w:val="000B197F"/>
    <w:rsid w:val="000C2967"/>
    <w:rsid w:val="000C2CE8"/>
    <w:rsid w:val="000C49F6"/>
    <w:rsid w:val="000C4DCF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36EE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46EED"/>
    <w:rsid w:val="00153722"/>
    <w:rsid w:val="0015683A"/>
    <w:rsid w:val="001648EA"/>
    <w:rsid w:val="001669E3"/>
    <w:rsid w:val="001728AB"/>
    <w:rsid w:val="00172E71"/>
    <w:rsid w:val="0017466F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26239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423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2854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3307E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D6D82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181E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67570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6671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3BA"/>
    <w:rsid w:val="008F5F21"/>
    <w:rsid w:val="008F7A5C"/>
    <w:rsid w:val="009052CB"/>
    <w:rsid w:val="00905FE3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21C9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17CED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29C6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217E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4E2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048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017E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9CA1-421A-412E-AC4F-424C2255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4DC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0C4DC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BalloonText">
    <w:name w:val="Balloon Text"/>
    <w:basedOn w:val="Normal"/>
    <w:link w:val="BalloonTextChar"/>
    <w:uiPriority w:val="99"/>
    <w:semiHidden/>
    <w:unhideWhenUsed/>
    <w:rsid w:val="00A929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9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9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S\Dropbox\Agatha%20Formatting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FD2D-3F41-4C21-B859-84DDC372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0</TotalTime>
  <Pages>23</Pages>
  <Words>10455</Words>
  <Characters>59599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69915</CharactersWithSpaces>
  <SharedDoc>false</SharedDoc>
  <HLinks>
    <vt:vector size="414" baseType="variant">
      <vt:variant>
        <vt:i4>1900599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_Toc477950146</vt:lpwstr>
      </vt:variant>
      <vt:variant>
        <vt:i4>1900599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_Toc477950145</vt:lpwstr>
      </vt:variant>
      <vt:variant>
        <vt:i4>1900599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_Toc477950144</vt:lpwstr>
      </vt:variant>
      <vt:variant>
        <vt:i4>1900599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_Toc477950143</vt:lpwstr>
      </vt:variant>
      <vt:variant>
        <vt:i4>1900599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_Toc477950142</vt:lpwstr>
      </vt:variant>
      <vt:variant>
        <vt:i4>1900599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_Toc477950141</vt:lpwstr>
      </vt:variant>
      <vt:variant>
        <vt:i4>1900599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_Toc477950140</vt:lpwstr>
      </vt:variant>
      <vt:variant>
        <vt:i4>1703991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_Toc477950139</vt:lpwstr>
      </vt:variant>
      <vt:variant>
        <vt:i4>1703991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_Toc477950138</vt:lpwstr>
      </vt:variant>
      <vt:variant>
        <vt:i4>1703991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_Toc477950137</vt:lpwstr>
      </vt:variant>
      <vt:variant>
        <vt:i4>1703991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_Toc477950136</vt:lpwstr>
      </vt:variant>
      <vt:variant>
        <vt:i4>1703991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_Toc477950135</vt:lpwstr>
      </vt:variant>
      <vt:variant>
        <vt:i4>1703991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_Toc477950134</vt:lpwstr>
      </vt:variant>
      <vt:variant>
        <vt:i4>1703991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_Toc477950133</vt:lpwstr>
      </vt:variant>
      <vt:variant>
        <vt:i4>1703991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_Toc477950132</vt:lpwstr>
      </vt:variant>
      <vt:variant>
        <vt:i4>1703991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_Toc477950131</vt:lpwstr>
      </vt:variant>
      <vt:variant>
        <vt:i4>1703991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_Toc477950130</vt:lpwstr>
      </vt:variant>
      <vt:variant>
        <vt:i4>1769527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_Toc477950129</vt:lpwstr>
      </vt:variant>
      <vt:variant>
        <vt:i4>1769527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_Toc477950128</vt:lpwstr>
      </vt:variant>
      <vt:variant>
        <vt:i4>1769527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_Toc477950127</vt:lpwstr>
      </vt:variant>
      <vt:variant>
        <vt:i4>1769527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_Toc477950126</vt:lpwstr>
      </vt:variant>
      <vt:variant>
        <vt:i4>1769527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_Toc477950125</vt:lpwstr>
      </vt:variant>
      <vt:variant>
        <vt:i4>1769527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_Toc477950124</vt:lpwstr>
      </vt:variant>
      <vt:variant>
        <vt:i4>1769527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_Toc477950123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_Toc477950122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_Toc477950121</vt:lpwstr>
      </vt:variant>
      <vt:variant>
        <vt:i4>1769527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_Toc477950120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_Toc477950119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_Toc477950118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_Toc477950117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_Toc477950116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_Toc477950115</vt:lpwstr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_Toc477950114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_Toc477950113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_Toc477950112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_Toc477950111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_Toc477950110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_Toc477950109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_Toc477950108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_Toc477950107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_Toc477950106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_Toc477950105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_Toc477950104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_Toc477950103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_Toc477950102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_Toc477950101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_Toc477950100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_Toc477950099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_Toc477950098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_Toc477950097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_Toc477950096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_Toc477950095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_Toc477950094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_Toc477950093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_Toc477950092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_Toc477950091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_Toc477950090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_Toc477950089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_Toc477950088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_Toc477950087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_Toc477950086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_Toc477950085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_Toc477950084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_Toc477950083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_Toc477950082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_Toc477950081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_Toc477950080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Nurul Asyiqin Bte Shaharudin</cp:lastModifiedBy>
  <cp:revision>2</cp:revision>
  <dcterms:created xsi:type="dcterms:W3CDTF">2018-05-30T07:20:00Z</dcterms:created>
  <dcterms:modified xsi:type="dcterms:W3CDTF">2018-05-30T07:20:00Z</dcterms:modified>
</cp:coreProperties>
</file>