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5A" w:rsidRDefault="008F3D5A" w:rsidP="008F3D5A">
      <w:pPr>
        <w:pStyle w:val="CILTitle"/>
      </w:pPr>
      <w:r w:rsidRPr="0048773C">
        <w:t>2011 Optional Protocol to the Convention on the Rights of the Child on a Communications Procedure</w:t>
      </w:r>
    </w:p>
    <w:p w:rsidR="00443871" w:rsidRDefault="008F3D5A" w:rsidP="00443871">
      <w:pPr>
        <w:pStyle w:val="CILSubtitle"/>
      </w:pPr>
      <w:r>
        <w:t xml:space="preserve">Adopted in </w:t>
      </w:r>
      <w:r w:rsidRPr="00BB226A">
        <w:t>New York,</w:t>
      </w:r>
      <w:r>
        <w:t xml:space="preserve"> USA on 1</w:t>
      </w:r>
      <w:r w:rsidRPr="00BB226A">
        <w:t>9 December 2011</w:t>
      </w:r>
    </w:p>
    <w:p w:rsidR="009356D3" w:rsidRDefault="009356D3" w:rsidP="00443871">
      <w:pPr>
        <w:pStyle w:val="CILSubtitle"/>
      </w:pPr>
    </w:p>
    <w:p w:rsidR="008B7927" w:rsidRDefault="0044387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4"/>
          <w:szCs w:val="24"/>
          <w:lang w:val="en-SG" w:eastAsia="zh-CN"/>
        </w:rPr>
      </w:pPr>
      <w:r>
        <w:fldChar w:fldCharType="begin"/>
      </w:r>
      <w:r>
        <w:instrText xml:space="preserve"> TOC \h \z \t "CIL 1 Heading,1,CIL 2 Heading,2" </w:instrText>
      </w:r>
      <w:r>
        <w:fldChar w:fldCharType="separate"/>
      </w:r>
      <w:hyperlink w:anchor="_Toc77933761" w:history="1">
        <w:r w:rsidR="008B7927" w:rsidRPr="003C2B40">
          <w:rPr>
            <w:rStyle w:val="Hyperlink"/>
            <w:caps w:val="0"/>
            <w:noProof/>
          </w:rPr>
          <w:t>PART I  GENERAL PROVISIONS</w:t>
        </w:r>
        <w:r w:rsidR="008B7927">
          <w:rPr>
            <w:caps w:val="0"/>
            <w:noProof/>
            <w:webHidden/>
          </w:rPr>
          <w:tab/>
        </w:r>
        <w:r w:rsidR="008B7927">
          <w:rPr>
            <w:noProof/>
            <w:webHidden/>
          </w:rPr>
          <w:fldChar w:fldCharType="begin"/>
        </w:r>
        <w:r w:rsidR="008B7927">
          <w:rPr>
            <w:noProof/>
            <w:webHidden/>
          </w:rPr>
          <w:instrText xml:space="preserve"> PAGEREF _Toc77933761 \h </w:instrText>
        </w:r>
        <w:r w:rsidR="008B7927">
          <w:rPr>
            <w:noProof/>
            <w:webHidden/>
          </w:rPr>
        </w:r>
        <w:r w:rsidR="008B7927">
          <w:rPr>
            <w:noProof/>
            <w:webHidden/>
          </w:rPr>
          <w:fldChar w:fldCharType="separate"/>
        </w:r>
        <w:r w:rsidR="008B7927">
          <w:rPr>
            <w:caps w:val="0"/>
            <w:noProof/>
            <w:webHidden/>
          </w:rPr>
          <w:t>3</w:t>
        </w:r>
        <w:r w:rsidR="008B7927"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62" w:history="1">
        <w:r w:rsidRPr="003C2B40">
          <w:rPr>
            <w:rStyle w:val="Hyperlink"/>
            <w:noProof/>
          </w:rPr>
          <w:t>ARTICLE 1  COMPETENCE OF THE COMMITTEE ON THE RIGHTS OF THE CHILD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63" w:history="1">
        <w:r w:rsidRPr="003C2B40">
          <w:rPr>
            <w:rStyle w:val="Hyperlink"/>
            <w:noProof/>
          </w:rPr>
          <w:t>ARTICLE 2  GENERAL PRINCIPLES GUIDING THE FUNCTIONS OF THE COMMITTEE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64" w:history="1">
        <w:r w:rsidRPr="003C2B40">
          <w:rPr>
            <w:rStyle w:val="Hyperlink"/>
            <w:noProof/>
          </w:rPr>
          <w:t>ARTICLE 3  RULES OF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65" w:history="1">
        <w:r w:rsidRPr="003C2B40">
          <w:rPr>
            <w:rStyle w:val="Hyperlink"/>
            <w:noProof/>
          </w:rPr>
          <w:t>ARTICLE 4  PROTECTION MEASURES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4"/>
          <w:szCs w:val="24"/>
          <w:lang w:val="en-SG" w:eastAsia="zh-CN"/>
        </w:rPr>
      </w:pPr>
      <w:hyperlink w:anchor="_Toc77933766" w:history="1">
        <w:r w:rsidRPr="003C2B40">
          <w:rPr>
            <w:rStyle w:val="Hyperlink"/>
            <w:caps w:val="0"/>
            <w:noProof/>
          </w:rPr>
          <w:t>PART II  COMMUNICATIONS PROCEDURE</w:t>
        </w:r>
        <w:r>
          <w:rPr>
            <w:caps w:val="0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caps w:val="0"/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67" w:history="1">
        <w:r w:rsidRPr="003C2B40">
          <w:rPr>
            <w:rStyle w:val="Hyperlink"/>
            <w:noProof/>
          </w:rPr>
          <w:t>ARTICLE 5  INDIVIDUAL 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68" w:history="1">
        <w:r w:rsidRPr="003C2B40">
          <w:rPr>
            <w:rStyle w:val="Hyperlink"/>
            <w:noProof/>
          </w:rPr>
          <w:t>ARTICLE 6  INTERIM MEASURES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69" w:history="1">
        <w:r w:rsidRPr="003C2B40">
          <w:rPr>
            <w:rStyle w:val="Hyperlink"/>
            <w:noProof/>
          </w:rPr>
          <w:t>ARTICLE 7  ADMISSIBILITY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70" w:history="1">
        <w:r w:rsidRPr="003C2B40">
          <w:rPr>
            <w:rStyle w:val="Hyperlink"/>
            <w:noProof/>
          </w:rPr>
          <w:t>ARTICLE 8  TRANSMISSION OF THE COMMUNICATION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71" w:history="1">
        <w:r w:rsidRPr="003C2B40">
          <w:rPr>
            <w:rStyle w:val="Hyperlink"/>
            <w:noProof/>
          </w:rPr>
          <w:t>ARTICLE 9  FRIENDLY SETTLEMENT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72" w:history="1">
        <w:r w:rsidRPr="003C2B40">
          <w:rPr>
            <w:rStyle w:val="Hyperlink"/>
            <w:noProof/>
          </w:rPr>
          <w:t>ARTICLE 10  CONSIDERATION OF 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73" w:history="1">
        <w:r w:rsidRPr="003C2B40">
          <w:rPr>
            <w:rStyle w:val="Hyperlink"/>
            <w:noProof/>
          </w:rPr>
          <w:t>ARTICLE 11  FOLLOW-UP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74" w:history="1">
        <w:r w:rsidRPr="003C2B40">
          <w:rPr>
            <w:rStyle w:val="Hyperlink"/>
            <w:noProof/>
          </w:rPr>
          <w:t>ARTICLE 12  INTER-STATE 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4"/>
          <w:szCs w:val="24"/>
          <w:lang w:val="en-SG" w:eastAsia="zh-CN"/>
        </w:rPr>
      </w:pPr>
      <w:hyperlink w:anchor="_Toc77933775" w:history="1">
        <w:r w:rsidRPr="003C2B40">
          <w:rPr>
            <w:rStyle w:val="Hyperlink"/>
            <w:caps w:val="0"/>
            <w:noProof/>
          </w:rPr>
          <w:t>PART III  INQUIRY PROCEDURE</w:t>
        </w:r>
        <w:r>
          <w:rPr>
            <w:caps w:val="0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caps w:val="0"/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76" w:history="1">
        <w:r w:rsidRPr="003C2B40">
          <w:rPr>
            <w:rStyle w:val="Hyperlink"/>
            <w:noProof/>
          </w:rPr>
          <w:t>ARTICLE 13  INQUIRY PROCEDURE FOR GRAVE OR SYSTEMATIC VIOLATIONS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77" w:history="1">
        <w:r w:rsidRPr="003C2B40">
          <w:rPr>
            <w:rStyle w:val="Hyperlink"/>
            <w:noProof/>
          </w:rPr>
          <w:t>ARTICLE 14  FOLLOW-UP TO THE INQUIRY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4"/>
          <w:szCs w:val="24"/>
          <w:lang w:val="en-SG" w:eastAsia="zh-CN"/>
        </w:rPr>
      </w:pPr>
      <w:hyperlink w:anchor="_Toc77933778" w:history="1">
        <w:r w:rsidRPr="003C2B40">
          <w:rPr>
            <w:rStyle w:val="Hyperlink"/>
            <w:caps w:val="0"/>
            <w:noProof/>
          </w:rPr>
          <w:t>PART IV  FINAL PROVISIONS</w:t>
        </w:r>
        <w:r>
          <w:rPr>
            <w:caps w:val="0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caps w:val="0"/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79" w:history="1">
        <w:r w:rsidRPr="003C2B40">
          <w:rPr>
            <w:rStyle w:val="Hyperlink"/>
            <w:noProof/>
          </w:rPr>
          <w:t>ARTICLE 15  INTERNATIONAL ASSISTANCE AND COOPERATION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80" w:history="1">
        <w:r w:rsidRPr="003C2B40">
          <w:rPr>
            <w:rStyle w:val="Hyperlink"/>
            <w:noProof/>
          </w:rPr>
          <w:t>ARTICLE 16  REPORT TO THE GENERAL ASSEMBLY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81" w:history="1">
        <w:r w:rsidRPr="003C2B40">
          <w:rPr>
            <w:rStyle w:val="Hyperlink"/>
            <w:noProof/>
          </w:rPr>
          <w:t>ARTICLE 17  DISSEMINATION OF AND INFORMATION ON THE OPTIONAL PROTOCOL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82" w:history="1">
        <w:r w:rsidRPr="003C2B40">
          <w:rPr>
            <w:rStyle w:val="Hyperlink"/>
            <w:noProof/>
          </w:rPr>
          <w:t>ARTICLE 18  SIGNATURE, RATIFICATION AND ACCESSION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83" w:history="1">
        <w:r w:rsidRPr="003C2B40">
          <w:rPr>
            <w:rStyle w:val="Hyperlink"/>
            <w:noProof/>
          </w:rPr>
          <w:t>ARTICLE 19  ENTRY INTO FORCE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84" w:history="1">
        <w:r w:rsidRPr="003C2B40">
          <w:rPr>
            <w:rStyle w:val="Hyperlink"/>
            <w:noProof/>
          </w:rPr>
          <w:t>ARTICLE 20  VIOLATIONS OCCURRING AFTER THE ENTRY INTO FORCE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85" w:history="1">
        <w:r w:rsidRPr="003C2B40">
          <w:rPr>
            <w:rStyle w:val="Hyperlink"/>
            <w:noProof/>
          </w:rPr>
          <w:t>ARTICLE 21  AMENDMENTS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86" w:history="1">
        <w:r w:rsidRPr="003C2B40">
          <w:rPr>
            <w:rStyle w:val="Hyperlink"/>
            <w:noProof/>
          </w:rPr>
          <w:t>ARTICLE 22  DENUNCIATION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87" w:history="1">
        <w:r w:rsidRPr="003C2B40">
          <w:rPr>
            <w:rStyle w:val="Hyperlink"/>
            <w:noProof/>
          </w:rPr>
          <w:t>ARTICLE 23  DEPOSITARY AND NOTIFICATION BY THE SECRETARY-GENERAL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B7927" w:rsidRDefault="008B792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SG" w:eastAsia="zh-CN"/>
        </w:rPr>
      </w:pPr>
      <w:hyperlink w:anchor="_Toc77933788" w:history="1">
        <w:r w:rsidRPr="003C2B40">
          <w:rPr>
            <w:rStyle w:val="Hyperlink"/>
            <w:noProof/>
          </w:rPr>
          <w:t>ARTICLE 24  LANGUAGES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_Toc77933788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43871" w:rsidRDefault="00443871" w:rsidP="008B7927">
      <w:pPr>
        <w:pStyle w:val="CIL1Heading"/>
      </w:pPr>
      <w:r>
        <w:lastRenderedPageBreak/>
        <w:fldChar w:fldCharType="end"/>
      </w:r>
      <w:bookmarkStart w:id="0" w:name="_GoBack"/>
      <w:bookmarkEnd w:id="0"/>
      <w:r w:rsidRPr="0048773C">
        <w:t>2011 Optional Protocol to the Convention on the Rights of the Child on a Communications Procedure</w:t>
      </w:r>
    </w:p>
    <w:p w:rsidR="008F3D5A" w:rsidRPr="00BB226A" w:rsidRDefault="00443871" w:rsidP="00443871">
      <w:pPr>
        <w:pStyle w:val="CILSubtitle"/>
      </w:pPr>
      <w:r>
        <w:t xml:space="preserve">Adopted in </w:t>
      </w:r>
      <w:r w:rsidRPr="00BB226A">
        <w:t>New York,</w:t>
      </w:r>
      <w:r>
        <w:t xml:space="preserve"> USA on 1</w:t>
      </w:r>
      <w:r w:rsidRPr="00BB226A">
        <w:t>9 December 2011</w:t>
      </w:r>
    </w:p>
    <w:p w:rsidR="008F3D5A" w:rsidRDefault="008F3D5A" w:rsidP="00356432">
      <w:pPr>
        <w:spacing w:before="240" w:after="120" w:line="276" w:lineRule="auto"/>
        <w:jc w:val="both"/>
        <w:rPr>
          <w:rFonts w:ascii="Arial" w:hAnsi="Arial" w:cs="Arial"/>
        </w:rPr>
      </w:pPr>
    </w:p>
    <w:p w:rsidR="000B746C" w:rsidRPr="00356432" w:rsidRDefault="000B746C" w:rsidP="00356432">
      <w:pPr>
        <w:spacing w:before="240" w:after="120" w:line="276" w:lineRule="auto"/>
        <w:jc w:val="both"/>
        <w:rPr>
          <w:rFonts w:ascii="Arial" w:hAnsi="Arial" w:cs="Arial"/>
        </w:rPr>
      </w:pPr>
      <w:r w:rsidRPr="00356432">
        <w:rPr>
          <w:rFonts w:ascii="Arial" w:hAnsi="Arial" w:cs="Arial"/>
        </w:rPr>
        <w:t>The States parties to the present Protocol,</w:t>
      </w:r>
    </w:p>
    <w:p w:rsidR="000B746C" w:rsidRPr="00356432" w:rsidRDefault="000B746C" w:rsidP="00356432">
      <w:pPr>
        <w:spacing w:before="240" w:after="120" w:line="276" w:lineRule="auto"/>
        <w:jc w:val="both"/>
        <w:rPr>
          <w:rFonts w:ascii="Arial" w:hAnsi="Arial" w:cs="Arial"/>
        </w:rPr>
      </w:pPr>
      <w:r w:rsidRPr="00356432">
        <w:rPr>
          <w:rFonts w:ascii="Arial" w:hAnsi="Arial" w:cs="Arial"/>
        </w:rPr>
        <w:t>Considering that, in accordance with the principles proclaimed in the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Charter of the United Nations, the recognition of the inherent dignity and the</w:t>
      </w:r>
      <w:r w:rsidR="008F3D5A">
        <w:rPr>
          <w:rFonts w:ascii="Arial" w:hAnsi="Arial" w:cs="Arial"/>
        </w:rPr>
        <w:t xml:space="preserve"> equal and in</w:t>
      </w:r>
      <w:r w:rsidRPr="00356432">
        <w:rPr>
          <w:rFonts w:ascii="Arial" w:hAnsi="Arial" w:cs="Arial"/>
        </w:rPr>
        <w:t>alienable rights of all members of the human family is the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foundation of freedom, justice and peace in the world,</w:t>
      </w:r>
    </w:p>
    <w:p w:rsidR="000B746C" w:rsidRPr="00356432" w:rsidRDefault="000B746C" w:rsidP="00356432">
      <w:pPr>
        <w:spacing w:before="240" w:after="120" w:line="276" w:lineRule="auto"/>
        <w:jc w:val="both"/>
        <w:rPr>
          <w:rFonts w:ascii="Arial" w:hAnsi="Arial" w:cs="Arial"/>
        </w:rPr>
      </w:pPr>
      <w:r w:rsidRPr="00356432">
        <w:rPr>
          <w:rFonts w:ascii="Arial" w:hAnsi="Arial" w:cs="Arial"/>
        </w:rPr>
        <w:t>Noting that the States parties to the Convention on the Rights of the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Child (hereinafter referred to as "the Convention") recognize the rights set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forth in it to each child within their jurisdiction without discrimination of any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kind, irrespective of the child's or his or her parent's or legal guardian's race,</w:t>
      </w:r>
      <w:r w:rsidR="008F3D5A">
        <w:rPr>
          <w:rFonts w:ascii="Arial" w:hAnsi="Arial" w:cs="Arial"/>
        </w:rPr>
        <w:t xml:space="preserve"> </w:t>
      </w:r>
      <w:proofErr w:type="spellStart"/>
      <w:r w:rsidRPr="00356432">
        <w:rPr>
          <w:rFonts w:ascii="Arial" w:hAnsi="Arial" w:cs="Arial"/>
        </w:rPr>
        <w:t>colour</w:t>
      </w:r>
      <w:proofErr w:type="spellEnd"/>
      <w:r w:rsidRPr="00356432">
        <w:rPr>
          <w:rFonts w:ascii="Arial" w:hAnsi="Arial" w:cs="Arial"/>
        </w:rPr>
        <w:t>, sex, language, religion, political or other opinion, national, ethnic or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social origin, property, disability, birth or other status,</w:t>
      </w:r>
    </w:p>
    <w:p w:rsidR="008F3D5A" w:rsidRDefault="000B746C" w:rsidP="00356432">
      <w:pPr>
        <w:spacing w:before="240" w:after="120" w:line="276" w:lineRule="auto"/>
        <w:jc w:val="both"/>
        <w:rPr>
          <w:rFonts w:ascii="Arial" w:hAnsi="Arial" w:cs="Arial"/>
        </w:rPr>
      </w:pPr>
      <w:r w:rsidRPr="00356432">
        <w:rPr>
          <w:rFonts w:ascii="Arial" w:hAnsi="Arial" w:cs="Arial"/>
        </w:rPr>
        <w:t>Reaffirming the universality, indivisibility, interdependence and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interrelatedness of all human rights and fundamental freedoms,</w:t>
      </w:r>
      <w:r w:rsidR="008F3D5A">
        <w:rPr>
          <w:rFonts w:ascii="Arial" w:hAnsi="Arial" w:cs="Arial"/>
        </w:rPr>
        <w:t xml:space="preserve"> </w:t>
      </w:r>
    </w:p>
    <w:p w:rsidR="000B746C" w:rsidRPr="00356432" w:rsidRDefault="000B746C" w:rsidP="00356432">
      <w:pPr>
        <w:spacing w:before="240" w:after="120" w:line="276" w:lineRule="auto"/>
        <w:jc w:val="both"/>
        <w:rPr>
          <w:rFonts w:ascii="Arial" w:hAnsi="Arial" w:cs="Arial"/>
        </w:rPr>
      </w:pPr>
      <w:r w:rsidRPr="00356432">
        <w:rPr>
          <w:rFonts w:ascii="Arial" w:hAnsi="Arial" w:cs="Arial"/>
        </w:rPr>
        <w:t>Reaffirming also the status of the child as a subject of rights and as a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human being with dignity and with evolving capacities,</w:t>
      </w:r>
    </w:p>
    <w:p w:rsidR="000B746C" w:rsidRPr="00356432" w:rsidRDefault="000B746C" w:rsidP="00356432">
      <w:pPr>
        <w:spacing w:before="240" w:after="120" w:line="276" w:lineRule="auto"/>
        <w:jc w:val="both"/>
        <w:rPr>
          <w:rFonts w:ascii="Arial" w:hAnsi="Arial" w:cs="Arial"/>
        </w:rPr>
      </w:pPr>
      <w:r w:rsidRPr="00356432">
        <w:rPr>
          <w:rFonts w:ascii="Arial" w:hAnsi="Arial" w:cs="Arial"/>
        </w:rPr>
        <w:t>Recognizing that children's speci</w:t>
      </w:r>
      <w:r w:rsidR="008F3D5A">
        <w:rPr>
          <w:rFonts w:ascii="Arial" w:hAnsi="Arial" w:cs="Arial"/>
        </w:rPr>
        <w:t>al and dependent status may crea</w:t>
      </w:r>
      <w:r w:rsidRPr="00356432">
        <w:rPr>
          <w:rFonts w:ascii="Arial" w:hAnsi="Arial" w:cs="Arial"/>
        </w:rPr>
        <w:t>te real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difficulties for them in pursuing remedies for violations of their rights,</w:t>
      </w:r>
    </w:p>
    <w:p w:rsidR="000B746C" w:rsidRPr="00356432" w:rsidRDefault="000B746C" w:rsidP="00356432">
      <w:pPr>
        <w:spacing w:before="240" w:after="120" w:line="276" w:lineRule="auto"/>
        <w:jc w:val="both"/>
        <w:rPr>
          <w:rFonts w:ascii="Arial" w:hAnsi="Arial" w:cs="Arial"/>
        </w:rPr>
      </w:pPr>
      <w:r w:rsidRPr="00356432">
        <w:rPr>
          <w:rFonts w:ascii="Arial" w:hAnsi="Arial" w:cs="Arial"/>
        </w:rPr>
        <w:t>Considering that the present Protocol will reinforce and complement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national and regional mechanisms allowing children to submit complaints for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violations of their rights,</w:t>
      </w:r>
    </w:p>
    <w:p w:rsidR="000B746C" w:rsidRPr="00356432" w:rsidRDefault="000B746C" w:rsidP="00356432">
      <w:pPr>
        <w:spacing w:before="240" w:after="120" w:line="276" w:lineRule="auto"/>
        <w:jc w:val="both"/>
        <w:rPr>
          <w:rFonts w:ascii="Arial" w:hAnsi="Arial" w:cs="Arial"/>
        </w:rPr>
      </w:pPr>
      <w:r w:rsidRPr="00356432">
        <w:rPr>
          <w:rFonts w:ascii="Arial" w:hAnsi="Arial" w:cs="Arial"/>
        </w:rPr>
        <w:t>Recognizing that the best interests of the child should be a primary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consideration to be respected in pursuing remedies for violations of the rights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of the child, and that such remedies should take into account the need for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child-sensitive procedures at all levels,</w:t>
      </w:r>
    </w:p>
    <w:p w:rsidR="000B746C" w:rsidRPr="00356432" w:rsidRDefault="000B746C" w:rsidP="00356432">
      <w:pPr>
        <w:spacing w:before="240" w:after="120" w:line="276" w:lineRule="auto"/>
        <w:jc w:val="both"/>
        <w:rPr>
          <w:rFonts w:ascii="Arial" w:hAnsi="Arial" w:cs="Arial"/>
        </w:rPr>
      </w:pPr>
      <w:r w:rsidRPr="00356432">
        <w:rPr>
          <w:rFonts w:ascii="Arial" w:hAnsi="Arial" w:cs="Arial"/>
        </w:rPr>
        <w:t>Encouraging States parties to develop appropriate national mechanisms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to enable a child whose rights have been violated to have access to effective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remedies at the domestic level,</w:t>
      </w:r>
    </w:p>
    <w:p w:rsidR="000B746C" w:rsidRPr="00356432" w:rsidRDefault="000B746C" w:rsidP="00356432">
      <w:pPr>
        <w:spacing w:before="240" w:after="120" w:line="276" w:lineRule="auto"/>
        <w:jc w:val="both"/>
        <w:rPr>
          <w:rFonts w:ascii="Arial" w:hAnsi="Arial" w:cs="Arial"/>
        </w:rPr>
      </w:pPr>
      <w:r w:rsidRPr="00356432">
        <w:rPr>
          <w:rFonts w:ascii="Arial" w:hAnsi="Arial" w:cs="Arial"/>
        </w:rPr>
        <w:t>Recalling the important role that national human rights institutions and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other relevant specialized institutions, mandated to promote and protect the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rights of the child, can play in this regard,</w:t>
      </w:r>
    </w:p>
    <w:p w:rsidR="000B746C" w:rsidRPr="00356432" w:rsidRDefault="000B746C" w:rsidP="00356432">
      <w:pPr>
        <w:spacing w:before="240" w:after="120" w:line="276" w:lineRule="auto"/>
        <w:jc w:val="both"/>
        <w:rPr>
          <w:rFonts w:ascii="Arial" w:hAnsi="Arial" w:cs="Arial"/>
        </w:rPr>
      </w:pPr>
      <w:r w:rsidRPr="00356432">
        <w:rPr>
          <w:rFonts w:ascii="Arial" w:hAnsi="Arial" w:cs="Arial"/>
        </w:rPr>
        <w:t>Considering that, in order to reinforce and complement such national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mechanisms and to further enha</w:t>
      </w:r>
      <w:r w:rsidR="008F3D5A">
        <w:rPr>
          <w:rFonts w:ascii="Arial" w:hAnsi="Arial" w:cs="Arial"/>
        </w:rPr>
        <w:t>nce the implementation of the c</w:t>
      </w:r>
      <w:r w:rsidRPr="00356432">
        <w:rPr>
          <w:rFonts w:ascii="Arial" w:hAnsi="Arial" w:cs="Arial"/>
        </w:rPr>
        <w:t>onvention and,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where applicable, the Optional Protocols thereto on the sale of children, child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prostitution and child pornography and on the involvement of children in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armed conflict, it would be appropriate to enable the Committee on the Rights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of the Child (hereinafter referred to as "the Committee") to carry put the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functions provided for in the present Protocol,</w:t>
      </w:r>
    </w:p>
    <w:p w:rsidR="000B746C" w:rsidRPr="00356432" w:rsidRDefault="000B746C" w:rsidP="00356432">
      <w:pPr>
        <w:spacing w:before="240" w:after="120" w:line="276" w:lineRule="auto"/>
        <w:jc w:val="both"/>
        <w:rPr>
          <w:rFonts w:ascii="Arial" w:hAnsi="Arial" w:cs="Arial"/>
        </w:rPr>
      </w:pPr>
      <w:r w:rsidRPr="00356432">
        <w:rPr>
          <w:rFonts w:ascii="Arial" w:hAnsi="Arial" w:cs="Arial"/>
        </w:rPr>
        <w:t>Have agreed as follows:</w:t>
      </w:r>
    </w:p>
    <w:p w:rsidR="000B746C" w:rsidRPr="00356432" w:rsidRDefault="000B746C" w:rsidP="008F3D5A">
      <w:pPr>
        <w:pStyle w:val="CIL1Heading"/>
      </w:pPr>
      <w:bookmarkStart w:id="1" w:name="_Toc77933761"/>
      <w:r w:rsidRPr="00356432">
        <w:lastRenderedPageBreak/>
        <w:t>PART I</w:t>
      </w:r>
      <w:r w:rsidR="008F3D5A">
        <w:t xml:space="preserve"> </w:t>
      </w:r>
      <w:r w:rsidR="00575DCC">
        <w:br/>
      </w:r>
      <w:r w:rsidRPr="00356432">
        <w:t>GENERAL PROVISIONS</w:t>
      </w:r>
      <w:bookmarkEnd w:id="1"/>
    </w:p>
    <w:p w:rsidR="000B746C" w:rsidRPr="00356432" w:rsidRDefault="009356D3" w:rsidP="009356D3">
      <w:pPr>
        <w:pStyle w:val="CIL2Heading"/>
      </w:pPr>
      <w:bookmarkStart w:id="2" w:name="_Toc77933762"/>
      <w:r w:rsidRPr="00356432">
        <w:t>Article 1</w:t>
      </w:r>
      <w:r>
        <w:t xml:space="preserve"> </w:t>
      </w:r>
      <w:r w:rsidR="00575DCC">
        <w:br/>
      </w:r>
      <w:r w:rsidRPr="00356432">
        <w:t>Competence Of The Committee On The</w:t>
      </w:r>
      <w:r>
        <w:t xml:space="preserve"> </w:t>
      </w:r>
      <w:r w:rsidRPr="00356432">
        <w:t>Rights Of The Child</w:t>
      </w:r>
      <w:bookmarkEnd w:id="2"/>
    </w:p>
    <w:p w:rsidR="000B746C" w:rsidRPr="008F3D5A" w:rsidRDefault="000B746C" w:rsidP="007F3B88">
      <w:pPr>
        <w:pStyle w:val="ListParagraph"/>
        <w:numPr>
          <w:ilvl w:val="0"/>
          <w:numId w:val="1"/>
        </w:numPr>
        <w:spacing w:before="240" w:after="120" w:line="276" w:lineRule="auto"/>
        <w:ind w:left="270" w:hanging="270"/>
        <w:contextualSpacing w:val="0"/>
        <w:jc w:val="both"/>
        <w:rPr>
          <w:rFonts w:ascii="Arial" w:hAnsi="Arial" w:cs="Arial"/>
        </w:rPr>
      </w:pPr>
      <w:r w:rsidRPr="008F3D5A">
        <w:rPr>
          <w:rFonts w:ascii="Arial" w:hAnsi="Arial" w:cs="Arial"/>
        </w:rPr>
        <w:t>A State party to the present Protocol recognizes the competence of the</w:t>
      </w:r>
      <w:r w:rsidR="008F3D5A">
        <w:rPr>
          <w:rFonts w:ascii="Arial" w:hAnsi="Arial" w:cs="Arial"/>
        </w:rPr>
        <w:t xml:space="preserve"> </w:t>
      </w:r>
      <w:r w:rsidRPr="008F3D5A">
        <w:rPr>
          <w:rFonts w:ascii="Arial" w:hAnsi="Arial" w:cs="Arial"/>
        </w:rPr>
        <w:t>Committee as provided for by the present Protocol.</w:t>
      </w:r>
    </w:p>
    <w:p w:rsidR="000B746C" w:rsidRPr="008F3D5A" w:rsidRDefault="000B746C" w:rsidP="007F3B88">
      <w:pPr>
        <w:pStyle w:val="ListParagraph"/>
        <w:numPr>
          <w:ilvl w:val="0"/>
          <w:numId w:val="1"/>
        </w:numPr>
        <w:spacing w:before="240" w:after="120" w:line="276" w:lineRule="auto"/>
        <w:ind w:left="270" w:hanging="270"/>
        <w:contextualSpacing w:val="0"/>
        <w:jc w:val="both"/>
        <w:rPr>
          <w:rFonts w:ascii="Arial" w:hAnsi="Arial" w:cs="Arial"/>
        </w:rPr>
      </w:pPr>
      <w:r w:rsidRPr="008F3D5A">
        <w:rPr>
          <w:rFonts w:ascii="Arial" w:hAnsi="Arial" w:cs="Arial"/>
        </w:rPr>
        <w:t>The Committee shall not exercise its competence regarding a State party</w:t>
      </w:r>
      <w:r w:rsidR="008F3D5A" w:rsidRPr="008F3D5A">
        <w:rPr>
          <w:rFonts w:ascii="Arial" w:hAnsi="Arial" w:cs="Arial"/>
        </w:rPr>
        <w:t xml:space="preserve"> </w:t>
      </w:r>
      <w:r w:rsidRPr="008F3D5A">
        <w:rPr>
          <w:rFonts w:ascii="Arial" w:hAnsi="Arial" w:cs="Arial"/>
        </w:rPr>
        <w:t>to the present Protocol on matters concerning violations of rights set forth in</w:t>
      </w:r>
      <w:r w:rsidR="008F3D5A">
        <w:rPr>
          <w:rFonts w:ascii="Arial" w:hAnsi="Arial" w:cs="Arial"/>
        </w:rPr>
        <w:t xml:space="preserve"> </w:t>
      </w:r>
      <w:r w:rsidRPr="008F3D5A">
        <w:rPr>
          <w:rFonts w:ascii="Arial" w:hAnsi="Arial" w:cs="Arial"/>
        </w:rPr>
        <w:t>an instrument to which that State is not a party.</w:t>
      </w:r>
    </w:p>
    <w:p w:rsidR="000B746C" w:rsidRPr="008F3D5A" w:rsidRDefault="000B746C" w:rsidP="007F3B88">
      <w:pPr>
        <w:pStyle w:val="ListParagraph"/>
        <w:numPr>
          <w:ilvl w:val="0"/>
          <w:numId w:val="1"/>
        </w:numPr>
        <w:spacing w:before="240" w:after="120" w:line="276" w:lineRule="auto"/>
        <w:ind w:left="270" w:hanging="270"/>
        <w:contextualSpacing w:val="0"/>
        <w:jc w:val="both"/>
        <w:rPr>
          <w:rFonts w:ascii="Arial" w:hAnsi="Arial" w:cs="Arial"/>
        </w:rPr>
      </w:pPr>
      <w:r w:rsidRPr="008F3D5A">
        <w:rPr>
          <w:rFonts w:ascii="Arial" w:hAnsi="Arial" w:cs="Arial"/>
        </w:rPr>
        <w:t xml:space="preserve">No communication shall be received by </w:t>
      </w:r>
      <w:r w:rsidR="008F3D5A" w:rsidRPr="008F3D5A">
        <w:rPr>
          <w:rFonts w:ascii="Arial" w:hAnsi="Arial" w:cs="Arial"/>
        </w:rPr>
        <w:t xml:space="preserve">the Committee if it concerns a </w:t>
      </w:r>
      <w:r w:rsidRPr="008F3D5A">
        <w:rPr>
          <w:rFonts w:ascii="Arial" w:hAnsi="Arial" w:cs="Arial"/>
        </w:rPr>
        <w:t>State that is not a party to the present Protocol.</w:t>
      </w:r>
    </w:p>
    <w:p w:rsidR="000B746C" w:rsidRPr="00356432" w:rsidRDefault="009356D3" w:rsidP="009356D3">
      <w:pPr>
        <w:pStyle w:val="CIL2Heading"/>
      </w:pPr>
      <w:bookmarkStart w:id="3" w:name="_Toc77933763"/>
      <w:r w:rsidRPr="00356432">
        <w:t>Article</w:t>
      </w:r>
      <w:r>
        <w:t xml:space="preserve"> </w:t>
      </w:r>
      <w:r w:rsidRPr="00356432">
        <w:t>2</w:t>
      </w:r>
      <w:r>
        <w:t xml:space="preserve"> </w:t>
      </w:r>
      <w:r w:rsidR="00575DCC">
        <w:br/>
      </w:r>
      <w:r w:rsidRPr="00356432">
        <w:t>General Principles Guiding The Functions</w:t>
      </w:r>
      <w:r>
        <w:t xml:space="preserve"> </w:t>
      </w:r>
      <w:r w:rsidRPr="00356432">
        <w:t>Of The Committee</w:t>
      </w:r>
      <w:bookmarkEnd w:id="3"/>
    </w:p>
    <w:p w:rsidR="000B746C" w:rsidRPr="00356432" w:rsidRDefault="000B746C" w:rsidP="00356432">
      <w:pPr>
        <w:spacing w:before="240" w:after="120" w:line="276" w:lineRule="auto"/>
        <w:jc w:val="both"/>
        <w:rPr>
          <w:rFonts w:ascii="Arial" w:hAnsi="Arial" w:cs="Arial"/>
        </w:rPr>
      </w:pPr>
      <w:r w:rsidRPr="00356432">
        <w:rPr>
          <w:rFonts w:ascii="Arial" w:hAnsi="Arial" w:cs="Arial"/>
        </w:rPr>
        <w:t>In fulfilling the functions conferred on it by the present Protocol, the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Committee shall be guided by the principle of the best interests of the child. It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shall also have regard for the rights and views of the child, the views of the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child being given due weight in accordance with the age and maturity of the</w:t>
      </w:r>
      <w:r w:rsidR="008F3D5A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child.</w:t>
      </w:r>
    </w:p>
    <w:p w:rsidR="000B746C" w:rsidRPr="00356432" w:rsidRDefault="009356D3" w:rsidP="009356D3">
      <w:pPr>
        <w:pStyle w:val="CIL2Heading"/>
      </w:pPr>
      <w:bookmarkStart w:id="4" w:name="_Toc77933764"/>
      <w:r w:rsidRPr="00356432">
        <w:t>Article 3</w:t>
      </w:r>
      <w:r>
        <w:t xml:space="preserve"> </w:t>
      </w:r>
      <w:r w:rsidR="00575DCC">
        <w:br/>
      </w:r>
      <w:r w:rsidRPr="00356432">
        <w:t>Rules Of Procedure</w:t>
      </w:r>
      <w:bookmarkEnd w:id="4"/>
    </w:p>
    <w:p w:rsidR="007F3B88" w:rsidRDefault="000B746C" w:rsidP="007F3B88">
      <w:pPr>
        <w:pStyle w:val="ListParagraph"/>
        <w:numPr>
          <w:ilvl w:val="0"/>
          <w:numId w:val="3"/>
        </w:numPr>
        <w:spacing w:before="240" w:after="120" w:line="276" w:lineRule="auto"/>
        <w:ind w:left="270" w:hanging="270"/>
        <w:contextualSpacing w:val="0"/>
        <w:jc w:val="both"/>
        <w:rPr>
          <w:rFonts w:ascii="Arial" w:hAnsi="Arial" w:cs="Arial"/>
        </w:rPr>
      </w:pPr>
      <w:r w:rsidRPr="008F3D5A">
        <w:rPr>
          <w:rFonts w:ascii="Arial" w:hAnsi="Arial" w:cs="Arial"/>
        </w:rPr>
        <w:t>The Committee shall adopt rules of procedure to be followed when</w:t>
      </w:r>
      <w:r w:rsidR="008F3D5A" w:rsidRPr="008F3D5A">
        <w:rPr>
          <w:rFonts w:ascii="Arial" w:hAnsi="Arial" w:cs="Arial"/>
        </w:rPr>
        <w:t xml:space="preserve"> </w:t>
      </w:r>
      <w:r w:rsidRPr="008F3D5A">
        <w:rPr>
          <w:rFonts w:ascii="Arial" w:hAnsi="Arial" w:cs="Arial"/>
        </w:rPr>
        <w:t>exercising the functions conferred on it by the present Protocol. In doing so, it</w:t>
      </w:r>
      <w:r w:rsidR="008F3D5A" w:rsidRPr="008F3D5A">
        <w:rPr>
          <w:rFonts w:ascii="Arial" w:hAnsi="Arial" w:cs="Arial"/>
        </w:rPr>
        <w:t xml:space="preserve"> </w:t>
      </w:r>
      <w:r w:rsidRPr="008F3D5A">
        <w:rPr>
          <w:rFonts w:ascii="Arial" w:hAnsi="Arial" w:cs="Arial"/>
        </w:rPr>
        <w:t>shall have regard, in particular, for article 2 of the present Protocol in order to</w:t>
      </w:r>
      <w:r w:rsidR="008F3D5A">
        <w:rPr>
          <w:rFonts w:ascii="Arial" w:hAnsi="Arial" w:cs="Arial"/>
        </w:rPr>
        <w:t xml:space="preserve"> </w:t>
      </w:r>
      <w:r w:rsidRPr="008F3D5A">
        <w:rPr>
          <w:rFonts w:ascii="Arial" w:hAnsi="Arial" w:cs="Arial"/>
        </w:rPr>
        <w:t>guarantee child-sensitive procedures.</w:t>
      </w:r>
    </w:p>
    <w:p w:rsidR="000B746C" w:rsidRPr="007F3B88" w:rsidRDefault="000B746C" w:rsidP="007F3B88">
      <w:pPr>
        <w:pStyle w:val="ListParagraph"/>
        <w:numPr>
          <w:ilvl w:val="0"/>
          <w:numId w:val="3"/>
        </w:numPr>
        <w:spacing w:before="240" w:after="120" w:line="276" w:lineRule="auto"/>
        <w:ind w:left="270" w:hanging="270"/>
        <w:contextualSpacing w:val="0"/>
        <w:jc w:val="both"/>
        <w:rPr>
          <w:rFonts w:ascii="Arial" w:hAnsi="Arial" w:cs="Arial"/>
        </w:rPr>
      </w:pPr>
      <w:r w:rsidRPr="007F3B88">
        <w:rPr>
          <w:rFonts w:ascii="Arial" w:hAnsi="Arial" w:cs="Arial"/>
        </w:rPr>
        <w:t>The Committee shall include in its rules of procedure safeguards to</w:t>
      </w:r>
      <w:r w:rsidR="008F3D5A" w:rsidRPr="007F3B88">
        <w:rPr>
          <w:rFonts w:ascii="Arial" w:hAnsi="Arial" w:cs="Arial"/>
        </w:rPr>
        <w:t xml:space="preserve"> </w:t>
      </w:r>
      <w:r w:rsidRPr="007F3B88">
        <w:rPr>
          <w:rFonts w:ascii="Arial" w:hAnsi="Arial" w:cs="Arial"/>
        </w:rPr>
        <w:t>prevent the manipulation of the child by those acting on his or her behalf and</w:t>
      </w:r>
      <w:r w:rsidR="008F3D5A" w:rsidRPr="007F3B88">
        <w:rPr>
          <w:rFonts w:ascii="Arial" w:hAnsi="Arial" w:cs="Arial"/>
        </w:rPr>
        <w:t xml:space="preserve"> </w:t>
      </w:r>
      <w:r w:rsidRPr="007F3B88">
        <w:rPr>
          <w:rFonts w:ascii="Arial" w:hAnsi="Arial" w:cs="Arial"/>
        </w:rPr>
        <w:t>may decline to examine any communication that it considers not to be in the</w:t>
      </w:r>
      <w:r w:rsidR="008F3D5A" w:rsidRPr="007F3B88">
        <w:rPr>
          <w:rFonts w:ascii="Arial" w:hAnsi="Arial" w:cs="Arial"/>
        </w:rPr>
        <w:t xml:space="preserve"> </w:t>
      </w:r>
      <w:r w:rsidRPr="007F3B88">
        <w:rPr>
          <w:rFonts w:ascii="Arial" w:hAnsi="Arial" w:cs="Arial"/>
        </w:rPr>
        <w:t>child's best interests.</w:t>
      </w:r>
    </w:p>
    <w:p w:rsidR="000B746C" w:rsidRPr="00356432" w:rsidRDefault="009356D3" w:rsidP="009356D3">
      <w:pPr>
        <w:pStyle w:val="CIL2Heading"/>
      </w:pPr>
      <w:bookmarkStart w:id="5" w:name="_Toc77933765"/>
      <w:r w:rsidRPr="00356432">
        <w:t>Article 4</w:t>
      </w:r>
      <w:r>
        <w:t xml:space="preserve"> </w:t>
      </w:r>
      <w:r w:rsidR="00575DCC">
        <w:br/>
      </w:r>
      <w:r w:rsidRPr="00356432">
        <w:t>Protection Measures</w:t>
      </w:r>
      <w:bookmarkEnd w:id="5"/>
    </w:p>
    <w:p w:rsidR="000B746C" w:rsidRPr="002269E6" w:rsidRDefault="000B746C" w:rsidP="007F3B88">
      <w:pPr>
        <w:pStyle w:val="ListParagraph"/>
        <w:numPr>
          <w:ilvl w:val="0"/>
          <w:numId w:val="4"/>
        </w:numPr>
        <w:spacing w:before="240" w:after="120" w:line="276" w:lineRule="auto"/>
        <w:ind w:left="270" w:hanging="27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A State party shall take all appropriate steps to ensure that individuals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under its jurisdiction are not subjected to any human rights violation, ill</w:t>
      </w:r>
      <w:r w:rsidR="002269E6" w:rsidRPr="002269E6">
        <w:rPr>
          <w:rFonts w:ascii="Arial" w:hAnsi="Arial" w:cs="Arial"/>
        </w:rPr>
        <w:t>-</w:t>
      </w:r>
      <w:r w:rsidRPr="002269E6">
        <w:rPr>
          <w:rFonts w:ascii="Arial" w:hAnsi="Arial" w:cs="Arial"/>
        </w:rPr>
        <w:t>treatment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or intimidation as a consequence of communications or cooperation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with the Committee pursuant to the present Protocol.</w:t>
      </w:r>
    </w:p>
    <w:p w:rsidR="000B746C" w:rsidRPr="002269E6" w:rsidRDefault="000B746C" w:rsidP="007F3B88">
      <w:pPr>
        <w:pStyle w:val="ListParagraph"/>
        <w:numPr>
          <w:ilvl w:val="0"/>
          <w:numId w:val="4"/>
        </w:numPr>
        <w:spacing w:before="240" w:after="120" w:line="276" w:lineRule="auto"/>
        <w:ind w:left="270" w:hanging="27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identity of any individual or group of individuals concerned shall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not be revealed publicly without their express consent.</w:t>
      </w:r>
    </w:p>
    <w:p w:rsidR="000B746C" w:rsidRPr="00356432" w:rsidRDefault="000B746C" w:rsidP="00443871">
      <w:pPr>
        <w:pStyle w:val="CIL1Heading"/>
      </w:pPr>
      <w:bookmarkStart w:id="6" w:name="_Toc77933766"/>
      <w:r w:rsidRPr="00356432">
        <w:lastRenderedPageBreak/>
        <w:t>PART II</w:t>
      </w:r>
      <w:r w:rsidR="00443871">
        <w:t xml:space="preserve"> </w:t>
      </w:r>
      <w:r w:rsidR="00575DCC">
        <w:br/>
      </w:r>
      <w:r w:rsidRPr="00356432">
        <w:t>COMMUNICATIONS PROCEDURE</w:t>
      </w:r>
      <w:bookmarkEnd w:id="6"/>
    </w:p>
    <w:p w:rsidR="000B746C" w:rsidRPr="00356432" w:rsidRDefault="009356D3" w:rsidP="009356D3">
      <w:pPr>
        <w:pStyle w:val="CIL2Heading"/>
      </w:pPr>
      <w:bookmarkStart w:id="7" w:name="_Toc77933767"/>
      <w:r w:rsidRPr="00356432">
        <w:t>Article 5</w:t>
      </w:r>
      <w:r>
        <w:t xml:space="preserve"> </w:t>
      </w:r>
      <w:r w:rsidR="00575DCC">
        <w:br/>
      </w:r>
      <w:r w:rsidRPr="00356432">
        <w:t>Individual Communications</w:t>
      </w:r>
      <w:bookmarkEnd w:id="7"/>
    </w:p>
    <w:p w:rsidR="000B746C" w:rsidRPr="002269E6" w:rsidRDefault="000B746C" w:rsidP="007F3B88">
      <w:pPr>
        <w:pStyle w:val="ListParagraph"/>
        <w:numPr>
          <w:ilvl w:val="0"/>
          <w:numId w:val="5"/>
        </w:numPr>
        <w:spacing w:before="240" w:after="120" w:line="276" w:lineRule="auto"/>
        <w:ind w:left="360" w:hangingChars="18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Communications may be submitted by or on behalf of an individual or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group of individuals, within the jurisdiction of a State party, claiming to be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victims of a violation by that State party of any of the rights set forth in any of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the following instruments to which that State is a party:</w:t>
      </w:r>
    </w:p>
    <w:p w:rsidR="007F3B88" w:rsidRDefault="000B746C" w:rsidP="00575DCC">
      <w:pPr>
        <w:pStyle w:val="ListParagraph"/>
        <w:numPr>
          <w:ilvl w:val="0"/>
          <w:numId w:val="29"/>
        </w:numPr>
        <w:spacing w:before="240" w:after="120" w:line="276" w:lineRule="auto"/>
        <w:contextualSpacing w:val="0"/>
        <w:jc w:val="both"/>
        <w:rPr>
          <w:rFonts w:ascii="Arial" w:hAnsi="Arial" w:cs="Arial"/>
        </w:rPr>
      </w:pPr>
      <w:r w:rsidRPr="008F3D5A">
        <w:rPr>
          <w:rFonts w:ascii="Arial" w:hAnsi="Arial" w:cs="Arial"/>
        </w:rPr>
        <w:t>The Convention;</w:t>
      </w:r>
    </w:p>
    <w:p w:rsidR="007F3B88" w:rsidRDefault="000B746C" w:rsidP="00575DCC">
      <w:pPr>
        <w:pStyle w:val="ListParagraph"/>
        <w:numPr>
          <w:ilvl w:val="0"/>
          <w:numId w:val="29"/>
        </w:numPr>
        <w:spacing w:before="240" w:after="120" w:line="276" w:lineRule="auto"/>
        <w:contextualSpacing w:val="0"/>
        <w:jc w:val="both"/>
        <w:rPr>
          <w:rFonts w:ascii="Arial" w:hAnsi="Arial" w:cs="Arial"/>
        </w:rPr>
      </w:pPr>
      <w:r w:rsidRPr="007F3B88">
        <w:rPr>
          <w:rFonts w:ascii="Arial" w:hAnsi="Arial" w:cs="Arial"/>
        </w:rPr>
        <w:t>The Optional Protocol to the Convention on the sale of children,</w:t>
      </w:r>
      <w:r w:rsidR="002269E6" w:rsidRPr="007F3B88">
        <w:rPr>
          <w:rFonts w:ascii="Arial" w:hAnsi="Arial" w:cs="Arial"/>
        </w:rPr>
        <w:t xml:space="preserve"> </w:t>
      </w:r>
      <w:r w:rsidRPr="007F3B88">
        <w:rPr>
          <w:rFonts w:ascii="Arial" w:hAnsi="Arial" w:cs="Arial"/>
        </w:rPr>
        <w:t>child prostitution and child pornography;</w:t>
      </w:r>
    </w:p>
    <w:p w:rsidR="000B746C" w:rsidRPr="007F3B88" w:rsidRDefault="000B746C" w:rsidP="00575DCC">
      <w:pPr>
        <w:pStyle w:val="ListParagraph"/>
        <w:numPr>
          <w:ilvl w:val="0"/>
          <w:numId w:val="29"/>
        </w:numPr>
        <w:spacing w:before="240" w:after="120" w:line="276" w:lineRule="auto"/>
        <w:contextualSpacing w:val="0"/>
        <w:jc w:val="both"/>
        <w:rPr>
          <w:rFonts w:ascii="Arial" w:hAnsi="Arial" w:cs="Arial"/>
        </w:rPr>
      </w:pPr>
      <w:r w:rsidRPr="007F3B88">
        <w:rPr>
          <w:rFonts w:ascii="Arial" w:hAnsi="Arial" w:cs="Arial"/>
        </w:rPr>
        <w:t>The Optional Protocol to the Convention on the involvement of</w:t>
      </w:r>
      <w:r w:rsidR="002269E6" w:rsidRPr="007F3B88">
        <w:rPr>
          <w:rFonts w:ascii="Arial" w:hAnsi="Arial" w:cs="Arial"/>
        </w:rPr>
        <w:t xml:space="preserve"> </w:t>
      </w:r>
      <w:r w:rsidRPr="007F3B88">
        <w:rPr>
          <w:rFonts w:ascii="Arial" w:hAnsi="Arial" w:cs="Arial"/>
        </w:rPr>
        <w:t>children in armed conflict.</w:t>
      </w:r>
    </w:p>
    <w:p w:rsidR="000B746C" w:rsidRPr="002269E6" w:rsidRDefault="000B746C" w:rsidP="007F3B88">
      <w:pPr>
        <w:pStyle w:val="ListParagraph"/>
        <w:numPr>
          <w:ilvl w:val="0"/>
          <w:numId w:val="5"/>
        </w:numPr>
        <w:spacing w:before="240" w:after="120" w:line="276" w:lineRule="auto"/>
        <w:ind w:left="360" w:hangingChars="18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Where a communication is submitted on behalf of an individual or group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of individuals, this shall be with their consent unless the author can justify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acting on their behalf without such consent.</w:t>
      </w:r>
    </w:p>
    <w:p w:rsidR="000B746C" w:rsidRPr="00356432" w:rsidRDefault="009356D3" w:rsidP="009356D3">
      <w:pPr>
        <w:pStyle w:val="CIL2Heading"/>
      </w:pPr>
      <w:bookmarkStart w:id="8" w:name="_Toc77933768"/>
      <w:r w:rsidRPr="00356432">
        <w:t>Article 6</w:t>
      </w:r>
      <w:r>
        <w:t xml:space="preserve"> </w:t>
      </w:r>
      <w:r w:rsidR="005316F2">
        <w:br/>
      </w:r>
      <w:r w:rsidRPr="00356432">
        <w:t>Interim Measures</w:t>
      </w:r>
      <w:bookmarkEnd w:id="8"/>
    </w:p>
    <w:p w:rsidR="002269E6" w:rsidRPr="002269E6" w:rsidRDefault="000B746C" w:rsidP="007F3B88">
      <w:pPr>
        <w:pStyle w:val="ListParagraph"/>
        <w:numPr>
          <w:ilvl w:val="0"/>
          <w:numId w:val="28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At any time after the receipt of a communication and before a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determination on the merits has been reached, the Committee may transmit to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the State party concerned for its urgent consideration a request that the State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party take such interim measures as may be necessary in exceptional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circumstances to avoid possible irreparable damage to the victim or victims of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the alleged violations.</w:t>
      </w:r>
    </w:p>
    <w:p w:rsidR="000B746C" w:rsidRPr="002269E6" w:rsidRDefault="000B746C" w:rsidP="007F3B88">
      <w:pPr>
        <w:pStyle w:val="ListParagraph"/>
        <w:numPr>
          <w:ilvl w:val="0"/>
          <w:numId w:val="28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Where the Committee exercises its discretion under paragraph 1 of the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present article, this does not imply a determination on admissibility or on the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merits of the communication.</w:t>
      </w:r>
    </w:p>
    <w:p w:rsidR="000B746C" w:rsidRPr="00356432" w:rsidRDefault="009356D3" w:rsidP="009356D3">
      <w:pPr>
        <w:pStyle w:val="CIL2Heading"/>
      </w:pPr>
      <w:bookmarkStart w:id="9" w:name="_Toc77933769"/>
      <w:r w:rsidRPr="00356432">
        <w:t>Article 7</w:t>
      </w:r>
      <w:r>
        <w:t xml:space="preserve"> </w:t>
      </w:r>
      <w:r w:rsidR="005316F2">
        <w:br/>
      </w:r>
      <w:r w:rsidRPr="00356432">
        <w:t>Admissibility</w:t>
      </w:r>
      <w:bookmarkEnd w:id="9"/>
    </w:p>
    <w:p w:rsidR="000B746C" w:rsidRPr="00356432" w:rsidRDefault="000B746C" w:rsidP="00356432">
      <w:pPr>
        <w:spacing w:before="240" w:after="120" w:line="276" w:lineRule="auto"/>
        <w:jc w:val="both"/>
        <w:rPr>
          <w:rFonts w:ascii="Arial" w:hAnsi="Arial" w:cs="Arial"/>
        </w:rPr>
      </w:pPr>
      <w:r w:rsidRPr="00356432">
        <w:rPr>
          <w:rFonts w:ascii="Arial" w:hAnsi="Arial" w:cs="Arial"/>
        </w:rPr>
        <w:t>The Committee shall consider a communication inadmissible when:</w:t>
      </w:r>
    </w:p>
    <w:p w:rsidR="000B746C" w:rsidRPr="008F3D5A" w:rsidRDefault="000B746C" w:rsidP="007F3B88">
      <w:pPr>
        <w:pStyle w:val="ListParagraph"/>
        <w:numPr>
          <w:ilvl w:val="0"/>
          <w:numId w:val="8"/>
        </w:numPr>
        <w:spacing w:before="240" w:after="120" w:line="276" w:lineRule="auto"/>
        <w:contextualSpacing w:val="0"/>
        <w:jc w:val="both"/>
        <w:rPr>
          <w:rFonts w:ascii="Arial" w:hAnsi="Arial" w:cs="Arial"/>
        </w:rPr>
      </w:pPr>
      <w:r w:rsidRPr="008F3D5A">
        <w:rPr>
          <w:rFonts w:ascii="Arial" w:hAnsi="Arial" w:cs="Arial"/>
        </w:rPr>
        <w:t>The communication is anonymous;</w:t>
      </w:r>
    </w:p>
    <w:p w:rsidR="000B746C" w:rsidRPr="008F3D5A" w:rsidRDefault="000B746C" w:rsidP="007F3B88">
      <w:pPr>
        <w:pStyle w:val="ListParagraph"/>
        <w:numPr>
          <w:ilvl w:val="0"/>
          <w:numId w:val="8"/>
        </w:numPr>
        <w:spacing w:before="240" w:after="120" w:line="276" w:lineRule="auto"/>
        <w:contextualSpacing w:val="0"/>
        <w:jc w:val="both"/>
        <w:rPr>
          <w:rFonts w:ascii="Arial" w:hAnsi="Arial" w:cs="Arial"/>
        </w:rPr>
      </w:pPr>
      <w:r w:rsidRPr="008F3D5A">
        <w:rPr>
          <w:rFonts w:ascii="Arial" w:hAnsi="Arial" w:cs="Arial"/>
        </w:rPr>
        <w:t>The communication is not in writing;</w:t>
      </w:r>
    </w:p>
    <w:p w:rsidR="000B746C" w:rsidRPr="002269E6" w:rsidRDefault="000B746C" w:rsidP="007F3B88">
      <w:pPr>
        <w:pStyle w:val="ListParagraph"/>
        <w:numPr>
          <w:ilvl w:val="0"/>
          <w:numId w:val="8"/>
        </w:numPr>
        <w:spacing w:before="240" w:after="120" w:line="276" w:lineRule="auto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communication constitutes an abuse of the right of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submission of such communications or is incompatible with the provisions of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the Convention and/or the Optional Protocols thereto;</w:t>
      </w:r>
    </w:p>
    <w:p w:rsidR="000B746C" w:rsidRPr="002269E6" w:rsidRDefault="000B746C" w:rsidP="007F3B88">
      <w:pPr>
        <w:pStyle w:val="ListParagraph"/>
        <w:numPr>
          <w:ilvl w:val="0"/>
          <w:numId w:val="8"/>
        </w:numPr>
        <w:spacing w:before="240" w:after="120" w:line="276" w:lineRule="auto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same matter has already been examined by the Committee or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has been or is being examined under another procedure of international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investigation or settlement;</w:t>
      </w:r>
    </w:p>
    <w:p w:rsidR="000B746C" w:rsidRPr="002269E6" w:rsidRDefault="000B746C" w:rsidP="007F3B88">
      <w:pPr>
        <w:pStyle w:val="ListParagraph"/>
        <w:numPr>
          <w:ilvl w:val="0"/>
          <w:numId w:val="8"/>
        </w:numPr>
        <w:spacing w:before="240" w:after="120" w:line="276" w:lineRule="auto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All available domestic remedies have not been exhausted. This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shall not be the rule where the application of the remedies is unreasonably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prolonged or unlikely to bring effective relief;</w:t>
      </w:r>
    </w:p>
    <w:p w:rsidR="000B746C" w:rsidRPr="002269E6" w:rsidRDefault="000B746C" w:rsidP="007F3B88">
      <w:pPr>
        <w:pStyle w:val="ListParagraph"/>
        <w:numPr>
          <w:ilvl w:val="0"/>
          <w:numId w:val="8"/>
        </w:numPr>
        <w:spacing w:before="240" w:after="120" w:line="276" w:lineRule="auto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lastRenderedPageBreak/>
        <w:t>The communication is manifestly ill-founded or not sufficiently</w:t>
      </w:r>
      <w:r w:rsidR="002269E6">
        <w:rPr>
          <w:rFonts w:ascii="Arial" w:hAnsi="Arial" w:cs="Arial"/>
        </w:rPr>
        <w:t xml:space="preserve"> </w:t>
      </w:r>
      <w:r w:rsidR="002269E6" w:rsidRPr="002269E6">
        <w:rPr>
          <w:rFonts w:ascii="Arial" w:hAnsi="Arial" w:cs="Arial"/>
        </w:rPr>
        <w:t xml:space="preserve">substantiated; </w:t>
      </w:r>
    </w:p>
    <w:p w:rsidR="000B746C" w:rsidRPr="002269E6" w:rsidRDefault="000B746C" w:rsidP="007F3B88">
      <w:pPr>
        <w:pStyle w:val="ListParagraph"/>
        <w:numPr>
          <w:ilvl w:val="0"/>
          <w:numId w:val="8"/>
        </w:numPr>
        <w:spacing w:before="240" w:after="120" w:line="276" w:lineRule="auto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facts that are the subject of the communication occurred prior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to the entry into force of the present Protocol for the State party concerned,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unless those facts continued after that date;</w:t>
      </w:r>
    </w:p>
    <w:p w:rsidR="000B746C" w:rsidRPr="002269E6" w:rsidRDefault="000B746C" w:rsidP="007F3B88">
      <w:pPr>
        <w:pStyle w:val="ListParagraph"/>
        <w:numPr>
          <w:ilvl w:val="0"/>
          <w:numId w:val="8"/>
        </w:numPr>
        <w:spacing w:before="240" w:after="120" w:line="276" w:lineRule="auto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communication is not submitted within one year after the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exhaustion of domestic remedies, except in cases where the author can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demonstrate that it had not been possible to submit the communication within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that time limit.</w:t>
      </w:r>
    </w:p>
    <w:p w:rsidR="000B746C" w:rsidRPr="00356432" w:rsidRDefault="009356D3" w:rsidP="009356D3">
      <w:pPr>
        <w:pStyle w:val="CIL2Heading"/>
      </w:pPr>
      <w:bookmarkStart w:id="10" w:name="_Toc77933770"/>
      <w:r w:rsidRPr="00356432">
        <w:t>Article 8</w:t>
      </w:r>
      <w:r>
        <w:t xml:space="preserve"> </w:t>
      </w:r>
      <w:r w:rsidR="005316F2">
        <w:br/>
      </w:r>
      <w:r w:rsidRPr="00356432">
        <w:t>Transmission Of The Communication</w:t>
      </w:r>
      <w:bookmarkEnd w:id="10"/>
    </w:p>
    <w:p w:rsidR="000B746C" w:rsidRPr="002269E6" w:rsidRDefault="000B746C" w:rsidP="007F3B88">
      <w:pPr>
        <w:pStyle w:val="ListParagraph"/>
        <w:numPr>
          <w:ilvl w:val="0"/>
          <w:numId w:val="10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Unless the Committee considers a communication inadmissible without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reference to the State party concerned, the Committee shall bring any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communication submitted to it under the present Protocol confidentially to the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attention of the State party concerned as soon as possible.</w:t>
      </w:r>
    </w:p>
    <w:p w:rsidR="000B746C" w:rsidRPr="002269E6" w:rsidRDefault="000B746C" w:rsidP="007F3B88">
      <w:pPr>
        <w:pStyle w:val="ListParagraph"/>
        <w:numPr>
          <w:ilvl w:val="0"/>
          <w:numId w:val="10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State party shall submit to the Committee written explanations or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statements clarifying the matter and the remedy, if any, that it may have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provided. The State party shall submit its response as soon as possible and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within six months.</w:t>
      </w:r>
    </w:p>
    <w:p w:rsidR="000B746C" w:rsidRPr="00356432" w:rsidRDefault="009356D3" w:rsidP="009356D3">
      <w:pPr>
        <w:pStyle w:val="CIL2Heading"/>
      </w:pPr>
      <w:bookmarkStart w:id="11" w:name="_Toc77933771"/>
      <w:r w:rsidRPr="00356432">
        <w:t>Article 9</w:t>
      </w:r>
      <w:r>
        <w:t xml:space="preserve"> </w:t>
      </w:r>
      <w:r w:rsidR="00246B3A">
        <w:br/>
      </w:r>
      <w:r w:rsidRPr="00356432">
        <w:t>Friendly Settlement</w:t>
      </w:r>
      <w:bookmarkEnd w:id="11"/>
    </w:p>
    <w:p w:rsidR="000B746C" w:rsidRPr="002269E6" w:rsidRDefault="000B746C" w:rsidP="007F3B88">
      <w:pPr>
        <w:pStyle w:val="ListParagraph"/>
        <w:numPr>
          <w:ilvl w:val="0"/>
          <w:numId w:val="11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Committee shall make available its good offices to the parties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concerned with a view to reaching a friendly settlement of the matter on the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basis of respect for the obligations set forth in the Convention and/or the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Optional Protocols thereto.</w:t>
      </w:r>
    </w:p>
    <w:p w:rsidR="000B746C" w:rsidRPr="002269E6" w:rsidRDefault="000B746C" w:rsidP="007F3B88">
      <w:pPr>
        <w:pStyle w:val="ListParagraph"/>
        <w:numPr>
          <w:ilvl w:val="0"/>
          <w:numId w:val="11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An agreement on a friendly settlement reached under the auspices of the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Committee closes consideration of the communication under the present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Protocol.</w:t>
      </w:r>
    </w:p>
    <w:p w:rsidR="000B746C" w:rsidRPr="00356432" w:rsidRDefault="009356D3" w:rsidP="009356D3">
      <w:pPr>
        <w:pStyle w:val="CIL2Heading"/>
      </w:pPr>
      <w:bookmarkStart w:id="12" w:name="_Toc77933772"/>
      <w:r w:rsidRPr="00356432">
        <w:t>Article 10</w:t>
      </w:r>
      <w:r>
        <w:t xml:space="preserve"> </w:t>
      </w:r>
      <w:r w:rsidR="00246B3A">
        <w:br/>
      </w:r>
      <w:r w:rsidRPr="00356432">
        <w:t>Consideration Of Communications</w:t>
      </w:r>
      <w:bookmarkEnd w:id="12"/>
    </w:p>
    <w:p w:rsidR="000B746C" w:rsidRPr="002269E6" w:rsidRDefault="000B746C" w:rsidP="007F3B88">
      <w:pPr>
        <w:pStyle w:val="ListParagraph"/>
        <w:numPr>
          <w:ilvl w:val="0"/>
          <w:numId w:val="12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Committee shall consider communications received under the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present Protocol as quickly as possible, in the light of all documentation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submitted to it, provided that this documentation is transmitted to the parties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concerned.</w:t>
      </w:r>
    </w:p>
    <w:p w:rsidR="000B746C" w:rsidRPr="002269E6" w:rsidRDefault="000B746C" w:rsidP="007F3B88">
      <w:pPr>
        <w:pStyle w:val="ListParagraph"/>
        <w:numPr>
          <w:ilvl w:val="0"/>
          <w:numId w:val="12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Committee shall hold closed meetings when examining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communications received under the present Protocol.</w:t>
      </w:r>
    </w:p>
    <w:p w:rsidR="000B746C" w:rsidRPr="002269E6" w:rsidRDefault="000B746C" w:rsidP="007F3B88">
      <w:pPr>
        <w:pStyle w:val="ListParagraph"/>
        <w:numPr>
          <w:ilvl w:val="0"/>
          <w:numId w:val="12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Where the Committee has requested interim measures, it shall expedite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the consideration of the communication.</w:t>
      </w:r>
    </w:p>
    <w:p w:rsidR="000B746C" w:rsidRPr="002269E6" w:rsidRDefault="000B746C" w:rsidP="007F3B88">
      <w:pPr>
        <w:pStyle w:val="ListParagraph"/>
        <w:numPr>
          <w:ilvl w:val="0"/>
          <w:numId w:val="12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When examining communications alleging violations of economic,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social or cultural rights, the Committee shall consider the reasonableness of the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steps taken by the State party in accordance with article 4 of the Convention.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In doing so, the Committee shall bear in mind that the State party may adopt a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range of possible policy measures for the implementation of the economic,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social and cultural rights in the Convention.</w:t>
      </w:r>
    </w:p>
    <w:p w:rsidR="000B746C" w:rsidRPr="002269E6" w:rsidRDefault="000B746C" w:rsidP="007F3B88">
      <w:pPr>
        <w:pStyle w:val="ListParagraph"/>
        <w:numPr>
          <w:ilvl w:val="0"/>
          <w:numId w:val="12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lastRenderedPageBreak/>
        <w:t>Afte</w:t>
      </w:r>
      <w:r w:rsidR="002269E6" w:rsidRPr="002269E6">
        <w:rPr>
          <w:rFonts w:ascii="Arial" w:hAnsi="Arial" w:cs="Arial"/>
        </w:rPr>
        <w:t>r examining a communication, the</w:t>
      </w:r>
      <w:r w:rsidRPr="002269E6">
        <w:rPr>
          <w:rFonts w:ascii="Arial" w:hAnsi="Arial" w:cs="Arial"/>
        </w:rPr>
        <w:t xml:space="preserve"> Committee shall, without delay,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transmit its views on the communication, together with its recommendations, if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any, to the parties concerned.</w:t>
      </w:r>
    </w:p>
    <w:p w:rsidR="000B746C" w:rsidRPr="00356432" w:rsidRDefault="009356D3" w:rsidP="009356D3">
      <w:pPr>
        <w:pStyle w:val="CIL2Heading"/>
      </w:pPr>
      <w:bookmarkStart w:id="13" w:name="_Toc77933773"/>
      <w:r w:rsidRPr="00356432">
        <w:t>Article 11</w:t>
      </w:r>
      <w:r>
        <w:t xml:space="preserve"> </w:t>
      </w:r>
      <w:r w:rsidR="00246B3A">
        <w:br/>
      </w:r>
      <w:r w:rsidRPr="00356432">
        <w:t>Follow-Up</w:t>
      </w:r>
      <w:bookmarkEnd w:id="13"/>
    </w:p>
    <w:p w:rsidR="000B746C" w:rsidRPr="002269E6" w:rsidRDefault="000B746C" w:rsidP="007F3B88">
      <w:pPr>
        <w:pStyle w:val="ListParagraph"/>
        <w:numPr>
          <w:ilvl w:val="0"/>
          <w:numId w:val="13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State party shall · give due consideration to the views of the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Committee, together with its recommendations, if any, and shall submit to the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Committee a written response, including information on any action taken and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envisaged in the light of the views and recommendations of the Committee.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The State party shall submit its response as soon as possible and within six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months.</w:t>
      </w:r>
    </w:p>
    <w:p w:rsidR="000B746C" w:rsidRPr="002269E6" w:rsidRDefault="000B746C" w:rsidP="007F3B88">
      <w:pPr>
        <w:pStyle w:val="ListParagraph"/>
        <w:numPr>
          <w:ilvl w:val="0"/>
          <w:numId w:val="13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Committee may invite the State party to submit further information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about any measures the State party has taken in response to its views or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recommendations or implementation of a friendly settlement agreement, if any,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including as deemed appropriate by the Committee, in the State party's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subsequent reports under article 44 of the Convention, article 12 of the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Optional Protocol to the Convention on the sale of children, child prostitution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and child pornography or article 8 of the Optional Protocol to the Convention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on the involvement of children in armed conflict, where applicable.</w:t>
      </w:r>
    </w:p>
    <w:p w:rsidR="000B746C" w:rsidRPr="00356432" w:rsidRDefault="009356D3" w:rsidP="009356D3">
      <w:pPr>
        <w:pStyle w:val="CIL2Heading"/>
      </w:pPr>
      <w:bookmarkStart w:id="14" w:name="_Toc77933774"/>
      <w:r w:rsidRPr="00356432">
        <w:t>Article 12</w:t>
      </w:r>
      <w:r>
        <w:t xml:space="preserve"> </w:t>
      </w:r>
      <w:r w:rsidR="00246B3A">
        <w:br/>
      </w:r>
      <w:r w:rsidRPr="00356432">
        <w:t>Inter-State Communications</w:t>
      </w:r>
      <w:bookmarkEnd w:id="14"/>
    </w:p>
    <w:p w:rsidR="000B746C" w:rsidRPr="002269E6" w:rsidRDefault="000B746C" w:rsidP="007F3B88">
      <w:pPr>
        <w:pStyle w:val="ListParagraph"/>
        <w:numPr>
          <w:ilvl w:val="0"/>
          <w:numId w:val="14"/>
        </w:numPr>
        <w:spacing w:before="240" w:after="120" w:line="276" w:lineRule="auto"/>
        <w:ind w:left="360" w:hangingChars="18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A State party to the present Protocol may, at any time, declare that it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recognizes the competence of the Committee to receive and consider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communications in which a State party claims that another State party is not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fulfilling its obligations under any of the following instruments to which the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State is a party:</w:t>
      </w:r>
    </w:p>
    <w:p w:rsidR="000B746C" w:rsidRPr="008F3D5A" w:rsidRDefault="000B746C" w:rsidP="007F3B88">
      <w:pPr>
        <w:pStyle w:val="ListParagraph"/>
        <w:numPr>
          <w:ilvl w:val="0"/>
          <w:numId w:val="15"/>
        </w:numPr>
        <w:spacing w:before="240" w:after="120" w:line="276" w:lineRule="auto"/>
        <w:ind w:leftChars="180" w:left="720"/>
        <w:contextualSpacing w:val="0"/>
        <w:jc w:val="both"/>
        <w:rPr>
          <w:rFonts w:ascii="Arial" w:hAnsi="Arial" w:cs="Arial"/>
        </w:rPr>
      </w:pPr>
      <w:r w:rsidRPr="008F3D5A">
        <w:rPr>
          <w:rFonts w:ascii="Arial" w:hAnsi="Arial" w:cs="Arial"/>
        </w:rPr>
        <w:t>The Convention;</w:t>
      </w:r>
    </w:p>
    <w:p w:rsidR="000B746C" w:rsidRPr="002269E6" w:rsidRDefault="000B746C" w:rsidP="007F3B88">
      <w:pPr>
        <w:pStyle w:val="ListParagraph"/>
        <w:numPr>
          <w:ilvl w:val="0"/>
          <w:numId w:val="15"/>
        </w:numPr>
        <w:spacing w:before="240" w:after="120" w:line="276" w:lineRule="auto"/>
        <w:ind w:left="72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Optional Protocol to the Convention on the sale of children,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child prostitution and child pornography;</w:t>
      </w:r>
    </w:p>
    <w:p w:rsidR="000B746C" w:rsidRPr="002269E6" w:rsidRDefault="000B746C" w:rsidP="007F3B88">
      <w:pPr>
        <w:pStyle w:val="ListParagraph"/>
        <w:numPr>
          <w:ilvl w:val="0"/>
          <w:numId w:val="15"/>
        </w:numPr>
        <w:spacing w:before="240" w:after="120" w:line="276" w:lineRule="auto"/>
        <w:ind w:left="72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Optional Protocol to the Convention on the involvement of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children in armed conflict.</w:t>
      </w:r>
    </w:p>
    <w:p w:rsidR="000B746C" w:rsidRPr="002269E6" w:rsidRDefault="000B746C" w:rsidP="007F3B88">
      <w:pPr>
        <w:pStyle w:val="ListParagraph"/>
        <w:numPr>
          <w:ilvl w:val="0"/>
          <w:numId w:val="14"/>
        </w:numPr>
        <w:spacing w:before="240" w:after="120" w:line="276" w:lineRule="auto"/>
        <w:ind w:left="360" w:hangingChars="18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Committee shall not receive communications concerning a State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party that has not made such a declaration or communications from a State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party that has not made such a declaration.</w:t>
      </w:r>
    </w:p>
    <w:p w:rsidR="000B746C" w:rsidRPr="002269E6" w:rsidRDefault="000B746C" w:rsidP="007F3B88">
      <w:pPr>
        <w:pStyle w:val="ListParagraph"/>
        <w:numPr>
          <w:ilvl w:val="0"/>
          <w:numId w:val="14"/>
        </w:numPr>
        <w:spacing w:before="240" w:after="120" w:line="276" w:lineRule="auto"/>
        <w:ind w:left="360" w:hangingChars="18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Committee shall make available its good offices to the States parties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concerned with a view to a friendly solution of the matter on the basis of the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respect for the obligations set forth in the Convention and the Optional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Protocols thereto.</w:t>
      </w:r>
    </w:p>
    <w:p w:rsidR="000B746C" w:rsidRPr="002269E6" w:rsidRDefault="000B746C" w:rsidP="007F3B88">
      <w:pPr>
        <w:pStyle w:val="ListParagraph"/>
        <w:numPr>
          <w:ilvl w:val="0"/>
          <w:numId w:val="14"/>
        </w:numPr>
        <w:spacing w:before="240" w:after="120" w:line="276" w:lineRule="auto"/>
        <w:ind w:left="360" w:hangingChars="18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A declaration under paragraph 1 of the present article shall be deposited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by the States parties with the Secretary-General of the United Nations, who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shall transmit copies thereof to the other States parties. A declaration may be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withdrawn at any time by notification to the Secretary-General. Such a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withdrawal shall not prejudice the consideration of any matter that is the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subject of a communication already transmitted under the present article; no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 xml:space="preserve">further communications </w:t>
      </w:r>
      <w:r w:rsidR="002269E6" w:rsidRPr="002269E6">
        <w:rPr>
          <w:rFonts w:ascii="Arial" w:hAnsi="Arial" w:cs="Arial"/>
        </w:rPr>
        <w:t>b</w:t>
      </w:r>
      <w:r w:rsidRPr="002269E6">
        <w:rPr>
          <w:rFonts w:ascii="Arial" w:hAnsi="Arial" w:cs="Arial"/>
        </w:rPr>
        <w:t>y any State party shall be received under the present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article after the notification of withdrawal of the declaration has been received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by the Se</w:t>
      </w:r>
      <w:r w:rsidR="002269E6" w:rsidRPr="002269E6">
        <w:rPr>
          <w:rFonts w:ascii="Arial" w:hAnsi="Arial" w:cs="Arial"/>
        </w:rPr>
        <w:t>cretary-General, .unless the St</w:t>
      </w:r>
      <w:r w:rsidR="002269E6">
        <w:rPr>
          <w:rFonts w:ascii="Arial" w:hAnsi="Arial" w:cs="Arial"/>
        </w:rPr>
        <w:t>ate party c</w:t>
      </w:r>
      <w:r w:rsidRPr="002269E6">
        <w:rPr>
          <w:rFonts w:ascii="Arial" w:hAnsi="Arial" w:cs="Arial"/>
        </w:rPr>
        <w:t>oncerned has made a new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declaration.</w:t>
      </w:r>
    </w:p>
    <w:p w:rsidR="000B746C" w:rsidRPr="00356432" w:rsidRDefault="000B746C" w:rsidP="008F3D5A">
      <w:pPr>
        <w:pStyle w:val="CIL1Heading"/>
      </w:pPr>
      <w:bookmarkStart w:id="15" w:name="_Toc77933775"/>
      <w:r w:rsidRPr="00356432">
        <w:lastRenderedPageBreak/>
        <w:t>PART III</w:t>
      </w:r>
      <w:r w:rsidR="00443871">
        <w:t xml:space="preserve"> </w:t>
      </w:r>
      <w:r w:rsidR="00246B3A">
        <w:br/>
      </w:r>
      <w:r w:rsidRPr="00356432">
        <w:t>INQUIRY PROCEDURE</w:t>
      </w:r>
      <w:bookmarkEnd w:id="15"/>
    </w:p>
    <w:p w:rsidR="000B746C" w:rsidRPr="00356432" w:rsidRDefault="009356D3" w:rsidP="009356D3">
      <w:pPr>
        <w:pStyle w:val="CIL2Heading"/>
      </w:pPr>
      <w:bookmarkStart w:id="16" w:name="_Toc77933776"/>
      <w:r w:rsidRPr="00356432">
        <w:t>Article 13</w:t>
      </w:r>
      <w:r>
        <w:t xml:space="preserve"> </w:t>
      </w:r>
      <w:r w:rsidR="00246B3A">
        <w:br/>
      </w:r>
      <w:r w:rsidRPr="00356432">
        <w:t>Inquiry Procedure For Grave Or Systematic Violations</w:t>
      </w:r>
      <w:bookmarkEnd w:id="16"/>
    </w:p>
    <w:p w:rsidR="000B746C" w:rsidRPr="002269E6" w:rsidRDefault="000B746C" w:rsidP="007F3B88">
      <w:pPr>
        <w:pStyle w:val="ListParagraph"/>
        <w:numPr>
          <w:ilvl w:val="0"/>
          <w:numId w:val="17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If the Committee receives reliable information indicating grave or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systematic violations by a State party of rights set forth in the Convention or in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the Optional Protocols thereto on the sale of children, child prostitution and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child pornography or on the involvement of children in armed conflict, the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Committee shall invite the State party to cooperate in the examination of the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information and, to this end, to submit observations without delay with regard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to the information concerned.</w:t>
      </w:r>
    </w:p>
    <w:p w:rsidR="000B746C" w:rsidRPr="002269E6" w:rsidRDefault="000B746C" w:rsidP="007F3B88">
      <w:pPr>
        <w:pStyle w:val="ListParagraph"/>
        <w:numPr>
          <w:ilvl w:val="0"/>
          <w:numId w:val="17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Taking into account any observations that may have been submitted by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the State party concerned, as well as any other reliable information available to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it, the Committee may designate one or more of its members to conduct an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inquiry and to report urgently to the Committee. Where warranted and with the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consent of the State party, the inquiry may include a visit to its territory.</w:t>
      </w:r>
    </w:p>
    <w:p w:rsidR="000B746C" w:rsidRPr="002269E6" w:rsidRDefault="000B746C" w:rsidP="007F3B88">
      <w:pPr>
        <w:pStyle w:val="ListParagraph"/>
        <w:numPr>
          <w:ilvl w:val="0"/>
          <w:numId w:val="17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Such an</w:t>
      </w:r>
      <w:r w:rsidR="002269E6" w:rsidRPr="002269E6">
        <w:rPr>
          <w:rFonts w:ascii="Arial" w:hAnsi="Arial" w:cs="Arial"/>
        </w:rPr>
        <w:t xml:space="preserve"> inquiry shall be conducted con</w:t>
      </w:r>
      <w:r w:rsidRPr="002269E6">
        <w:rPr>
          <w:rFonts w:ascii="Arial" w:hAnsi="Arial" w:cs="Arial"/>
        </w:rPr>
        <w:t>fidentially, and the cooperation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of the State party shall be sought at all stages of the proceedings.</w:t>
      </w:r>
    </w:p>
    <w:p w:rsidR="000B746C" w:rsidRPr="002269E6" w:rsidRDefault="000B746C" w:rsidP="007F3B88">
      <w:pPr>
        <w:pStyle w:val="ListParagraph"/>
        <w:numPr>
          <w:ilvl w:val="0"/>
          <w:numId w:val="17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After examining the findings of such an inquiry, the Committee shall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transmit without delay these findings to the State party concerned, together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with any comments and recommendations.</w:t>
      </w:r>
    </w:p>
    <w:p w:rsidR="000B746C" w:rsidRPr="002269E6" w:rsidRDefault="000B746C" w:rsidP="007F3B88">
      <w:pPr>
        <w:pStyle w:val="ListParagraph"/>
        <w:numPr>
          <w:ilvl w:val="0"/>
          <w:numId w:val="17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State party concerned shall, as soon as possible and within six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months of receiving the findings, comments and recommendations transmitted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by the Committee, submit its observations to the Committee.</w:t>
      </w:r>
    </w:p>
    <w:p w:rsidR="000B746C" w:rsidRPr="002269E6" w:rsidRDefault="000B746C" w:rsidP="007F3B88">
      <w:pPr>
        <w:pStyle w:val="ListParagraph"/>
        <w:numPr>
          <w:ilvl w:val="0"/>
          <w:numId w:val="17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After such proceedings have been completed with regard to an inquiry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made in accordance with paragraph 2 of the present article, the Committee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may, after consultation with the State party concerned, decide to include a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summary account of the results of the proceedings in its report provided for in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article 16 of the present Protocol.</w:t>
      </w:r>
    </w:p>
    <w:p w:rsidR="000B746C" w:rsidRPr="002269E6" w:rsidRDefault="000B746C" w:rsidP="007F3B88">
      <w:pPr>
        <w:pStyle w:val="ListParagraph"/>
        <w:numPr>
          <w:ilvl w:val="0"/>
          <w:numId w:val="17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Each State party may, at the time of signature or ratification of the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present Protocol or accession thereto, declare that it does not recognize the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competence of the Committee provided for in the present article in respect of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the rights set forth in some or all of the instruments listed in paragraph 1.</w:t>
      </w:r>
    </w:p>
    <w:p w:rsidR="000B746C" w:rsidRPr="002269E6" w:rsidRDefault="000B746C" w:rsidP="007F3B88">
      <w:pPr>
        <w:pStyle w:val="ListParagraph"/>
        <w:numPr>
          <w:ilvl w:val="0"/>
          <w:numId w:val="17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Any State party having made a declaration in accordance with paragraph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7 of the present article may, at any time, withdraw this declaration by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notification to the Secretary-General of the United Nations.</w:t>
      </w:r>
    </w:p>
    <w:p w:rsidR="000B746C" w:rsidRPr="00356432" w:rsidRDefault="009356D3" w:rsidP="009356D3">
      <w:pPr>
        <w:pStyle w:val="CIL2Heading"/>
      </w:pPr>
      <w:bookmarkStart w:id="17" w:name="_Toc77933777"/>
      <w:r w:rsidRPr="00356432">
        <w:t>Article 14</w:t>
      </w:r>
      <w:r>
        <w:t xml:space="preserve"> </w:t>
      </w:r>
      <w:r w:rsidR="003A4684">
        <w:br/>
      </w:r>
      <w:r w:rsidRPr="00356432">
        <w:t>Follow-Up To The Inquiry Procedure</w:t>
      </w:r>
      <w:bookmarkEnd w:id="17"/>
    </w:p>
    <w:p w:rsidR="000B746C" w:rsidRDefault="000B746C" w:rsidP="007F3B88">
      <w:pPr>
        <w:pStyle w:val="ListParagraph"/>
        <w:numPr>
          <w:ilvl w:val="0"/>
          <w:numId w:val="18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Committee may, if necessary, after the end of the period of six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months referred to in article 13, paragraph 5, invite the State party concerned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to inform it of the measures taken and envisaged in response to an inquiry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conducted under article 13 of the present Protocol.</w:t>
      </w:r>
    </w:p>
    <w:p w:rsidR="003A4684" w:rsidRPr="002269E6" w:rsidRDefault="003A4684" w:rsidP="003A4684">
      <w:pPr>
        <w:pStyle w:val="ListParagraph"/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</w:p>
    <w:p w:rsidR="000B746C" w:rsidRPr="002269E6" w:rsidRDefault="000B746C" w:rsidP="007F3B88">
      <w:pPr>
        <w:pStyle w:val="ListParagraph"/>
        <w:numPr>
          <w:ilvl w:val="0"/>
          <w:numId w:val="18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lastRenderedPageBreak/>
        <w:t>The Committee may invite the State party to submit further information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about any measures that the State party has taken in response to an inquiry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conducted under article 13, including as deemed appropriate by the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Committee, in the State party's subsequent reports under article 44 of the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Convention, article 12 of the Optional Protocol to the Convention on the sale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of children, child prostitution and child pornography or article 8 of the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Optional Protocol to the Convention on the involvement of children in armed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conflict, where applicable.</w:t>
      </w:r>
    </w:p>
    <w:p w:rsidR="000B746C" w:rsidRPr="00356432" w:rsidRDefault="000B746C" w:rsidP="008F3D5A">
      <w:pPr>
        <w:pStyle w:val="CIL1Heading"/>
      </w:pPr>
      <w:bookmarkStart w:id="18" w:name="_Toc77933778"/>
      <w:r w:rsidRPr="00356432">
        <w:t>PART IV</w:t>
      </w:r>
      <w:r w:rsidR="00443871">
        <w:t xml:space="preserve"> </w:t>
      </w:r>
      <w:r w:rsidR="003A4684">
        <w:br/>
      </w:r>
      <w:r w:rsidRPr="00356432">
        <w:t>FINAL PROVISIONS</w:t>
      </w:r>
      <w:bookmarkEnd w:id="18"/>
    </w:p>
    <w:p w:rsidR="000B746C" w:rsidRPr="00356432" w:rsidRDefault="009356D3" w:rsidP="009356D3">
      <w:pPr>
        <w:pStyle w:val="CIL2Heading"/>
      </w:pPr>
      <w:bookmarkStart w:id="19" w:name="_Toc77933779"/>
      <w:r w:rsidRPr="00356432">
        <w:t>Article 15</w:t>
      </w:r>
      <w:r>
        <w:t xml:space="preserve"> </w:t>
      </w:r>
      <w:r w:rsidR="003A4684">
        <w:br/>
      </w:r>
      <w:r>
        <w:t xml:space="preserve">International Assistance And </w:t>
      </w:r>
      <w:r w:rsidRPr="00356432">
        <w:t>Cooperation</w:t>
      </w:r>
      <w:bookmarkEnd w:id="19"/>
    </w:p>
    <w:p w:rsidR="000B746C" w:rsidRPr="002269E6" w:rsidRDefault="000B746C" w:rsidP="007F3B88">
      <w:pPr>
        <w:pStyle w:val="ListParagraph"/>
        <w:numPr>
          <w:ilvl w:val="0"/>
          <w:numId w:val="19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Committee may transmit, with the consent of the State party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concerned, to United Nations specialized agencies, funds and programmes and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other competent bodies its views or recommendations concerning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communications and inquiries that indicate a need for technical advice or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assistance, together with the State party's observations and suggestions, if any,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on these views or recommendations.</w:t>
      </w:r>
    </w:p>
    <w:p w:rsidR="000B746C" w:rsidRPr="002269E6" w:rsidRDefault="000B746C" w:rsidP="007F3B88">
      <w:pPr>
        <w:pStyle w:val="ListParagraph"/>
        <w:numPr>
          <w:ilvl w:val="0"/>
          <w:numId w:val="19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Committee may also bring to the attention of such bodies, with the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consent of the State party concerned, any matter arising out of communications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considered under the present Protocol that may assist them in deciding, each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within its field of competence, on the advisability of international measures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likely to contribute to assisting States parties in achieving progress in the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implementation of the rights recognized in the Convention and/or the Optional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Protocols thereto.</w:t>
      </w:r>
    </w:p>
    <w:p w:rsidR="000B746C" w:rsidRPr="00356432" w:rsidRDefault="009356D3" w:rsidP="009356D3">
      <w:pPr>
        <w:pStyle w:val="CIL2Heading"/>
      </w:pPr>
      <w:bookmarkStart w:id="20" w:name="_Toc77933780"/>
      <w:r w:rsidRPr="00356432">
        <w:t>Article 16</w:t>
      </w:r>
      <w:r>
        <w:t xml:space="preserve"> </w:t>
      </w:r>
      <w:r w:rsidR="003A4684">
        <w:br/>
      </w:r>
      <w:r w:rsidRPr="00356432">
        <w:t>Report To The General Assembly</w:t>
      </w:r>
      <w:bookmarkEnd w:id="20"/>
    </w:p>
    <w:p w:rsidR="000B746C" w:rsidRPr="00356432" w:rsidRDefault="000B746C" w:rsidP="00356432">
      <w:pPr>
        <w:spacing w:before="240" w:after="120" w:line="276" w:lineRule="auto"/>
        <w:jc w:val="both"/>
        <w:rPr>
          <w:rFonts w:ascii="Arial" w:hAnsi="Arial" w:cs="Arial"/>
        </w:rPr>
      </w:pPr>
      <w:r w:rsidRPr="00356432">
        <w:rPr>
          <w:rFonts w:ascii="Arial" w:hAnsi="Arial" w:cs="Arial"/>
        </w:rPr>
        <w:t>The Committee shall include in its report submitted every two years to</w:t>
      </w:r>
      <w:r w:rsidR="002269E6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the General Assembly in accordance with article 44, paragraph 5, of the</w:t>
      </w:r>
      <w:r w:rsidR="002269E6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Convention a summary of its activities under the present Protocol.</w:t>
      </w:r>
    </w:p>
    <w:p w:rsidR="000B746C" w:rsidRPr="00356432" w:rsidRDefault="009356D3" w:rsidP="009356D3">
      <w:pPr>
        <w:pStyle w:val="CIL2Heading"/>
      </w:pPr>
      <w:bookmarkStart w:id="21" w:name="_Toc77933781"/>
      <w:r w:rsidRPr="00356432">
        <w:t>Article 17</w:t>
      </w:r>
      <w:r>
        <w:t xml:space="preserve"> </w:t>
      </w:r>
      <w:r w:rsidR="003A4684">
        <w:br/>
      </w:r>
      <w:r w:rsidRPr="00356432">
        <w:t>Dissemination Of And Information On The</w:t>
      </w:r>
      <w:r>
        <w:t xml:space="preserve"> </w:t>
      </w:r>
      <w:r w:rsidRPr="00356432">
        <w:t>Optional Protocol</w:t>
      </w:r>
      <w:bookmarkEnd w:id="21"/>
    </w:p>
    <w:p w:rsidR="000B746C" w:rsidRPr="00356432" w:rsidRDefault="000B746C" w:rsidP="00356432">
      <w:pPr>
        <w:spacing w:before="240" w:after="120" w:line="276" w:lineRule="auto"/>
        <w:jc w:val="both"/>
        <w:rPr>
          <w:rFonts w:ascii="Arial" w:hAnsi="Arial" w:cs="Arial"/>
        </w:rPr>
      </w:pPr>
      <w:r w:rsidRPr="00356432">
        <w:rPr>
          <w:rFonts w:ascii="Arial" w:hAnsi="Arial" w:cs="Arial"/>
        </w:rPr>
        <w:t>Each State party undertakes to make widely known and to disseminate</w:t>
      </w:r>
      <w:r w:rsidR="002269E6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the present Protocol and to facilitate access to information about the views and</w:t>
      </w:r>
      <w:r w:rsidR="002269E6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recommendations of the Committee, in particular with regard to matters</w:t>
      </w:r>
      <w:r w:rsidR="002269E6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involving the State party, by appropriate and active means and in accessible</w:t>
      </w:r>
      <w:r w:rsidR="002269E6">
        <w:rPr>
          <w:rFonts w:ascii="Arial" w:hAnsi="Arial" w:cs="Arial"/>
        </w:rPr>
        <w:t xml:space="preserve"> </w:t>
      </w:r>
      <w:r w:rsidRPr="00356432">
        <w:rPr>
          <w:rFonts w:ascii="Arial" w:hAnsi="Arial" w:cs="Arial"/>
        </w:rPr>
        <w:t>formats to adults and children alike, including those with disabilities.</w:t>
      </w:r>
    </w:p>
    <w:p w:rsidR="000B746C" w:rsidRPr="00356432" w:rsidRDefault="009356D3" w:rsidP="009356D3">
      <w:pPr>
        <w:pStyle w:val="CIL2Heading"/>
      </w:pPr>
      <w:bookmarkStart w:id="22" w:name="_Toc77933782"/>
      <w:r w:rsidRPr="00356432">
        <w:t>Article 18</w:t>
      </w:r>
      <w:r>
        <w:t xml:space="preserve"> </w:t>
      </w:r>
      <w:r w:rsidR="003A4684">
        <w:br/>
      </w:r>
      <w:r w:rsidRPr="00356432">
        <w:t>Signature, Ratification And Accession</w:t>
      </w:r>
      <w:bookmarkEnd w:id="22"/>
    </w:p>
    <w:p w:rsidR="000B746C" w:rsidRPr="002269E6" w:rsidRDefault="000B746C" w:rsidP="007F3B88">
      <w:pPr>
        <w:pStyle w:val="ListParagraph"/>
        <w:numPr>
          <w:ilvl w:val="0"/>
          <w:numId w:val="20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present Protocol is open for signature</w:t>
      </w:r>
      <w:r w:rsidR="002269E6" w:rsidRPr="002269E6">
        <w:rPr>
          <w:rFonts w:ascii="Arial" w:hAnsi="Arial" w:cs="Arial"/>
        </w:rPr>
        <w:t xml:space="preserve"> to any State that has signed, </w:t>
      </w:r>
      <w:r w:rsidRPr="002269E6">
        <w:rPr>
          <w:rFonts w:ascii="Arial" w:hAnsi="Arial" w:cs="Arial"/>
        </w:rPr>
        <w:t>ratified or acceded to the Convention or either of the first two Optional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Protocols thereto.</w:t>
      </w:r>
    </w:p>
    <w:p w:rsidR="000B746C" w:rsidRPr="002269E6" w:rsidRDefault="000B746C" w:rsidP="007F3B88">
      <w:pPr>
        <w:pStyle w:val="ListParagraph"/>
        <w:numPr>
          <w:ilvl w:val="0"/>
          <w:numId w:val="20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present Protocol is subject to rati</w:t>
      </w:r>
      <w:r w:rsidR="002269E6" w:rsidRPr="002269E6">
        <w:rPr>
          <w:rFonts w:ascii="Arial" w:hAnsi="Arial" w:cs="Arial"/>
        </w:rPr>
        <w:t xml:space="preserve">fication by any State that has </w:t>
      </w:r>
      <w:r w:rsidRPr="002269E6">
        <w:rPr>
          <w:rFonts w:ascii="Arial" w:hAnsi="Arial" w:cs="Arial"/>
        </w:rPr>
        <w:t>ratified or acceded to the Convention or either of the first two Optional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Protocols thereto. Instruments of ratification shall be deposited with the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Secretary-General of the United Nations.</w:t>
      </w:r>
    </w:p>
    <w:p w:rsidR="000B746C" w:rsidRPr="002269E6" w:rsidRDefault="000B746C" w:rsidP="007F3B88">
      <w:pPr>
        <w:pStyle w:val="ListParagraph"/>
        <w:numPr>
          <w:ilvl w:val="0"/>
          <w:numId w:val="20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lastRenderedPageBreak/>
        <w:t>The present Protocol shall be open to accession by any State that has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ratified or acceded to the Convention or either of the first two Optional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Protocols thereto.</w:t>
      </w:r>
    </w:p>
    <w:p w:rsidR="000B746C" w:rsidRPr="002269E6" w:rsidRDefault="000B746C" w:rsidP="007F3B88">
      <w:pPr>
        <w:pStyle w:val="ListParagraph"/>
        <w:numPr>
          <w:ilvl w:val="0"/>
          <w:numId w:val="20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Accession shall be effected by the deposit of an instrument of accession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with the Secretary-General.</w:t>
      </w:r>
    </w:p>
    <w:p w:rsidR="000B746C" w:rsidRPr="00356432" w:rsidRDefault="009356D3" w:rsidP="009356D3">
      <w:pPr>
        <w:pStyle w:val="CIL2Heading"/>
      </w:pPr>
      <w:bookmarkStart w:id="23" w:name="_Toc77933783"/>
      <w:r w:rsidRPr="00356432">
        <w:t>Article 19</w:t>
      </w:r>
      <w:r>
        <w:t xml:space="preserve"> </w:t>
      </w:r>
      <w:r w:rsidR="003A4684">
        <w:br/>
      </w:r>
      <w:r w:rsidRPr="00356432">
        <w:t>Entry Into Force</w:t>
      </w:r>
      <w:bookmarkEnd w:id="23"/>
    </w:p>
    <w:p w:rsidR="000B746C" w:rsidRPr="002269E6" w:rsidRDefault="000B746C" w:rsidP="007F3B88">
      <w:pPr>
        <w:pStyle w:val="ListParagraph"/>
        <w:numPr>
          <w:ilvl w:val="0"/>
          <w:numId w:val="21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present Protocol shall enter into force three months after the deposit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of the tenth instrument</w:t>
      </w:r>
      <w:r w:rsidR="002269E6">
        <w:rPr>
          <w:rFonts w:ascii="Arial" w:hAnsi="Arial" w:cs="Arial"/>
        </w:rPr>
        <w:t xml:space="preserve"> of ratification or accession. </w:t>
      </w:r>
    </w:p>
    <w:p w:rsidR="000B746C" w:rsidRPr="002269E6" w:rsidRDefault="000B746C" w:rsidP="007F3B88">
      <w:pPr>
        <w:pStyle w:val="ListParagraph"/>
        <w:numPr>
          <w:ilvl w:val="0"/>
          <w:numId w:val="21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For each State ratifying the present Protocol or acceding to it after the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deposit of the tenth instrument of ratification or instrument of accession, the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present Protocol shall enter into force three months after the date of the deposit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of its own instrument of ratification or accession.</w:t>
      </w:r>
    </w:p>
    <w:p w:rsidR="000B746C" w:rsidRPr="00356432" w:rsidRDefault="009356D3" w:rsidP="009356D3">
      <w:pPr>
        <w:pStyle w:val="CIL2Heading"/>
      </w:pPr>
      <w:bookmarkStart w:id="24" w:name="_Toc77933784"/>
      <w:r w:rsidRPr="00356432">
        <w:t>Article 20</w:t>
      </w:r>
      <w:r>
        <w:t xml:space="preserve"> </w:t>
      </w:r>
      <w:r w:rsidR="003A4684">
        <w:br/>
      </w:r>
      <w:r>
        <w:t xml:space="preserve">Violations Occurring After The </w:t>
      </w:r>
      <w:r w:rsidRPr="00356432">
        <w:t>Entry Into Force</w:t>
      </w:r>
      <w:bookmarkEnd w:id="24"/>
    </w:p>
    <w:p w:rsidR="000B746C" w:rsidRPr="002269E6" w:rsidRDefault="000B746C" w:rsidP="007F3B88">
      <w:pPr>
        <w:pStyle w:val="ListParagraph"/>
        <w:numPr>
          <w:ilvl w:val="0"/>
          <w:numId w:val="22"/>
        </w:numPr>
        <w:spacing w:before="240" w:after="120" w:line="276" w:lineRule="auto"/>
        <w:ind w:left="360"/>
        <w:jc w:val="both"/>
        <w:rPr>
          <w:rFonts w:ascii="Arial" w:hAnsi="Arial" w:cs="Arial"/>
        </w:rPr>
      </w:pPr>
      <w:r w:rsidRPr="002269E6">
        <w:rPr>
          <w:rFonts w:ascii="Arial" w:hAnsi="Arial" w:cs="Arial"/>
        </w:rPr>
        <w:t>The Committee shall have competence solely in respect of violations by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the State party of any of the rights set forth in the Convention and/or the first</w:t>
      </w:r>
      <w:r w:rsidR="002269E6" w:rsidRP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two Optional Protocols thereto occurring after the entry into force of the</w:t>
      </w:r>
      <w:r w:rsidR="002269E6">
        <w:rPr>
          <w:rFonts w:ascii="Arial" w:hAnsi="Arial" w:cs="Arial"/>
        </w:rPr>
        <w:t xml:space="preserve"> </w:t>
      </w:r>
      <w:r w:rsidRPr="002269E6">
        <w:rPr>
          <w:rFonts w:ascii="Arial" w:hAnsi="Arial" w:cs="Arial"/>
        </w:rPr>
        <w:t>present Protocol.</w:t>
      </w:r>
    </w:p>
    <w:p w:rsidR="000B746C" w:rsidRPr="00443871" w:rsidRDefault="000B746C" w:rsidP="007F3B88">
      <w:pPr>
        <w:pStyle w:val="ListParagraph"/>
        <w:numPr>
          <w:ilvl w:val="0"/>
          <w:numId w:val="22"/>
        </w:numPr>
        <w:spacing w:before="240" w:after="120" w:line="276" w:lineRule="auto"/>
        <w:ind w:left="360"/>
        <w:jc w:val="both"/>
        <w:rPr>
          <w:rFonts w:ascii="Arial" w:hAnsi="Arial" w:cs="Arial"/>
        </w:rPr>
      </w:pPr>
      <w:r w:rsidRPr="00443871">
        <w:rPr>
          <w:rFonts w:ascii="Arial" w:hAnsi="Arial" w:cs="Arial"/>
        </w:rPr>
        <w:t>If a State becomes a party to the present Protocol after its entry into</w:t>
      </w:r>
      <w:r w:rsidR="002269E6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force, the obligations of that State vis-</w:t>
      </w:r>
      <w:r w:rsidR="00443871" w:rsidRPr="00443871">
        <w:rPr>
          <w:rFonts w:ascii="Arial" w:hAnsi="Arial" w:cs="Arial"/>
        </w:rPr>
        <w:t>à</w:t>
      </w:r>
      <w:r w:rsidRPr="00443871">
        <w:rPr>
          <w:rFonts w:ascii="Arial" w:hAnsi="Arial" w:cs="Arial"/>
        </w:rPr>
        <w:t>-vis the Committee shall relate only to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violations of the rights set forth in the Convention and/or the first two Optional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Protocols thereto occurring after the entry into force of the present Protocol for</w:t>
      </w:r>
      <w:r w:rsid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the State concerned.</w:t>
      </w:r>
    </w:p>
    <w:p w:rsidR="000B746C" w:rsidRPr="00356432" w:rsidRDefault="009356D3" w:rsidP="009356D3">
      <w:pPr>
        <w:pStyle w:val="CIL2Heading"/>
      </w:pPr>
      <w:bookmarkStart w:id="25" w:name="_Toc77933785"/>
      <w:r w:rsidRPr="00356432">
        <w:t>Article 21</w:t>
      </w:r>
      <w:r>
        <w:t xml:space="preserve"> </w:t>
      </w:r>
      <w:r w:rsidR="003A4684">
        <w:br/>
      </w:r>
      <w:r w:rsidRPr="00356432">
        <w:t>Amendments</w:t>
      </w:r>
      <w:bookmarkEnd w:id="25"/>
    </w:p>
    <w:p w:rsidR="000B746C" w:rsidRPr="00443871" w:rsidRDefault="000B746C" w:rsidP="007F3B88">
      <w:pPr>
        <w:pStyle w:val="ListParagraph"/>
        <w:numPr>
          <w:ilvl w:val="0"/>
          <w:numId w:val="23"/>
        </w:numPr>
        <w:spacing w:before="240" w:after="120" w:line="276" w:lineRule="auto"/>
        <w:ind w:left="360"/>
        <w:jc w:val="both"/>
        <w:rPr>
          <w:rFonts w:ascii="Arial" w:hAnsi="Arial" w:cs="Arial"/>
        </w:rPr>
      </w:pPr>
      <w:r w:rsidRPr="00443871">
        <w:rPr>
          <w:rFonts w:ascii="Arial" w:hAnsi="Arial" w:cs="Arial"/>
        </w:rPr>
        <w:t>Any State party may propose an amendment to the present Protocol and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submit it to the Secretary-General of the United Nations. The Secretary</w:t>
      </w:r>
      <w:r w:rsidR="00443871" w:rsidRPr="00443871">
        <w:rPr>
          <w:rFonts w:ascii="Arial" w:hAnsi="Arial" w:cs="Arial"/>
        </w:rPr>
        <w:t>-</w:t>
      </w:r>
      <w:r w:rsidRPr="00443871">
        <w:rPr>
          <w:rFonts w:ascii="Arial" w:hAnsi="Arial" w:cs="Arial"/>
        </w:rPr>
        <w:t>General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shall communicate any proposed amendments to States parties with a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request to be notified whether they favour a meeting of States parties for the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purpose of considering and deciding upon the proposals. In the event that,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within four months of the date of such communication, at least one third of the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States parties favour such a meeting, the Secretary-General shall convene the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meeting under the auspices of the United Nations. Any amendment adopted by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a majority of two thirds of the States parties present and voting shall be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submitted by the Secretary-General to the General Assembly for approval and,</w:t>
      </w:r>
      <w:r w:rsid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thereafter, to all States parties for acceptance.</w:t>
      </w:r>
    </w:p>
    <w:p w:rsidR="000B746C" w:rsidRPr="00443871" w:rsidRDefault="000B746C" w:rsidP="007F3B88">
      <w:pPr>
        <w:pStyle w:val="ListParagraph"/>
        <w:numPr>
          <w:ilvl w:val="0"/>
          <w:numId w:val="23"/>
        </w:numPr>
        <w:spacing w:before="240" w:after="120" w:line="276" w:lineRule="auto"/>
        <w:ind w:left="360"/>
        <w:jc w:val="both"/>
        <w:rPr>
          <w:rFonts w:ascii="Arial" w:hAnsi="Arial" w:cs="Arial"/>
        </w:rPr>
      </w:pPr>
      <w:r w:rsidRPr="00443871">
        <w:rPr>
          <w:rFonts w:ascii="Arial" w:hAnsi="Arial" w:cs="Arial"/>
        </w:rPr>
        <w:t>An amendment adopted and approved in accordance with paragraph 1 of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the present article shall enter into force on the thirtieth day after the number of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instruments of acceptance deposited reaches two thirds of the number of States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parties at the date of adoption of the amendment. Thereafter, the amendment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shall enter into force for any State party on the thirtieth day following the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deposit of its own instrument of acceptance. An amendment shall be binding</w:t>
      </w:r>
      <w:r w:rsid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only on those States parties that have accepted it.</w:t>
      </w:r>
    </w:p>
    <w:p w:rsidR="000B746C" w:rsidRPr="00356432" w:rsidRDefault="009356D3" w:rsidP="009356D3">
      <w:pPr>
        <w:pStyle w:val="CIL2Heading"/>
      </w:pPr>
      <w:bookmarkStart w:id="26" w:name="_Toc77933786"/>
      <w:r w:rsidRPr="00356432">
        <w:lastRenderedPageBreak/>
        <w:t>Article 22</w:t>
      </w:r>
      <w:r>
        <w:t xml:space="preserve"> </w:t>
      </w:r>
      <w:r w:rsidR="003A4684">
        <w:br/>
      </w:r>
      <w:r w:rsidRPr="00356432">
        <w:t>Denunciation</w:t>
      </w:r>
      <w:bookmarkEnd w:id="26"/>
    </w:p>
    <w:p w:rsidR="000B746C" w:rsidRPr="00443871" w:rsidRDefault="000B746C" w:rsidP="007F3B88">
      <w:pPr>
        <w:pStyle w:val="ListParagraph"/>
        <w:numPr>
          <w:ilvl w:val="0"/>
          <w:numId w:val="24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443871">
        <w:rPr>
          <w:rFonts w:ascii="Arial" w:hAnsi="Arial" w:cs="Arial"/>
        </w:rPr>
        <w:t>Any State party may denounce the present Protocol at any time by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written notification to the Secretary-General of the United Nations. The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denunciation shall take effect one year after the date of receipt of the</w:t>
      </w:r>
      <w:r w:rsid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notification by the Secretary-General.</w:t>
      </w:r>
    </w:p>
    <w:p w:rsidR="000B746C" w:rsidRPr="00443871" w:rsidRDefault="000B746C" w:rsidP="007F3B88">
      <w:pPr>
        <w:pStyle w:val="ListParagraph"/>
        <w:numPr>
          <w:ilvl w:val="0"/>
          <w:numId w:val="24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443871">
        <w:rPr>
          <w:rFonts w:ascii="Arial" w:hAnsi="Arial" w:cs="Arial"/>
        </w:rPr>
        <w:t>Denunciation shall be without prejudice to the continued application of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the provisions of the present Protocol to any communication submitted under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articles 5 or 12 or any inquiry initiated under article 13 before the effective</w:t>
      </w:r>
      <w:r w:rsid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date of denunciation.</w:t>
      </w:r>
    </w:p>
    <w:p w:rsidR="000B746C" w:rsidRPr="00356432" w:rsidRDefault="009356D3" w:rsidP="009356D3">
      <w:pPr>
        <w:pStyle w:val="CIL2Heading"/>
      </w:pPr>
      <w:bookmarkStart w:id="27" w:name="_Toc77933787"/>
      <w:r w:rsidRPr="00356432">
        <w:t>Article 23</w:t>
      </w:r>
      <w:r>
        <w:t xml:space="preserve"> </w:t>
      </w:r>
      <w:r w:rsidR="003A4684">
        <w:br/>
      </w:r>
      <w:r w:rsidRPr="00356432">
        <w:t>Depositary And Notification By The Secretary-General</w:t>
      </w:r>
      <w:bookmarkEnd w:id="27"/>
    </w:p>
    <w:p w:rsidR="000B746C" w:rsidRPr="00443871" w:rsidRDefault="000B746C" w:rsidP="007F3B88">
      <w:pPr>
        <w:pStyle w:val="ListParagraph"/>
        <w:numPr>
          <w:ilvl w:val="0"/>
          <w:numId w:val="25"/>
        </w:numPr>
        <w:spacing w:before="240" w:after="120" w:line="276" w:lineRule="auto"/>
        <w:ind w:left="360" w:hangingChars="180"/>
        <w:contextualSpacing w:val="0"/>
        <w:jc w:val="both"/>
        <w:rPr>
          <w:rFonts w:ascii="Arial" w:hAnsi="Arial" w:cs="Arial"/>
        </w:rPr>
      </w:pPr>
      <w:r w:rsidRPr="00443871">
        <w:rPr>
          <w:rFonts w:ascii="Arial" w:hAnsi="Arial" w:cs="Arial"/>
        </w:rPr>
        <w:t xml:space="preserve">The Secretary-General of </w:t>
      </w:r>
      <w:r w:rsidR="00443871">
        <w:rPr>
          <w:rFonts w:ascii="Arial" w:hAnsi="Arial" w:cs="Arial"/>
        </w:rPr>
        <w:t>the United Nations shall be the</w:t>
      </w:r>
      <w:r w:rsidRPr="00443871">
        <w:rPr>
          <w:rFonts w:ascii="Arial" w:hAnsi="Arial" w:cs="Arial"/>
        </w:rPr>
        <w:t xml:space="preserve"> depositary of</w:t>
      </w:r>
      <w:r w:rsid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the present Protocol.</w:t>
      </w:r>
    </w:p>
    <w:p w:rsidR="000B746C" w:rsidRPr="008F3D5A" w:rsidRDefault="000B746C" w:rsidP="007F3B88">
      <w:pPr>
        <w:pStyle w:val="ListParagraph"/>
        <w:numPr>
          <w:ilvl w:val="0"/>
          <w:numId w:val="25"/>
        </w:numPr>
        <w:spacing w:before="240" w:after="120" w:line="276" w:lineRule="auto"/>
        <w:ind w:left="360" w:hangingChars="180"/>
        <w:contextualSpacing w:val="0"/>
        <w:jc w:val="both"/>
        <w:rPr>
          <w:rFonts w:ascii="Arial" w:hAnsi="Arial" w:cs="Arial"/>
        </w:rPr>
      </w:pPr>
      <w:r w:rsidRPr="008F3D5A">
        <w:rPr>
          <w:rFonts w:ascii="Arial" w:hAnsi="Arial" w:cs="Arial"/>
        </w:rPr>
        <w:t>The Secretary-General shall inform all States of:</w:t>
      </w:r>
    </w:p>
    <w:p w:rsidR="007F3B88" w:rsidRDefault="000B746C" w:rsidP="007F3B88">
      <w:pPr>
        <w:pStyle w:val="ListParagraph"/>
        <w:numPr>
          <w:ilvl w:val="0"/>
          <w:numId w:val="26"/>
        </w:numPr>
        <w:spacing w:before="240" w:after="120" w:line="276" w:lineRule="auto"/>
        <w:ind w:leftChars="180" w:left="720"/>
        <w:contextualSpacing w:val="0"/>
        <w:jc w:val="both"/>
        <w:rPr>
          <w:rFonts w:ascii="Arial" w:hAnsi="Arial" w:cs="Arial"/>
        </w:rPr>
      </w:pPr>
      <w:r w:rsidRPr="00443871">
        <w:rPr>
          <w:rFonts w:ascii="Arial" w:hAnsi="Arial" w:cs="Arial"/>
        </w:rPr>
        <w:t>Signatures, ratifications and accessions under the present</w:t>
      </w:r>
      <w:r w:rsid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Protocol;</w:t>
      </w:r>
    </w:p>
    <w:p w:rsidR="007F3B88" w:rsidRDefault="000B746C" w:rsidP="007F3B88">
      <w:pPr>
        <w:pStyle w:val="ListParagraph"/>
        <w:numPr>
          <w:ilvl w:val="0"/>
          <w:numId w:val="26"/>
        </w:numPr>
        <w:spacing w:before="240" w:after="120" w:line="276" w:lineRule="auto"/>
        <w:ind w:leftChars="180" w:left="720"/>
        <w:contextualSpacing w:val="0"/>
        <w:jc w:val="both"/>
        <w:rPr>
          <w:rFonts w:ascii="Arial" w:hAnsi="Arial" w:cs="Arial"/>
        </w:rPr>
      </w:pPr>
      <w:r w:rsidRPr="007F3B88">
        <w:rPr>
          <w:rFonts w:ascii="Arial" w:hAnsi="Arial" w:cs="Arial"/>
        </w:rPr>
        <w:t>The date of entry into force of the present Protocol and of any</w:t>
      </w:r>
      <w:r w:rsidR="00443871" w:rsidRPr="007F3B88">
        <w:rPr>
          <w:rFonts w:ascii="Arial" w:hAnsi="Arial" w:cs="Arial"/>
        </w:rPr>
        <w:t xml:space="preserve"> </w:t>
      </w:r>
      <w:r w:rsidRPr="007F3B88">
        <w:rPr>
          <w:rFonts w:ascii="Arial" w:hAnsi="Arial" w:cs="Arial"/>
        </w:rPr>
        <w:t>amendment thereto under article 21;</w:t>
      </w:r>
    </w:p>
    <w:p w:rsidR="000B746C" w:rsidRPr="007F3B88" w:rsidRDefault="000B746C" w:rsidP="007F3B88">
      <w:pPr>
        <w:pStyle w:val="ListParagraph"/>
        <w:numPr>
          <w:ilvl w:val="0"/>
          <w:numId w:val="26"/>
        </w:numPr>
        <w:spacing w:before="240" w:after="120" w:line="276" w:lineRule="auto"/>
        <w:ind w:leftChars="180" w:left="720"/>
        <w:contextualSpacing w:val="0"/>
        <w:jc w:val="both"/>
        <w:rPr>
          <w:rFonts w:ascii="Arial" w:hAnsi="Arial" w:cs="Arial"/>
        </w:rPr>
      </w:pPr>
      <w:r w:rsidRPr="007F3B88">
        <w:rPr>
          <w:rFonts w:ascii="Arial" w:hAnsi="Arial" w:cs="Arial"/>
        </w:rPr>
        <w:t>Any denunciation under article 22 of the present Protocol.</w:t>
      </w:r>
    </w:p>
    <w:p w:rsidR="000B746C" w:rsidRPr="00356432" w:rsidRDefault="009356D3" w:rsidP="009356D3">
      <w:pPr>
        <w:pStyle w:val="CIL2Heading"/>
      </w:pPr>
      <w:bookmarkStart w:id="28" w:name="_Toc77933788"/>
      <w:r w:rsidRPr="00356432">
        <w:t>Article 24</w:t>
      </w:r>
      <w:r>
        <w:t xml:space="preserve"> </w:t>
      </w:r>
      <w:r w:rsidR="003A4684">
        <w:br/>
      </w:r>
      <w:r w:rsidRPr="00356432">
        <w:t>Languages</w:t>
      </w:r>
      <w:bookmarkEnd w:id="28"/>
    </w:p>
    <w:p w:rsidR="000B746C" w:rsidRPr="00443871" w:rsidRDefault="000B746C" w:rsidP="007F3B88">
      <w:pPr>
        <w:pStyle w:val="ListParagraph"/>
        <w:numPr>
          <w:ilvl w:val="0"/>
          <w:numId w:val="27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443871">
        <w:rPr>
          <w:rFonts w:ascii="Arial" w:hAnsi="Arial" w:cs="Arial"/>
        </w:rPr>
        <w:t>The present Protocol, of which the Arabic, Chinese, English, French,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Russian and Spanish texts are equally authentic, shall be deposited in the</w:t>
      </w:r>
      <w:r w:rsid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archives of the United Nations.</w:t>
      </w:r>
    </w:p>
    <w:p w:rsidR="000B746C" w:rsidRDefault="000B746C" w:rsidP="007F3B88">
      <w:pPr>
        <w:pStyle w:val="ListParagraph"/>
        <w:numPr>
          <w:ilvl w:val="0"/>
          <w:numId w:val="27"/>
        </w:numPr>
        <w:spacing w:before="240" w:after="120" w:line="276" w:lineRule="auto"/>
        <w:ind w:left="360"/>
        <w:contextualSpacing w:val="0"/>
        <w:jc w:val="both"/>
        <w:rPr>
          <w:rFonts w:ascii="Arial" w:hAnsi="Arial" w:cs="Arial"/>
        </w:rPr>
      </w:pPr>
      <w:r w:rsidRPr="00443871">
        <w:rPr>
          <w:rFonts w:ascii="Arial" w:hAnsi="Arial" w:cs="Arial"/>
        </w:rPr>
        <w:t>The Secretary-General of the United Nations shall transmit certified</w:t>
      </w:r>
      <w:r w:rsidR="00443871" w:rsidRPr="00443871">
        <w:rPr>
          <w:rFonts w:ascii="Arial" w:hAnsi="Arial" w:cs="Arial"/>
        </w:rPr>
        <w:t xml:space="preserve"> </w:t>
      </w:r>
      <w:r w:rsidRPr="00443871">
        <w:rPr>
          <w:rFonts w:ascii="Arial" w:hAnsi="Arial" w:cs="Arial"/>
        </w:rPr>
        <w:t>copies of the present Protocol to all States.</w:t>
      </w:r>
    </w:p>
    <w:p w:rsidR="007F3B88" w:rsidRDefault="007F3B88" w:rsidP="00356432">
      <w:pPr>
        <w:spacing w:before="240" w:after="120" w:line="276" w:lineRule="auto"/>
        <w:jc w:val="both"/>
        <w:rPr>
          <w:rFonts w:ascii="Arial" w:hAnsi="Arial" w:cs="Arial"/>
        </w:rPr>
        <w:sectPr w:rsidR="007F3B88" w:rsidSect="005C3DEE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43871" w:rsidRDefault="00443871" w:rsidP="00356432">
      <w:pPr>
        <w:spacing w:before="240" w:after="120" w:line="276" w:lineRule="auto"/>
        <w:jc w:val="both"/>
        <w:rPr>
          <w:rFonts w:ascii="Arial" w:hAnsi="Arial" w:cs="Arial"/>
        </w:rPr>
      </w:pPr>
    </w:p>
    <w:sectPr w:rsidR="00443871" w:rsidSect="004438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33" w:rsidRDefault="00A54D33" w:rsidP="00443871">
      <w:r>
        <w:separator/>
      </w:r>
    </w:p>
  </w:endnote>
  <w:endnote w:type="continuationSeparator" w:id="0">
    <w:p w:rsidR="00A54D33" w:rsidRDefault="00A54D33" w:rsidP="0044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71" w:rsidRPr="00955551" w:rsidRDefault="007F3B88" w:rsidP="00955551">
    <w:pPr>
      <w:pStyle w:val="Footer"/>
      <w:pBdr>
        <w:top w:val="single" w:sz="4" w:space="1" w:color="auto"/>
      </w:pBdr>
      <w:rPr>
        <w:rFonts w:ascii="Arial" w:hAnsi="Arial" w:cs="Arial"/>
        <w:color w:val="7F7F7F"/>
        <w:sz w:val="16"/>
        <w:szCs w:val="16"/>
      </w:rPr>
    </w:pPr>
    <w:r w:rsidRPr="00955551">
      <w:rPr>
        <w:rFonts w:ascii="Arial" w:hAnsi="Arial"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955551">
        <w:rPr>
          <w:rStyle w:val="Hyperlink"/>
          <w:rFonts w:ascii="Arial" w:hAnsi="Arial" w:cs="Arial"/>
          <w:color w:val="7F7F7F"/>
          <w:sz w:val="16"/>
          <w:szCs w:val="16"/>
        </w:rPr>
        <w:t>www.cil.nus.edu.sg</w:t>
      </w:r>
    </w:hyperlink>
    <w:r w:rsidRPr="00955551">
      <w:rPr>
        <w:rFonts w:ascii="Arial" w:hAnsi="Arial" w:cs="Arial"/>
        <w:color w:val="7F7F7F"/>
        <w:sz w:val="16"/>
        <w:szCs w:val="16"/>
      </w:rPr>
      <w:t xml:space="preserve">                                  </w:t>
    </w:r>
    <w:r w:rsidRPr="00955551">
      <w:rPr>
        <w:rFonts w:ascii="Arial" w:hAnsi="Arial" w:cs="Arial"/>
        <w:color w:val="7F7F7F"/>
        <w:sz w:val="16"/>
        <w:szCs w:val="16"/>
      </w:rPr>
      <w:tab/>
      <w:t xml:space="preserve">Page </w:t>
    </w:r>
    <w:r w:rsidRPr="00955551">
      <w:rPr>
        <w:rFonts w:ascii="Arial" w:hAnsi="Arial" w:cs="Arial"/>
        <w:color w:val="7F7F7F"/>
        <w:sz w:val="16"/>
        <w:szCs w:val="16"/>
      </w:rPr>
      <w:fldChar w:fldCharType="begin"/>
    </w:r>
    <w:r w:rsidRPr="00955551">
      <w:rPr>
        <w:rFonts w:ascii="Arial" w:hAnsi="Arial" w:cs="Arial"/>
        <w:color w:val="7F7F7F"/>
        <w:sz w:val="16"/>
        <w:szCs w:val="16"/>
      </w:rPr>
      <w:instrText xml:space="preserve"> PAGE </w:instrText>
    </w:r>
    <w:r w:rsidRPr="00955551">
      <w:rPr>
        <w:rFonts w:ascii="Arial" w:hAnsi="Arial" w:cs="Arial"/>
        <w:color w:val="7F7F7F"/>
        <w:sz w:val="16"/>
        <w:szCs w:val="16"/>
      </w:rPr>
      <w:fldChar w:fldCharType="separate"/>
    </w:r>
    <w:r w:rsidR="000D581F">
      <w:rPr>
        <w:rFonts w:ascii="Arial" w:hAnsi="Arial" w:cs="Arial"/>
        <w:noProof/>
        <w:color w:val="7F7F7F"/>
        <w:sz w:val="16"/>
        <w:szCs w:val="16"/>
      </w:rPr>
      <w:t>9</w:t>
    </w:r>
    <w:r w:rsidRPr="00955551">
      <w:rPr>
        <w:rFonts w:ascii="Arial" w:hAnsi="Arial" w:cs="Arial"/>
        <w:color w:val="7F7F7F"/>
        <w:sz w:val="16"/>
        <w:szCs w:val="16"/>
      </w:rPr>
      <w:fldChar w:fldCharType="end"/>
    </w:r>
    <w:r w:rsidRPr="00955551">
      <w:rPr>
        <w:rFonts w:ascii="Arial" w:hAnsi="Arial" w:cs="Arial"/>
        <w:color w:val="7F7F7F"/>
        <w:sz w:val="16"/>
        <w:szCs w:val="16"/>
      </w:rPr>
      <w:t xml:space="preserve"> of </w:t>
    </w:r>
    <w:r w:rsidRPr="00955551">
      <w:rPr>
        <w:rFonts w:ascii="Arial" w:hAnsi="Arial" w:cs="Arial"/>
        <w:color w:val="7F7F7F"/>
        <w:sz w:val="16"/>
        <w:szCs w:val="16"/>
      </w:rPr>
      <w:fldChar w:fldCharType="begin"/>
    </w:r>
    <w:r w:rsidRPr="00955551">
      <w:rPr>
        <w:rFonts w:ascii="Arial" w:hAnsi="Arial" w:cs="Arial"/>
        <w:color w:val="7F7F7F"/>
        <w:sz w:val="16"/>
        <w:szCs w:val="16"/>
      </w:rPr>
      <w:instrText xml:space="preserve"> NUMPAGES  </w:instrText>
    </w:r>
    <w:r w:rsidRPr="00955551">
      <w:rPr>
        <w:rFonts w:ascii="Arial" w:hAnsi="Arial" w:cs="Arial"/>
        <w:color w:val="7F7F7F"/>
        <w:sz w:val="16"/>
        <w:szCs w:val="16"/>
      </w:rPr>
      <w:fldChar w:fldCharType="separate"/>
    </w:r>
    <w:r w:rsidR="000D581F">
      <w:rPr>
        <w:rFonts w:ascii="Arial" w:hAnsi="Arial" w:cs="Arial"/>
        <w:noProof/>
        <w:color w:val="7F7F7F"/>
        <w:sz w:val="16"/>
        <w:szCs w:val="16"/>
      </w:rPr>
      <w:t>9</w:t>
    </w:r>
    <w:r w:rsidRPr="00955551">
      <w:rPr>
        <w:rFonts w:ascii="Arial" w:hAnsi="Arial"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71" w:rsidRPr="007F3B88" w:rsidRDefault="007F3B88" w:rsidP="007F3B88">
    <w:pPr>
      <w:pStyle w:val="Footer"/>
      <w:pBdr>
        <w:top w:val="single" w:sz="4" w:space="8" w:color="auto"/>
      </w:pBdr>
    </w:pPr>
    <w:r w:rsidRPr="00753F84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753F84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 w:rsidRPr="00753F84">
      <w:rPr>
        <w:rFonts w:cs="Arial"/>
        <w:color w:val="7F7F7F"/>
        <w:sz w:val="16"/>
        <w:szCs w:val="16"/>
      </w:rPr>
      <w:t xml:space="preserve">                                  </w:t>
    </w:r>
    <w:r w:rsidRPr="00753F84">
      <w:rPr>
        <w:rFonts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33" w:rsidRDefault="00A54D33" w:rsidP="00443871">
      <w:r>
        <w:separator/>
      </w:r>
    </w:p>
  </w:footnote>
  <w:footnote w:type="continuationSeparator" w:id="0">
    <w:p w:rsidR="00A54D33" w:rsidRDefault="00A54D33" w:rsidP="0044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71" w:rsidRPr="00955551" w:rsidRDefault="007F3B88" w:rsidP="00955551">
    <w:pPr>
      <w:pStyle w:val="Header"/>
      <w:pBdr>
        <w:bottom w:val="single" w:sz="4" w:space="1" w:color="auto"/>
      </w:pBdr>
      <w:rPr>
        <w:rFonts w:ascii="Arial" w:hAnsi="Arial" w:cs="Arial"/>
        <w:caps/>
        <w:color w:val="808080"/>
        <w:sz w:val="16"/>
        <w:szCs w:val="16"/>
      </w:rPr>
    </w:pPr>
    <w:r w:rsidRPr="00955551">
      <w:rPr>
        <w:rFonts w:ascii="Arial" w:hAnsi="Arial" w:cs="Arial"/>
        <w:caps/>
        <w:color w:val="808080"/>
        <w:sz w:val="16"/>
        <w:szCs w:val="16"/>
      </w:rPr>
      <w:t xml:space="preserve">2011 OPTIONAL PROTOCOL TO THE CONVENTION ON THE RIGHTS OF THE CHILD ON A COMMUNICATIONS </w:t>
    </w:r>
    <w:r w:rsidR="00086DBF">
      <w:rPr>
        <w:rFonts w:ascii="Arial" w:hAnsi="Arial" w:cs="Arial"/>
        <w:caps/>
        <w:color w:val="808080"/>
        <w:sz w:val="16"/>
        <w:szCs w:val="16"/>
      </w:rPr>
      <w:t>P</w:t>
    </w:r>
    <w:r w:rsidRPr="00955551">
      <w:rPr>
        <w:rFonts w:ascii="Arial" w:hAnsi="Arial" w:cs="Arial"/>
        <w:caps/>
        <w:color w:val="808080"/>
        <w:sz w:val="16"/>
        <w:szCs w:val="16"/>
      </w:rPr>
      <w:t>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0C2"/>
    <w:multiLevelType w:val="hybridMultilevel"/>
    <w:tmpl w:val="32AAFBF2"/>
    <w:lvl w:ilvl="0" w:tplc="64A214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5095"/>
    <w:multiLevelType w:val="hybridMultilevel"/>
    <w:tmpl w:val="2E80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579D"/>
    <w:multiLevelType w:val="hybridMultilevel"/>
    <w:tmpl w:val="DACC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5B92"/>
    <w:multiLevelType w:val="hybridMultilevel"/>
    <w:tmpl w:val="758CE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C16C4"/>
    <w:multiLevelType w:val="hybridMultilevel"/>
    <w:tmpl w:val="D5CA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6302"/>
    <w:multiLevelType w:val="hybridMultilevel"/>
    <w:tmpl w:val="AA1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F047A"/>
    <w:multiLevelType w:val="hybridMultilevel"/>
    <w:tmpl w:val="8182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462F4"/>
    <w:multiLevelType w:val="hybridMultilevel"/>
    <w:tmpl w:val="F8AA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A65FD"/>
    <w:multiLevelType w:val="hybridMultilevel"/>
    <w:tmpl w:val="F1002D0E"/>
    <w:lvl w:ilvl="0" w:tplc="9210DE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E6895"/>
    <w:multiLevelType w:val="hybridMultilevel"/>
    <w:tmpl w:val="62BC4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40A5A"/>
    <w:multiLevelType w:val="hybridMultilevel"/>
    <w:tmpl w:val="6EFC4DAA"/>
    <w:lvl w:ilvl="0" w:tplc="64A2141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A6267E8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763379"/>
    <w:multiLevelType w:val="hybridMultilevel"/>
    <w:tmpl w:val="C316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861"/>
    <w:multiLevelType w:val="hybridMultilevel"/>
    <w:tmpl w:val="2FDA3E16"/>
    <w:lvl w:ilvl="0" w:tplc="64A214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2464B"/>
    <w:multiLevelType w:val="hybridMultilevel"/>
    <w:tmpl w:val="081A0EC4"/>
    <w:lvl w:ilvl="0" w:tplc="64A2141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A6267E8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A51766"/>
    <w:multiLevelType w:val="hybridMultilevel"/>
    <w:tmpl w:val="FF00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D0D4C"/>
    <w:multiLevelType w:val="hybridMultilevel"/>
    <w:tmpl w:val="75D4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83151"/>
    <w:multiLevelType w:val="hybridMultilevel"/>
    <w:tmpl w:val="468A6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3501D"/>
    <w:multiLevelType w:val="hybridMultilevel"/>
    <w:tmpl w:val="13F2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94A6B"/>
    <w:multiLevelType w:val="hybridMultilevel"/>
    <w:tmpl w:val="4B02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97D9B"/>
    <w:multiLevelType w:val="hybridMultilevel"/>
    <w:tmpl w:val="5DF28AEC"/>
    <w:lvl w:ilvl="0" w:tplc="64A2141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A6267E8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1E167C"/>
    <w:multiLevelType w:val="hybridMultilevel"/>
    <w:tmpl w:val="9A3C9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662D8"/>
    <w:multiLevelType w:val="hybridMultilevel"/>
    <w:tmpl w:val="7FFC6B14"/>
    <w:lvl w:ilvl="0" w:tplc="9210DE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A2582"/>
    <w:multiLevelType w:val="hybridMultilevel"/>
    <w:tmpl w:val="02D4C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219D0"/>
    <w:multiLevelType w:val="hybridMultilevel"/>
    <w:tmpl w:val="D0E6BCB0"/>
    <w:lvl w:ilvl="0" w:tplc="64A214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6267E8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6C1BBB"/>
    <w:multiLevelType w:val="hybridMultilevel"/>
    <w:tmpl w:val="7BA6E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84671"/>
    <w:multiLevelType w:val="hybridMultilevel"/>
    <w:tmpl w:val="6BBA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16314"/>
    <w:multiLevelType w:val="hybridMultilevel"/>
    <w:tmpl w:val="7E38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55E32"/>
    <w:multiLevelType w:val="hybridMultilevel"/>
    <w:tmpl w:val="0A90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B315D"/>
    <w:multiLevelType w:val="hybridMultilevel"/>
    <w:tmpl w:val="CD00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7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21"/>
  </w:num>
  <w:num w:numId="9">
    <w:abstractNumId w:val="8"/>
  </w:num>
  <w:num w:numId="10">
    <w:abstractNumId w:val="24"/>
  </w:num>
  <w:num w:numId="11">
    <w:abstractNumId w:val="18"/>
  </w:num>
  <w:num w:numId="12">
    <w:abstractNumId w:val="1"/>
  </w:num>
  <w:num w:numId="13">
    <w:abstractNumId w:val="20"/>
  </w:num>
  <w:num w:numId="14">
    <w:abstractNumId w:val="4"/>
  </w:num>
  <w:num w:numId="15">
    <w:abstractNumId w:val="13"/>
  </w:num>
  <w:num w:numId="16">
    <w:abstractNumId w:val="0"/>
  </w:num>
  <w:num w:numId="17">
    <w:abstractNumId w:val="22"/>
  </w:num>
  <w:num w:numId="18">
    <w:abstractNumId w:val="14"/>
  </w:num>
  <w:num w:numId="19">
    <w:abstractNumId w:val="26"/>
  </w:num>
  <w:num w:numId="20">
    <w:abstractNumId w:val="11"/>
  </w:num>
  <w:num w:numId="21">
    <w:abstractNumId w:val="5"/>
  </w:num>
  <w:num w:numId="22">
    <w:abstractNumId w:val="16"/>
  </w:num>
  <w:num w:numId="23">
    <w:abstractNumId w:val="3"/>
  </w:num>
  <w:num w:numId="24">
    <w:abstractNumId w:val="2"/>
  </w:num>
  <w:num w:numId="25">
    <w:abstractNumId w:val="28"/>
  </w:num>
  <w:num w:numId="26">
    <w:abstractNumId w:val="19"/>
  </w:num>
  <w:num w:numId="27">
    <w:abstractNumId w:val="9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6C"/>
    <w:rsid w:val="000043E5"/>
    <w:rsid w:val="00022AE1"/>
    <w:rsid w:val="00032623"/>
    <w:rsid w:val="00032C84"/>
    <w:rsid w:val="0003432F"/>
    <w:rsid w:val="00041956"/>
    <w:rsid w:val="00045F9A"/>
    <w:rsid w:val="000460FD"/>
    <w:rsid w:val="00046C7E"/>
    <w:rsid w:val="00055923"/>
    <w:rsid w:val="00061B8B"/>
    <w:rsid w:val="0007234F"/>
    <w:rsid w:val="00080879"/>
    <w:rsid w:val="00080FD6"/>
    <w:rsid w:val="00081E70"/>
    <w:rsid w:val="00082260"/>
    <w:rsid w:val="00086DBF"/>
    <w:rsid w:val="000922A6"/>
    <w:rsid w:val="000A329C"/>
    <w:rsid w:val="000B746C"/>
    <w:rsid w:val="000C2967"/>
    <w:rsid w:val="000C5A1A"/>
    <w:rsid w:val="000D581F"/>
    <w:rsid w:val="000D6DF5"/>
    <w:rsid w:val="000E1DDB"/>
    <w:rsid w:val="001013AD"/>
    <w:rsid w:val="00111688"/>
    <w:rsid w:val="00111A4C"/>
    <w:rsid w:val="00112A51"/>
    <w:rsid w:val="001142FA"/>
    <w:rsid w:val="001207E1"/>
    <w:rsid w:val="0012281C"/>
    <w:rsid w:val="00122EC8"/>
    <w:rsid w:val="001246A1"/>
    <w:rsid w:val="0013137D"/>
    <w:rsid w:val="00143BCA"/>
    <w:rsid w:val="001462AA"/>
    <w:rsid w:val="001648EA"/>
    <w:rsid w:val="001669E3"/>
    <w:rsid w:val="001728AB"/>
    <w:rsid w:val="00172E71"/>
    <w:rsid w:val="0018065C"/>
    <w:rsid w:val="00183009"/>
    <w:rsid w:val="00194639"/>
    <w:rsid w:val="0019674F"/>
    <w:rsid w:val="001A6616"/>
    <w:rsid w:val="001C50F5"/>
    <w:rsid w:val="001C7B98"/>
    <w:rsid w:val="001D2E66"/>
    <w:rsid w:val="001D7F95"/>
    <w:rsid w:val="001E52A5"/>
    <w:rsid w:val="001F2B50"/>
    <w:rsid w:val="00200AA3"/>
    <w:rsid w:val="0020147F"/>
    <w:rsid w:val="002226CD"/>
    <w:rsid w:val="00224582"/>
    <w:rsid w:val="00224E12"/>
    <w:rsid w:val="002269E6"/>
    <w:rsid w:val="00246B3A"/>
    <w:rsid w:val="00260086"/>
    <w:rsid w:val="002653B1"/>
    <w:rsid w:val="00274C7A"/>
    <w:rsid w:val="002750EF"/>
    <w:rsid w:val="00275D0D"/>
    <w:rsid w:val="00294CBA"/>
    <w:rsid w:val="00297B32"/>
    <w:rsid w:val="002A32A5"/>
    <w:rsid w:val="002B473E"/>
    <w:rsid w:val="002B7265"/>
    <w:rsid w:val="002C506E"/>
    <w:rsid w:val="002C67E0"/>
    <w:rsid w:val="002D3A06"/>
    <w:rsid w:val="002E0A92"/>
    <w:rsid w:val="002E6283"/>
    <w:rsid w:val="002F1577"/>
    <w:rsid w:val="002F7DA0"/>
    <w:rsid w:val="003035FA"/>
    <w:rsid w:val="00305B43"/>
    <w:rsid w:val="003067B9"/>
    <w:rsid w:val="00311F88"/>
    <w:rsid w:val="00321387"/>
    <w:rsid w:val="00321890"/>
    <w:rsid w:val="00326D39"/>
    <w:rsid w:val="003316EF"/>
    <w:rsid w:val="00334541"/>
    <w:rsid w:val="00343E97"/>
    <w:rsid w:val="00351FC7"/>
    <w:rsid w:val="00355356"/>
    <w:rsid w:val="00356432"/>
    <w:rsid w:val="0037599C"/>
    <w:rsid w:val="00382037"/>
    <w:rsid w:val="00386AC0"/>
    <w:rsid w:val="003A2B2D"/>
    <w:rsid w:val="003A4607"/>
    <w:rsid w:val="003A4684"/>
    <w:rsid w:val="003A46AB"/>
    <w:rsid w:val="003C4214"/>
    <w:rsid w:val="003C696E"/>
    <w:rsid w:val="003C70F3"/>
    <w:rsid w:val="003D682E"/>
    <w:rsid w:val="003D6E5B"/>
    <w:rsid w:val="003E0C85"/>
    <w:rsid w:val="003E4AFA"/>
    <w:rsid w:val="003F1817"/>
    <w:rsid w:val="0042164B"/>
    <w:rsid w:val="0042562D"/>
    <w:rsid w:val="00435F10"/>
    <w:rsid w:val="00443871"/>
    <w:rsid w:val="00453E7C"/>
    <w:rsid w:val="00454C15"/>
    <w:rsid w:val="00457A36"/>
    <w:rsid w:val="00460285"/>
    <w:rsid w:val="00461169"/>
    <w:rsid w:val="0046281B"/>
    <w:rsid w:val="00464378"/>
    <w:rsid w:val="00464582"/>
    <w:rsid w:val="004715DF"/>
    <w:rsid w:val="00473A67"/>
    <w:rsid w:val="00477223"/>
    <w:rsid w:val="0049074B"/>
    <w:rsid w:val="00495B5C"/>
    <w:rsid w:val="00496452"/>
    <w:rsid w:val="004A0D08"/>
    <w:rsid w:val="004A31A0"/>
    <w:rsid w:val="004A5865"/>
    <w:rsid w:val="004B3D8B"/>
    <w:rsid w:val="004B6693"/>
    <w:rsid w:val="004B7073"/>
    <w:rsid w:val="004D6797"/>
    <w:rsid w:val="004E1378"/>
    <w:rsid w:val="004E2177"/>
    <w:rsid w:val="004F129B"/>
    <w:rsid w:val="00504C42"/>
    <w:rsid w:val="0051026B"/>
    <w:rsid w:val="00510555"/>
    <w:rsid w:val="00516331"/>
    <w:rsid w:val="00522388"/>
    <w:rsid w:val="00526CF8"/>
    <w:rsid w:val="005316F2"/>
    <w:rsid w:val="00535BF3"/>
    <w:rsid w:val="00537D81"/>
    <w:rsid w:val="005627AF"/>
    <w:rsid w:val="00564EBA"/>
    <w:rsid w:val="00565B5D"/>
    <w:rsid w:val="00575DCC"/>
    <w:rsid w:val="005827A5"/>
    <w:rsid w:val="00584C90"/>
    <w:rsid w:val="005865AA"/>
    <w:rsid w:val="0058716E"/>
    <w:rsid w:val="00597551"/>
    <w:rsid w:val="005A0C6D"/>
    <w:rsid w:val="005B2D91"/>
    <w:rsid w:val="005C3DEE"/>
    <w:rsid w:val="005C46EA"/>
    <w:rsid w:val="005C6ADE"/>
    <w:rsid w:val="005D59E8"/>
    <w:rsid w:val="005E264A"/>
    <w:rsid w:val="005E6807"/>
    <w:rsid w:val="005F25E1"/>
    <w:rsid w:val="00615E91"/>
    <w:rsid w:val="00624B74"/>
    <w:rsid w:val="0062758C"/>
    <w:rsid w:val="00642035"/>
    <w:rsid w:val="0064206B"/>
    <w:rsid w:val="00646905"/>
    <w:rsid w:val="006477C3"/>
    <w:rsid w:val="006633EA"/>
    <w:rsid w:val="006829B2"/>
    <w:rsid w:val="006A181F"/>
    <w:rsid w:val="006A368A"/>
    <w:rsid w:val="006C2FAC"/>
    <w:rsid w:val="006D6826"/>
    <w:rsid w:val="00707B16"/>
    <w:rsid w:val="00711A59"/>
    <w:rsid w:val="00711FF8"/>
    <w:rsid w:val="0072576B"/>
    <w:rsid w:val="0073568E"/>
    <w:rsid w:val="00744927"/>
    <w:rsid w:val="00744A85"/>
    <w:rsid w:val="00751EA6"/>
    <w:rsid w:val="00755A12"/>
    <w:rsid w:val="00760BCF"/>
    <w:rsid w:val="00761521"/>
    <w:rsid w:val="00762A99"/>
    <w:rsid w:val="00776086"/>
    <w:rsid w:val="007A5CE9"/>
    <w:rsid w:val="007B6E2C"/>
    <w:rsid w:val="007C0404"/>
    <w:rsid w:val="007C74A6"/>
    <w:rsid w:val="007C7558"/>
    <w:rsid w:val="007D197A"/>
    <w:rsid w:val="007D1AC4"/>
    <w:rsid w:val="007D308E"/>
    <w:rsid w:val="007F2FCB"/>
    <w:rsid w:val="007F3B88"/>
    <w:rsid w:val="008016D1"/>
    <w:rsid w:val="00803BE9"/>
    <w:rsid w:val="00812B21"/>
    <w:rsid w:val="00821388"/>
    <w:rsid w:val="00824DEF"/>
    <w:rsid w:val="008262AF"/>
    <w:rsid w:val="00863AA4"/>
    <w:rsid w:val="00875863"/>
    <w:rsid w:val="008761FC"/>
    <w:rsid w:val="008B0875"/>
    <w:rsid w:val="008B1645"/>
    <w:rsid w:val="008B7927"/>
    <w:rsid w:val="008C6A9C"/>
    <w:rsid w:val="008E41DC"/>
    <w:rsid w:val="008E6E93"/>
    <w:rsid w:val="008E7703"/>
    <w:rsid w:val="008F3D5A"/>
    <w:rsid w:val="008F5246"/>
    <w:rsid w:val="008F7A5C"/>
    <w:rsid w:val="009217B0"/>
    <w:rsid w:val="00921DB5"/>
    <w:rsid w:val="00923519"/>
    <w:rsid w:val="00926EA3"/>
    <w:rsid w:val="009303E7"/>
    <w:rsid w:val="00933064"/>
    <w:rsid w:val="009356D3"/>
    <w:rsid w:val="00955551"/>
    <w:rsid w:val="00965ACC"/>
    <w:rsid w:val="0098008C"/>
    <w:rsid w:val="00982034"/>
    <w:rsid w:val="00982B34"/>
    <w:rsid w:val="009842E6"/>
    <w:rsid w:val="00992233"/>
    <w:rsid w:val="00997B54"/>
    <w:rsid w:val="009A068F"/>
    <w:rsid w:val="009B12F0"/>
    <w:rsid w:val="009B7700"/>
    <w:rsid w:val="009C3725"/>
    <w:rsid w:val="009D1B8A"/>
    <w:rsid w:val="009E21A2"/>
    <w:rsid w:val="009E2828"/>
    <w:rsid w:val="009E4818"/>
    <w:rsid w:val="00A0085A"/>
    <w:rsid w:val="00A03EE4"/>
    <w:rsid w:val="00A05490"/>
    <w:rsid w:val="00A07327"/>
    <w:rsid w:val="00A12E87"/>
    <w:rsid w:val="00A14655"/>
    <w:rsid w:val="00A149F0"/>
    <w:rsid w:val="00A16CEA"/>
    <w:rsid w:val="00A3329A"/>
    <w:rsid w:val="00A359D5"/>
    <w:rsid w:val="00A54D33"/>
    <w:rsid w:val="00A60DBB"/>
    <w:rsid w:val="00A60F35"/>
    <w:rsid w:val="00A61CFF"/>
    <w:rsid w:val="00A62871"/>
    <w:rsid w:val="00A638C5"/>
    <w:rsid w:val="00A646B8"/>
    <w:rsid w:val="00A7627E"/>
    <w:rsid w:val="00A839BE"/>
    <w:rsid w:val="00A94579"/>
    <w:rsid w:val="00AA0D0A"/>
    <w:rsid w:val="00AA6802"/>
    <w:rsid w:val="00AB6F60"/>
    <w:rsid w:val="00AC1CA8"/>
    <w:rsid w:val="00AE05B5"/>
    <w:rsid w:val="00AE3DEB"/>
    <w:rsid w:val="00AE6181"/>
    <w:rsid w:val="00B01951"/>
    <w:rsid w:val="00B05254"/>
    <w:rsid w:val="00B05F3A"/>
    <w:rsid w:val="00B14396"/>
    <w:rsid w:val="00B267DC"/>
    <w:rsid w:val="00B308F2"/>
    <w:rsid w:val="00B30DEB"/>
    <w:rsid w:val="00B34B14"/>
    <w:rsid w:val="00B456B7"/>
    <w:rsid w:val="00B61944"/>
    <w:rsid w:val="00B62E0A"/>
    <w:rsid w:val="00B6351C"/>
    <w:rsid w:val="00B72322"/>
    <w:rsid w:val="00B74778"/>
    <w:rsid w:val="00B85DB0"/>
    <w:rsid w:val="00B96E99"/>
    <w:rsid w:val="00BA3538"/>
    <w:rsid w:val="00BA7E2B"/>
    <w:rsid w:val="00BB5610"/>
    <w:rsid w:val="00BC5DE2"/>
    <w:rsid w:val="00BD1600"/>
    <w:rsid w:val="00BE0D36"/>
    <w:rsid w:val="00BE21D1"/>
    <w:rsid w:val="00BE4E55"/>
    <w:rsid w:val="00BF3AB0"/>
    <w:rsid w:val="00C0692C"/>
    <w:rsid w:val="00C12E92"/>
    <w:rsid w:val="00C20697"/>
    <w:rsid w:val="00C27F88"/>
    <w:rsid w:val="00C33322"/>
    <w:rsid w:val="00C3632D"/>
    <w:rsid w:val="00C436C7"/>
    <w:rsid w:val="00C539B9"/>
    <w:rsid w:val="00C55B05"/>
    <w:rsid w:val="00C573FC"/>
    <w:rsid w:val="00C6101A"/>
    <w:rsid w:val="00C61524"/>
    <w:rsid w:val="00C617E1"/>
    <w:rsid w:val="00C666BA"/>
    <w:rsid w:val="00C73155"/>
    <w:rsid w:val="00C91236"/>
    <w:rsid w:val="00CA21A1"/>
    <w:rsid w:val="00CA449F"/>
    <w:rsid w:val="00CA5A41"/>
    <w:rsid w:val="00CB485A"/>
    <w:rsid w:val="00CC2F8C"/>
    <w:rsid w:val="00CD6EC7"/>
    <w:rsid w:val="00CE31C8"/>
    <w:rsid w:val="00CE567F"/>
    <w:rsid w:val="00CF4CBB"/>
    <w:rsid w:val="00D07EE1"/>
    <w:rsid w:val="00D13015"/>
    <w:rsid w:val="00D133A2"/>
    <w:rsid w:val="00D13F5C"/>
    <w:rsid w:val="00D1649F"/>
    <w:rsid w:val="00D20538"/>
    <w:rsid w:val="00D211DC"/>
    <w:rsid w:val="00D250B0"/>
    <w:rsid w:val="00D43EA3"/>
    <w:rsid w:val="00D45FAB"/>
    <w:rsid w:val="00D52236"/>
    <w:rsid w:val="00D528FE"/>
    <w:rsid w:val="00D67A09"/>
    <w:rsid w:val="00D804A1"/>
    <w:rsid w:val="00D86B2E"/>
    <w:rsid w:val="00D901BD"/>
    <w:rsid w:val="00D92975"/>
    <w:rsid w:val="00DB7B56"/>
    <w:rsid w:val="00DC27F4"/>
    <w:rsid w:val="00DC3275"/>
    <w:rsid w:val="00DC5022"/>
    <w:rsid w:val="00DD2204"/>
    <w:rsid w:val="00DD7A7D"/>
    <w:rsid w:val="00DE57D4"/>
    <w:rsid w:val="00DF3DF6"/>
    <w:rsid w:val="00DF4E11"/>
    <w:rsid w:val="00E005B9"/>
    <w:rsid w:val="00E13279"/>
    <w:rsid w:val="00E15214"/>
    <w:rsid w:val="00E22F62"/>
    <w:rsid w:val="00E2703D"/>
    <w:rsid w:val="00E36432"/>
    <w:rsid w:val="00E42A9B"/>
    <w:rsid w:val="00E46A83"/>
    <w:rsid w:val="00E47C45"/>
    <w:rsid w:val="00E71017"/>
    <w:rsid w:val="00E80D04"/>
    <w:rsid w:val="00E82ED4"/>
    <w:rsid w:val="00E853A3"/>
    <w:rsid w:val="00E854D8"/>
    <w:rsid w:val="00E94458"/>
    <w:rsid w:val="00EA44D0"/>
    <w:rsid w:val="00EA6B9C"/>
    <w:rsid w:val="00ED01F1"/>
    <w:rsid w:val="00F01D85"/>
    <w:rsid w:val="00F30635"/>
    <w:rsid w:val="00F41173"/>
    <w:rsid w:val="00F41BB1"/>
    <w:rsid w:val="00F53E6A"/>
    <w:rsid w:val="00F57A3C"/>
    <w:rsid w:val="00F645C0"/>
    <w:rsid w:val="00F8564E"/>
    <w:rsid w:val="00F86908"/>
    <w:rsid w:val="00F87BC0"/>
    <w:rsid w:val="00FA08BD"/>
    <w:rsid w:val="00FB35F7"/>
    <w:rsid w:val="00FB4CD5"/>
    <w:rsid w:val="00FB6164"/>
    <w:rsid w:val="00FB7DF5"/>
    <w:rsid w:val="00FD1758"/>
    <w:rsid w:val="00FE423C"/>
    <w:rsid w:val="00FE43CD"/>
    <w:rsid w:val="00FF1A31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5B26"/>
  <w15:chartTrackingRefBased/>
  <w15:docId w15:val="{AE5015D2-0AD8-4088-8C35-059F26B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871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2F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CIL 3 Heading"/>
    <w:basedOn w:val="Heading3"/>
    <w:next w:val="Heading3"/>
    <w:link w:val="Heading2Char"/>
    <w:autoRedefine/>
    <w:uiPriority w:val="9"/>
    <w:semiHidden/>
    <w:unhideWhenUsed/>
    <w:qFormat/>
    <w:rsid w:val="00A359D5"/>
    <w:pPr>
      <w:spacing w:before="240" w:after="120" w:line="276" w:lineRule="auto"/>
      <w:outlineLvl w:val="1"/>
    </w:pPr>
    <w:rPr>
      <w:rFonts w:ascii="Arial" w:hAnsi="Arial"/>
      <w:b w:val="0"/>
      <w:bCs w:val="0"/>
      <w:color w:val="auto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62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qFormat/>
    <w:rsid w:val="00A359D5"/>
    <w:pPr>
      <w:keepLines w:val="0"/>
      <w:spacing w:before="240" w:after="60" w:line="276" w:lineRule="auto"/>
      <w:jc w:val="center"/>
      <w:outlineLvl w:val="9"/>
    </w:pPr>
    <w:rPr>
      <w:rFonts w:ascii="Arial" w:eastAsia="Batang" w:hAnsi="Arial" w:cs="Arial"/>
      <w:caps/>
      <w:color w:val="auto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1142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IL2Heading">
    <w:name w:val="CIL 2 Heading"/>
    <w:basedOn w:val="Heading2"/>
    <w:autoRedefine/>
    <w:qFormat/>
    <w:rsid w:val="00A359D5"/>
    <w:pPr>
      <w:keepLines w:val="0"/>
      <w:jc w:val="center"/>
    </w:pPr>
    <w:rPr>
      <w:rFonts w:eastAsia="Batang" w:cs="Arial"/>
      <w:b/>
      <w:iCs/>
      <w:caps/>
      <w:szCs w:val="28"/>
      <w:u w:val="none"/>
      <w:lang w:val="en-GB" w:eastAsia="ko-KR"/>
    </w:rPr>
  </w:style>
  <w:style w:type="character" w:customStyle="1" w:styleId="Heading2Char">
    <w:name w:val="Heading 2 Char"/>
    <w:aliases w:val="CIL 3 Heading Char"/>
    <w:link w:val="Heading2"/>
    <w:uiPriority w:val="9"/>
    <w:semiHidden/>
    <w:rsid w:val="00A359D5"/>
    <w:rPr>
      <w:rFonts w:ascii="Arial" w:eastAsia="Times New Roman" w:hAnsi="Arial" w:cs="Times New Roman"/>
      <w:szCs w:val="26"/>
      <w:u w:val="single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ascii="Arial" w:eastAsia="Batang" w:hAnsi="Arial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qFormat/>
    <w:rsid w:val="001207E1"/>
    <w:pPr>
      <w:spacing w:before="240" w:after="120" w:line="276" w:lineRule="auto"/>
      <w:contextualSpacing/>
      <w:jc w:val="both"/>
    </w:pPr>
    <w:rPr>
      <w:rFonts w:ascii="Arial" w:eastAsia="Batang" w:hAnsi="Arial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443871"/>
    <w:pPr>
      <w:spacing w:before="240" w:after="120" w:line="276" w:lineRule="auto"/>
      <w:jc w:val="center"/>
    </w:pPr>
    <w:rPr>
      <w:rFonts w:ascii="Arial" w:eastAsia="Batang" w:hAnsi="Arial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443871"/>
    <w:rPr>
      <w:rFonts w:ascii="Arial" w:eastAsia="Batang" w:hAnsi="Arial" w:cs="Arial"/>
      <w:i/>
      <w:szCs w:val="24"/>
      <w:lang w:val="en-GB" w:eastAsia="ko-KR"/>
    </w:rPr>
  </w:style>
  <w:style w:type="paragraph" w:customStyle="1" w:styleId="CILTitle">
    <w:name w:val="CIL Title"/>
    <w:basedOn w:val="Normal"/>
    <w:autoRedefine/>
    <w:qFormat/>
    <w:rsid w:val="00A359D5"/>
    <w:pPr>
      <w:spacing w:before="240" w:after="120" w:line="276" w:lineRule="auto"/>
      <w:jc w:val="center"/>
    </w:pPr>
    <w:rPr>
      <w:rFonts w:ascii="Arial" w:eastAsia="Batang" w:hAnsi="Arial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semiHidden/>
    <w:rsid w:val="0042562D"/>
    <w:rPr>
      <w:rFonts w:ascii="Cambria" w:eastAsia="Times New Roman" w:hAnsi="Cambria" w:cs="Times New Roman"/>
      <w:b/>
      <w:bCs/>
      <w:color w:val="4F81BD"/>
    </w:rPr>
  </w:style>
  <w:style w:type="paragraph" w:customStyle="1" w:styleId="CILL1TOC">
    <w:name w:val="CIL L1 TOC"/>
    <w:basedOn w:val="TOC1"/>
    <w:autoRedefine/>
    <w:qFormat/>
    <w:rsid w:val="0042562D"/>
    <w:pPr>
      <w:tabs>
        <w:tab w:val="right" w:leader="dot" w:pos="9350"/>
      </w:tabs>
      <w:spacing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443871"/>
    <w:pPr>
      <w:spacing w:before="120" w:after="120" w:line="276" w:lineRule="auto"/>
    </w:pPr>
    <w:rPr>
      <w:rFonts w:ascii="Arial" w:hAnsi="Arial"/>
      <w:caps/>
    </w:rPr>
  </w:style>
  <w:style w:type="paragraph" w:customStyle="1" w:styleId="Style1">
    <w:name w:val="Style1"/>
    <w:basedOn w:val="TOC2"/>
    <w:autoRedefine/>
    <w:qFormat/>
    <w:rsid w:val="0042562D"/>
    <w:pPr>
      <w:spacing w:line="360" w:lineRule="auto"/>
    </w:pPr>
    <w:rPr>
      <w:rFonts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86DBF"/>
    <w:pPr>
      <w:tabs>
        <w:tab w:val="right" w:leader="dot" w:pos="9350"/>
      </w:tabs>
      <w:spacing w:before="120" w:after="120" w:line="276" w:lineRule="auto"/>
      <w:ind w:left="204"/>
    </w:pPr>
    <w:rPr>
      <w:rFonts w:ascii="Arial" w:hAnsi="Arial"/>
    </w:rPr>
  </w:style>
  <w:style w:type="paragraph" w:customStyle="1" w:styleId="CILL2TOC">
    <w:name w:val="CIL L2 TOC"/>
    <w:basedOn w:val="TOC2"/>
    <w:autoRedefine/>
    <w:qFormat/>
    <w:rsid w:val="0042562D"/>
    <w:pPr>
      <w:spacing w:line="360" w:lineRule="auto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qFormat/>
    <w:rsid w:val="00642035"/>
    <w:pPr>
      <w:spacing w:before="240" w:after="120" w:line="276" w:lineRule="auto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74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71"/>
  </w:style>
  <w:style w:type="paragraph" w:styleId="Footer">
    <w:name w:val="footer"/>
    <w:basedOn w:val="Normal"/>
    <w:link w:val="FooterChar"/>
    <w:uiPriority w:val="99"/>
    <w:unhideWhenUsed/>
    <w:rsid w:val="00443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71"/>
  </w:style>
  <w:style w:type="character" w:styleId="Hyperlink">
    <w:name w:val="Hyperlink"/>
    <w:uiPriority w:val="99"/>
    <w:unhideWhenUsed/>
    <w:rsid w:val="00443871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43871"/>
    <w:pPr>
      <w:spacing w:line="276" w:lineRule="auto"/>
      <w:ind w:left="403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D20D-BD16-A14A-B455-4224403D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24268</CharactersWithSpaces>
  <SharedDoc>false</SharedDoc>
  <HLinks>
    <vt:vector size="180" baseType="variant"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_Toc459453624</vt:lpwstr>
      </vt:variant>
      <vt:variant>
        <vt:i4>1507390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_Toc459453623</vt:lpwstr>
      </vt:variant>
      <vt:variant>
        <vt:i4>1507390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_Toc459453622</vt:lpwstr>
      </vt:variant>
      <vt:variant>
        <vt:i4>1507390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_Toc459453621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_Toc459453620</vt:lpwstr>
      </vt:variant>
      <vt:variant>
        <vt:i4>1310782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_Toc459453619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_Toc459453618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_Toc459453617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_Toc459453616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_Toc459453615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_Toc459453614</vt:lpwstr>
      </vt:variant>
      <vt:variant>
        <vt:i4>1310782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_Toc459453613</vt:lpwstr>
      </vt:variant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_Toc459453612</vt:lpwstr>
      </vt:variant>
      <vt:variant>
        <vt:i4>1310782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_Toc459453611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_Toc459453610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_Toc459453609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_Toc459453608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_Toc459453607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_Toc459453606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_Toc459453605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_Toc459453604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_Toc459453603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_Toc459453602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_Toc459453601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_Toc459453600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_Toc459453599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_Toc459453598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_Toc459453597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cp:lastModifiedBy>Microsoft Office User</cp:lastModifiedBy>
  <cp:revision>9</cp:revision>
  <cp:lastPrinted>2019-10-09T02:59:00Z</cp:lastPrinted>
  <dcterms:created xsi:type="dcterms:W3CDTF">2019-10-09T02:59:00Z</dcterms:created>
  <dcterms:modified xsi:type="dcterms:W3CDTF">2021-07-23T03:56:00Z</dcterms:modified>
</cp:coreProperties>
</file>