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82" w:rsidRDefault="00F332E5" w:rsidP="00970282">
      <w:pPr>
        <w:pStyle w:val="Title"/>
      </w:pPr>
      <w:r>
        <w:t>2012</w:t>
      </w:r>
      <w:r w:rsidR="00970282">
        <w:t xml:space="preserve"> JOINT media statement of the                                                </w:t>
      </w:r>
      <w:r>
        <w:t xml:space="preserve">                              44</w:t>
      </w:r>
      <w:r w:rsidR="00970282" w:rsidRPr="00363431">
        <w:rPr>
          <w:vertAlign w:val="superscript"/>
        </w:rPr>
        <w:t>th</w:t>
      </w:r>
      <w:r w:rsidR="00970282">
        <w:t xml:space="preserve"> </w:t>
      </w:r>
      <w:r w:rsidR="00970282" w:rsidRPr="00A24B11">
        <w:t xml:space="preserve">ASEAN </w:t>
      </w:r>
      <w:r w:rsidR="00970282">
        <w:t xml:space="preserve">economic ministers’ </w:t>
      </w:r>
      <w:r w:rsidR="00970282" w:rsidRPr="00A24B11">
        <w:t xml:space="preserve">MEETING </w:t>
      </w:r>
    </w:p>
    <w:p w:rsidR="00970282" w:rsidRDefault="00970282" w:rsidP="005F03B1">
      <w:pPr>
        <w:pStyle w:val="CILSubtitle"/>
      </w:pPr>
      <w:r>
        <w:t xml:space="preserve">Issued in </w:t>
      </w:r>
      <w:r w:rsidR="005F03B1" w:rsidRPr="005F03B1">
        <w:t>Siem Reap, Cambodia</w:t>
      </w:r>
      <w:r w:rsidR="005F03B1">
        <w:t xml:space="preserve"> </w:t>
      </w:r>
      <w:r w:rsidRPr="00EF2D45">
        <w:t xml:space="preserve">on </w:t>
      </w:r>
      <w:r w:rsidR="00BD5AA7">
        <w:t>27-</w:t>
      </w:r>
      <w:r w:rsidR="005F03B1">
        <w:t>28 August 2012</w:t>
      </w:r>
    </w:p>
    <w:p w:rsidR="00EF2D45" w:rsidRDefault="00EF2D45" w:rsidP="0053390D">
      <w:pPr>
        <w:pStyle w:val="CILSubtitle"/>
      </w:pPr>
    </w:p>
    <w:p w:rsidR="0035714F" w:rsidRPr="004246BF" w:rsidRDefault="00EF2D45" w:rsidP="0035714F">
      <w:pPr>
        <w:pStyle w:val="TOC1"/>
        <w:rPr>
          <w:rFonts w:ascii="Calibri" w:hAnsi="Calibri"/>
          <w:b w:val="0"/>
          <w:caps w:val="0"/>
          <w:noProof/>
          <w:sz w:val="22"/>
          <w:lang w:val="en-SG" w:eastAsia="en-SG" w:bidi="ar-SA"/>
        </w:rPr>
      </w:pPr>
      <w:r w:rsidRPr="0035714F">
        <w:rPr>
          <w:b w:val="0"/>
        </w:rPr>
        <w:fldChar w:fldCharType="begin"/>
      </w:r>
      <w:r w:rsidRPr="0035714F">
        <w:rPr>
          <w:b w:val="0"/>
        </w:rPr>
        <w:instrText xml:space="preserve"> TOC \o "1-3" \h \z \u </w:instrText>
      </w:r>
      <w:r w:rsidRPr="0035714F">
        <w:rPr>
          <w:b w:val="0"/>
        </w:rPr>
        <w:fldChar w:fldCharType="separate"/>
      </w:r>
      <w:hyperlink w:anchor="_Toc484707761" w:history="1">
        <w:r w:rsidR="0035714F" w:rsidRPr="0035714F">
          <w:rPr>
            <w:rStyle w:val="Hyperlink"/>
            <w:b w:val="0"/>
            <w:caps w:val="0"/>
            <w:noProof/>
          </w:rPr>
          <w:t>ECONOMIC PERFORMANCE</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_Toc484707761 \h </w:instrText>
        </w:r>
        <w:r w:rsidR="0035714F" w:rsidRPr="0035714F">
          <w:rPr>
            <w:b w:val="0"/>
            <w:noProof/>
            <w:webHidden/>
          </w:rPr>
        </w:r>
        <w:r w:rsidR="0035714F" w:rsidRPr="0035714F">
          <w:rPr>
            <w:b w:val="0"/>
            <w:noProof/>
            <w:webHidden/>
          </w:rPr>
          <w:fldChar w:fldCharType="separate"/>
        </w:r>
        <w:r w:rsidR="001E07F3">
          <w:rPr>
            <w:b w:val="0"/>
            <w:noProof/>
            <w:webHidden/>
          </w:rPr>
          <w:t>2</w:t>
        </w:r>
        <w:r w:rsidR="0035714F" w:rsidRPr="0035714F">
          <w:rPr>
            <w:b w:val="0"/>
            <w:noProof/>
            <w:webHidden/>
          </w:rPr>
          <w:fldChar w:fldCharType="end"/>
        </w:r>
      </w:hyperlink>
    </w:p>
    <w:p w:rsidR="0035714F" w:rsidRPr="004246BF" w:rsidRDefault="00683615" w:rsidP="0035714F">
      <w:pPr>
        <w:pStyle w:val="TOC1"/>
        <w:rPr>
          <w:rFonts w:ascii="Calibri" w:hAnsi="Calibri"/>
          <w:b w:val="0"/>
          <w:caps w:val="0"/>
          <w:noProof/>
          <w:sz w:val="22"/>
          <w:lang w:val="en-SG" w:eastAsia="en-SG" w:bidi="ar-SA"/>
        </w:rPr>
      </w:pPr>
      <w:hyperlink w:anchor="_Toc484707762" w:history="1">
        <w:r w:rsidR="0035714F" w:rsidRPr="0035714F">
          <w:rPr>
            <w:rStyle w:val="Hyperlink"/>
            <w:b w:val="0"/>
            <w:caps w:val="0"/>
            <w:noProof/>
          </w:rPr>
          <w:t>IMPLEMENTATION OF THE ASEAN ECONOMIC COMMUNITY (AEC) BLUEPRINT</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_Toc484707762 \h </w:instrText>
        </w:r>
        <w:r w:rsidR="0035714F" w:rsidRPr="0035714F">
          <w:rPr>
            <w:b w:val="0"/>
            <w:noProof/>
            <w:webHidden/>
          </w:rPr>
        </w:r>
        <w:r w:rsidR="0035714F" w:rsidRPr="0035714F">
          <w:rPr>
            <w:b w:val="0"/>
            <w:noProof/>
            <w:webHidden/>
          </w:rPr>
          <w:fldChar w:fldCharType="separate"/>
        </w:r>
        <w:r w:rsidR="001E07F3">
          <w:rPr>
            <w:b w:val="0"/>
            <w:noProof/>
            <w:webHidden/>
          </w:rPr>
          <w:t>3</w:t>
        </w:r>
        <w:r w:rsidR="0035714F" w:rsidRPr="0035714F">
          <w:rPr>
            <w:b w:val="0"/>
            <w:noProof/>
            <w:webHidden/>
          </w:rPr>
          <w:fldChar w:fldCharType="end"/>
        </w:r>
      </w:hyperlink>
    </w:p>
    <w:p w:rsidR="0035714F" w:rsidRPr="004246BF" w:rsidRDefault="00683615" w:rsidP="0035714F">
      <w:pPr>
        <w:pStyle w:val="TOC1"/>
        <w:rPr>
          <w:rFonts w:ascii="Calibri" w:hAnsi="Calibri"/>
          <w:b w:val="0"/>
          <w:caps w:val="0"/>
          <w:noProof/>
          <w:sz w:val="22"/>
          <w:lang w:val="en-SG" w:eastAsia="en-SG" w:bidi="ar-SA"/>
        </w:rPr>
      </w:pPr>
      <w:hyperlink w:anchor="_Toc484707763" w:history="1">
        <w:r w:rsidR="0035714F" w:rsidRPr="0035714F">
          <w:rPr>
            <w:rStyle w:val="Hyperlink"/>
            <w:b w:val="0"/>
            <w:caps w:val="0"/>
            <w:noProof/>
          </w:rPr>
          <w:t>EQUITABLE ECONOMIC DEVELOPMENT</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_Toc484707763 \h </w:instrText>
        </w:r>
        <w:r w:rsidR="0035714F" w:rsidRPr="0035714F">
          <w:rPr>
            <w:b w:val="0"/>
            <w:noProof/>
            <w:webHidden/>
          </w:rPr>
        </w:r>
        <w:r w:rsidR="0035714F" w:rsidRPr="0035714F">
          <w:rPr>
            <w:b w:val="0"/>
            <w:noProof/>
            <w:webHidden/>
          </w:rPr>
          <w:fldChar w:fldCharType="separate"/>
        </w:r>
        <w:r w:rsidR="001E07F3">
          <w:rPr>
            <w:b w:val="0"/>
            <w:noProof/>
            <w:webHidden/>
          </w:rPr>
          <w:t>3</w:t>
        </w:r>
        <w:r w:rsidR="0035714F" w:rsidRPr="0035714F">
          <w:rPr>
            <w:b w:val="0"/>
            <w:noProof/>
            <w:webHidden/>
          </w:rPr>
          <w:fldChar w:fldCharType="end"/>
        </w:r>
      </w:hyperlink>
    </w:p>
    <w:p w:rsidR="0035714F" w:rsidRPr="004246BF" w:rsidRDefault="00683615" w:rsidP="0035714F">
      <w:pPr>
        <w:pStyle w:val="TOC1"/>
        <w:rPr>
          <w:rFonts w:ascii="Calibri" w:hAnsi="Calibri"/>
          <w:b w:val="0"/>
          <w:caps w:val="0"/>
          <w:noProof/>
          <w:sz w:val="22"/>
          <w:lang w:val="en-SG" w:eastAsia="en-SG" w:bidi="ar-SA"/>
        </w:rPr>
      </w:pPr>
      <w:hyperlink w:anchor="_Toc484707764" w:history="1">
        <w:r w:rsidR="0035714F" w:rsidRPr="0035714F">
          <w:rPr>
            <w:rStyle w:val="Hyperlink"/>
            <w:b w:val="0"/>
            <w:caps w:val="0"/>
            <w:noProof/>
          </w:rPr>
          <w:t>PRIORITY INTEGRATION SECTORS (PISS)</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_Toc484707764 \h </w:instrText>
        </w:r>
        <w:r w:rsidR="0035714F" w:rsidRPr="0035714F">
          <w:rPr>
            <w:b w:val="0"/>
            <w:noProof/>
            <w:webHidden/>
          </w:rPr>
        </w:r>
        <w:r w:rsidR="0035714F" w:rsidRPr="0035714F">
          <w:rPr>
            <w:b w:val="0"/>
            <w:noProof/>
            <w:webHidden/>
          </w:rPr>
          <w:fldChar w:fldCharType="separate"/>
        </w:r>
        <w:r w:rsidR="001E07F3">
          <w:rPr>
            <w:b w:val="0"/>
            <w:noProof/>
            <w:webHidden/>
          </w:rPr>
          <w:t>3</w:t>
        </w:r>
        <w:r w:rsidR="0035714F" w:rsidRPr="0035714F">
          <w:rPr>
            <w:b w:val="0"/>
            <w:noProof/>
            <w:webHidden/>
          </w:rPr>
          <w:fldChar w:fldCharType="end"/>
        </w:r>
      </w:hyperlink>
    </w:p>
    <w:p w:rsidR="0035714F" w:rsidRPr="004246BF" w:rsidRDefault="00683615" w:rsidP="0035714F">
      <w:pPr>
        <w:pStyle w:val="TOC1"/>
        <w:rPr>
          <w:rFonts w:ascii="Calibri" w:hAnsi="Calibri"/>
          <w:b w:val="0"/>
          <w:caps w:val="0"/>
          <w:noProof/>
          <w:sz w:val="22"/>
          <w:lang w:val="en-SG" w:eastAsia="en-SG" w:bidi="ar-SA"/>
        </w:rPr>
      </w:pPr>
      <w:hyperlink w:anchor="_Toc484707765" w:history="1">
        <w:r w:rsidR="0035714F" w:rsidRPr="0035714F">
          <w:rPr>
            <w:rStyle w:val="Hyperlink"/>
            <w:b w:val="0"/>
            <w:caps w:val="0"/>
            <w:noProof/>
          </w:rPr>
          <w:t>TRADE IN GOODS</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_Toc484707765 \h </w:instrText>
        </w:r>
        <w:r w:rsidR="0035714F" w:rsidRPr="0035714F">
          <w:rPr>
            <w:b w:val="0"/>
            <w:noProof/>
            <w:webHidden/>
          </w:rPr>
        </w:r>
        <w:r w:rsidR="0035714F" w:rsidRPr="0035714F">
          <w:rPr>
            <w:b w:val="0"/>
            <w:noProof/>
            <w:webHidden/>
          </w:rPr>
          <w:fldChar w:fldCharType="separate"/>
        </w:r>
        <w:r w:rsidR="001E07F3">
          <w:rPr>
            <w:b w:val="0"/>
            <w:noProof/>
            <w:webHidden/>
          </w:rPr>
          <w:t>3</w:t>
        </w:r>
        <w:r w:rsidR="0035714F" w:rsidRPr="0035714F">
          <w:rPr>
            <w:b w:val="0"/>
            <w:noProof/>
            <w:webHidden/>
          </w:rPr>
          <w:fldChar w:fldCharType="end"/>
        </w:r>
      </w:hyperlink>
    </w:p>
    <w:p w:rsidR="0035714F" w:rsidRPr="004246BF" w:rsidRDefault="00683615" w:rsidP="0035714F">
      <w:pPr>
        <w:pStyle w:val="TOC2"/>
        <w:rPr>
          <w:rFonts w:ascii="Calibri" w:hAnsi="Calibri"/>
          <w:noProof/>
          <w:sz w:val="22"/>
          <w:lang w:val="en-SG" w:eastAsia="en-SG" w:bidi="ar-SA"/>
        </w:rPr>
      </w:pPr>
      <w:hyperlink w:anchor="_Toc484707766" w:history="1">
        <w:r w:rsidR="0035714F" w:rsidRPr="0035714F">
          <w:rPr>
            <w:rStyle w:val="Hyperlink"/>
            <w:noProof/>
          </w:rPr>
          <w:t>TARIFF LIBERALISATION</w:t>
        </w:r>
        <w:r w:rsidR="0035714F" w:rsidRPr="0035714F">
          <w:rPr>
            <w:noProof/>
            <w:webHidden/>
          </w:rPr>
          <w:tab/>
        </w:r>
        <w:r w:rsidR="0035714F" w:rsidRPr="0035714F">
          <w:rPr>
            <w:noProof/>
            <w:webHidden/>
          </w:rPr>
          <w:fldChar w:fldCharType="begin"/>
        </w:r>
        <w:r w:rsidR="0035714F" w:rsidRPr="0035714F">
          <w:rPr>
            <w:noProof/>
            <w:webHidden/>
          </w:rPr>
          <w:instrText xml:space="preserve"> PAGEREF _Toc484707766 \h </w:instrText>
        </w:r>
        <w:r w:rsidR="0035714F" w:rsidRPr="0035714F">
          <w:rPr>
            <w:noProof/>
            <w:webHidden/>
          </w:rPr>
        </w:r>
        <w:r w:rsidR="0035714F" w:rsidRPr="0035714F">
          <w:rPr>
            <w:noProof/>
            <w:webHidden/>
          </w:rPr>
          <w:fldChar w:fldCharType="separate"/>
        </w:r>
        <w:r w:rsidR="001E07F3">
          <w:rPr>
            <w:noProof/>
            <w:webHidden/>
          </w:rPr>
          <w:t>4</w:t>
        </w:r>
        <w:r w:rsidR="0035714F" w:rsidRPr="0035714F">
          <w:rPr>
            <w:noProof/>
            <w:webHidden/>
          </w:rPr>
          <w:fldChar w:fldCharType="end"/>
        </w:r>
      </w:hyperlink>
    </w:p>
    <w:p w:rsidR="0035714F" w:rsidRPr="004246BF" w:rsidRDefault="00683615" w:rsidP="0035714F">
      <w:pPr>
        <w:pStyle w:val="TOC2"/>
        <w:rPr>
          <w:rFonts w:ascii="Calibri" w:hAnsi="Calibri"/>
          <w:noProof/>
          <w:sz w:val="22"/>
          <w:lang w:val="en-SG" w:eastAsia="en-SG" w:bidi="ar-SA"/>
        </w:rPr>
      </w:pPr>
      <w:hyperlink w:anchor="_Toc484707767" w:history="1">
        <w:r w:rsidR="0035714F" w:rsidRPr="0035714F">
          <w:rPr>
            <w:rStyle w:val="Hyperlink"/>
            <w:noProof/>
          </w:rPr>
          <w:t>ELIMINATION OF NON-TARIFF BARRIERS</w:t>
        </w:r>
        <w:r w:rsidR="0035714F" w:rsidRPr="0035714F">
          <w:rPr>
            <w:noProof/>
            <w:webHidden/>
          </w:rPr>
          <w:tab/>
        </w:r>
        <w:r w:rsidR="0035714F" w:rsidRPr="0035714F">
          <w:rPr>
            <w:noProof/>
            <w:webHidden/>
          </w:rPr>
          <w:fldChar w:fldCharType="begin"/>
        </w:r>
        <w:r w:rsidR="0035714F" w:rsidRPr="0035714F">
          <w:rPr>
            <w:noProof/>
            <w:webHidden/>
          </w:rPr>
          <w:instrText xml:space="preserve"> PAGEREF _Toc484707767 \h </w:instrText>
        </w:r>
        <w:r w:rsidR="0035714F" w:rsidRPr="0035714F">
          <w:rPr>
            <w:noProof/>
            <w:webHidden/>
          </w:rPr>
        </w:r>
        <w:r w:rsidR="0035714F" w:rsidRPr="0035714F">
          <w:rPr>
            <w:noProof/>
            <w:webHidden/>
          </w:rPr>
          <w:fldChar w:fldCharType="separate"/>
        </w:r>
        <w:r w:rsidR="001E07F3">
          <w:rPr>
            <w:noProof/>
            <w:webHidden/>
          </w:rPr>
          <w:t>4</w:t>
        </w:r>
        <w:r w:rsidR="0035714F" w:rsidRPr="0035714F">
          <w:rPr>
            <w:noProof/>
            <w:webHidden/>
          </w:rPr>
          <w:fldChar w:fldCharType="end"/>
        </w:r>
      </w:hyperlink>
    </w:p>
    <w:p w:rsidR="0035714F" w:rsidRPr="004246BF" w:rsidRDefault="00683615" w:rsidP="0035714F">
      <w:pPr>
        <w:pStyle w:val="TOC2"/>
        <w:rPr>
          <w:rFonts w:ascii="Calibri" w:hAnsi="Calibri"/>
          <w:noProof/>
          <w:sz w:val="22"/>
          <w:lang w:val="en-SG" w:eastAsia="en-SG" w:bidi="ar-SA"/>
        </w:rPr>
      </w:pPr>
      <w:hyperlink w:anchor="_Toc484707768" w:history="1">
        <w:r w:rsidR="0035714F" w:rsidRPr="0035714F">
          <w:rPr>
            <w:rStyle w:val="Hyperlink"/>
            <w:noProof/>
          </w:rPr>
          <w:t>SELF-CERTIFICATION</w:t>
        </w:r>
        <w:r w:rsidR="0035714F" w:rsidRPr="0035714F">
          <w:rPr>
            <w:noProof/>
            <w:webHidden/>
          </w:rPr>
          <w:tab/>
        </w:r>
        <w:r w:rsidR="0035714F" w:rsidRPr="0035714F">
          <w:rPr>
            <w:noProof/>
            <w:webHidden/>
          </w:rPr>
          <w:fldChar w:fldCharType="begin"/>
        </w:r>
        <w:r w:rsidR="0035714F" w:rsidRPr="0035714F">
          <w:rPr>
            <w:noProof/>
            <w:webHidden/>
          </w:rPr>
          <w:instrText xml:space="preserve"> PAGEREF _Toc484707768 \h </w:instrText>
        </w:r>
        <w:r w:rsidR="0035714F" w:rsidRPr="0035714F">
          <w:rPr>
            <w:noProof/>
            <w:webHidden/>
          </w:rPr>
        </w:r>
        <w:r w:rsidR="0035714F" w:rsidRPr="0035714F">
          <w:rPr>
            <w:noProof/>
            <w:webHidden/>
          </w:rPr>
          <w:fldChar w:fldCharType="separate"/>
        </w:r>
        <w:r w:rsidR="001E07F3">
          <w:rPr>
            <w:noProof/>
            <w:webHidden/>
          </w:rPr>
          <w:t>4</w:t>
        </w:r>
        <w:r w:rsidR="0035714F" w:rsidRPr="0035714F">
          <w:rPr>
            <w:noProof/>
            <w:webHidden/>
          </w:rPr>
          <w:fldChar w:fldCharType="end"/>
        </w:r>
      </w:hyperlink>
    </w:p>
    <w:p w:rsidR="0035714F" w:rsidRPr="004246BF" w:rsidRDefault="00683615" w:rsidP="0035714F">
      <w:pPr>
        <w:pStyle w:val="TOC2"/>
        <w:rPr>
          <w:rFonts w:ascii="Calibri" w:hAnsi="Calibri"/>
          <w:noProof/>
          <w:sz w:val="22"/>
          <w:lang w:val="en-SG" w:eastAsia="en-SG" w:bidi="ar-SA"/>
        </w:rPr>
      </w:pPr>
      <w:hyperlink w:anchor="_Toc484707769" w:history="1">
        <w:r w:rsidR="0035714F" w:rsidRPr="0035714F">
          <w:rPr>
            <w:rStyle w:val="Hyperlink"/>
            <w:noProof/>
          </w:rPr>
          <w:t>ASEAN SINGLE WINDOW (ASW)</w:t>
        </w:r>
        <w:r w:rsidR="0035714F" w:rsidRPr="0035714F">
          <w:rPr>
            <w:noProof/>
            <w:webHidden/>
          </w:rPr>
          <w:tab/>
        </w:r>
        <w:r w:rsidR="0035714F" w:rsidRPr="0035714F">
          <w:rPr>
            <w:noProof/>
            <w:webHidden/>
          </w:rPr>
          <w:fldChar w:fldCharType="begin"/>
        </w:r>
        <w:r w:rsidR="0035714F" w:rsidRPr="0035714F">
          <w:rPr>
            <w:noProof/>
            <w:webHidden/>
          </w:rPr>
          <w:instrText xml:space="preserve"> PAGEREF _Toc484707769 \h </w:instrText>
        </w:r>
        <w:r w:rsidR="0035714F" w:rsidRPr="0035714F">
          <w:rPr>
            <w:noProof/>
            <w:webHidden/>
          </w:rPr>
        </w:r>
        <w:r w:rsidR="0035714F" w:rsidRPr="0035714F">
          <w:rPr>
            <w:noProof/>
            <w:webHidden/>
          </w:rPr>
          <w:fldChar w:fldCharType="separate"/>
        </w:r>
        <w:r w:rsidR="001E07F3">
          <w:rPr>
            <w:noProof/>
            <w:webHidden/>
          </w:rPr>
          <w:t>4</w:t>
        </w:r>
        <w:r w:rsidR="0035714F" w:rsidRPr="0035714F">
          <w:rPr>
            <w:noProof/>
            <w:webHidden/>
          </w:rPr>
          <w:fldChar w:fldCharType="end"/>
        </w:r>
      </w:hyperlink>
    </w:p>
    <w:p w:rsidR="0035714F" w:rsidRPr="004246BF" w:rsidRDefault="00683615" w:rsidP="0035714F">
      <w:pPr>
        <w:pStyle w:val="TOC2"/>
        <w:rPr>
          <w:rFonts w:ascii="Calibri" w:hAnsi="Calibri"/>
          <w:noProof/>
          <w:sz w:val="22"/>
          <w:lang w:val="en-SG" w:eastAsia="en-SG" w:bidi="ar-SA"/>
        </w:rPr>
      </w:pPr>
      <w:hyperlink w:anchor="_Toc484707770" w:history="1">
        <w:r w:rsidR="0035714F" w:rsidRPr="0035714F">
          <w:rPr>
            <w:rStyle w:val="Hyperlink"/>
            <w:noProof/>
          </w:rPr>
          <w:t>STANDARDS AND CONFORMANCE</w:t>
        </w:r>
        <w:r w:rsidR="0035714F" w:rsidRPr="0035714F">
          <w:rPr>
            <w:noProof/>
            <w:webHidden/>
          </w:rPr>
          <w:tab/>
        </w:r>
        <w:r w:rsidR="0035714F" w:rsidRPr="0035714F">
          <w:rPr>
            <w:noProof/>
            <w:webHidden/>
          </w:rPr>
          <w:fldChar w:fldCharType="begin"/>
        </w:r>
        <w:r w:rsidR="0035714F" w:rsidRPr="0035714F">
          <w:rPr>
            <w:noProof/>
            <w:webHidden/>
          </w:rPr>
          <w:instrText xml:space="preserve"> PAGEREF _Toc484707770 \h </w:instrText>
        </w:r>
        <w:r w:rsidR="0035714F" w:rsidRPr="0035714F">
          <w:rPr>
            <w:noProof/>
            <w:webHidden/>
          </w:rPr>
        </w:r>
        <w:r w:rsidR="0035714F" w:rsidRPr="0035714F">
          <w:rPr>
            <w:noProof/>
            <w:webHidden/>
          </w:rPr>
          <w:fldChar w:fldCharType="separate"/>
        </w:r>
        <w:r w:rsidR="001E07F3">
          <w:rPr>
            <w:noProof/>
            <w:webHidden/>
          </w:rPr>
          <w:t>5</w:t>
        </w:r>
        <w:r w:rsidR="0035714F" w:rsidRPr="0035714F">
          <w:rPr>
            <w:noProof/>
            <w:webHidden/>
          </w:rPr>
          <w:fldChar w:fldCharType="end"/>
        </w:r>
      </w:hyperlink>
    </w:p>
    <w:p w:rsidR="0035714F" w:rsidRPr="004246BF" w:rsidRDefault="00683615" w:rsidP="0035714F">
      <w:pPr>
        <w:pStyle w:val="TOC1"/>
        <w:rPr>
          <w:rFonts w:ascii="Calibri" w:hAnsi="Calibri"/>
          <w:b w:val="0"/>
          <w:caps w:val="0"/>
          <w:noProof/>
          <w:sz w:val="22"/>
          <w:lang w:val="en-SG" w:eastAsia="en-SG" w:bidi="ar-SA"/>
        </w:rPr>
      </w:pPr>
      <w:hyperlink w:anchor="_Toc484707771" w:history="1">
        <w:r w:rsidR="0035714F" w:rsidRPr="0035714F">
          <w:rPr>
            <w:rStyle w:val="Hyperlink"/>
            <w:b w:val="0"/>
            <w:caps w:val="0"/>
            <w:noProof/>
          </w:rPr>
          <w:t>TRADE IN SERVICES</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_Toc484707771 \h </w:instrText>
        </w:r>
        <w:r w:rsidR="0035714F" w:rsidRPr="0035714F">
          <w:rPr>
            <w:b w:val="0"/>
            <w:noProof/>
            <w:webHidden/>
          </w:rPr>
        </w:r>
        <w:r w:rsidR="0035714F" w:rsidRPr="0035714F">
          <w:rPr>
            <w:b w:val="0"/>
            <w:noProof/>
            <w:webHidden/>
          </w:rPr>
          <w:fldChar w:fldCharType="separate"/>
        </w:r>
        <w:r w:rsidR="001E07F3">
          <w:rPr>
            <w:b w:val="0"/>
            <w:noProof/>
            <w:webHidden/>
          </w:rPr>
          <w:t>5</w:t>
        </w:r>
        <w:r w:rsidR="0035714F" w:rsidRPr="0035714F">
          <w:rPr>
            <w:b w:val="0"/>
            <w:noProof/>
            <w:webHidden/>
          </w:rPr>
          <w:fldChar w:fldCharType="end"/>
        </w:r>
      </w:hyperlink>
    </w:p>
    <w:p w:rsidR="0035714F" w:rsidRPr="004246BF" w:rsidRDefault="00683615" w:rsidP="0035714F">
      <w:pPr>
        <w:pStyle w:val="TOC1"/>
        <w:rPr>
          <w:rFonts w:ascii="Calibri" w:hAnsi="Calibri"/>
          <w:b w:val="0"/>
          <w:caps w:val="0"/>
          <w:noProof/>
          <w:sz w:val="22"/>
          <w:lang w:val="en-SG" w:eastAsia="en-SG" w:bidi="ar-SA"/>
        </w:rPr>
      </w:pPr>
      <w:hyperlink w:anchor="_Toc484707772" w:history="1">
        <w:r w:rsidR="0035714F" w:rsidRPr="0035714F">
          <w:rPr>
            <w:rStyle w:val="Hyperlink"/>
            <w:b w:val="0"/>
            <w:caps w:val="0"/>
            <w:noProof/>
          </w:rPr>
          <w:t>INVESTMENT</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_Toc484707772 \h </w:instrText>
        </w:r>
        <w:r w:rsidR="0035714F" w:rsidRPr="0035714F">
          <w:rPr>
            <w:b w:val="0"/>
            <w:noProof/>
            <w:webHidden/>
          </w:rPr>
        </w:r>
        <w:r w:rsidR="0035714F" w:rsidRPr="0035714F">
          <w:rPr>
            <w:b w:val="0"/>
            <w:noProof/>
            <w:webHidden/>
          </w:rPr>
          <w:fldChar w:fldCharType="separate"/>
        </w:r>
        <w:r w:rsidR="001E07F3">
          <w:rPr>
            <w:b w:val="0"/>
            <w:noProof/>
            <w:webHidden/>
          </w:rPr>
          <w:t>5</w:t>
        </w:r>
        <w:r w:rsidR="0035714F" w:rsidRPr="0035714F">
          <w:rPr>
            <w:b w:val="0"/>
            <w:noProof/>
            <w:webHidden/>
          </w:rPr>
          <w:fldChar w:fldCharType="end"/>
        </w:r>
      </w:hyperlink>
    </w:p>
    <w:p w:rsidR="0035714F" w:rsidRPr="004246BF" w:rsidRDefault="00683615" w:rsidP="0035714F">
      <w:pPr>
        <w:pStyle w:val="TOC1"/>
        <w:rPr>
          <w:rFonts w:ascii="Calibri" w:hAnsi="Calibri"/>
          <w:b w:val="0"/>
          <w:caps w:val="0"/>
          <w:noProof/>
          <w:sz w:val="22"/>
          <w:lang w:val="en-SG" w:eastAsia="en-SG" w:bidi="ar-SA"/>
        </w:rPr>
      </w:pPr>
      <w:hyperlink w:anchor="_Toc484707773" w:history="1">
        <w:r w:rsidR="0035714F" w:rsidRPr="0035714F">
          <w:rPr>
            <w:rStyle w:val="Hyperlink"/>
            <w:b w:val="0"/>
            <w:caps w:val="0"/>
            <w:noProof/>
          </w:rPr>
          <w:t>SMALL AND MEDIUM ENTERPRISES (SMES)</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_Toc484707773 \h </w:instrText>
        </w:r>
        <w:r w:rsidR="0035714F" w:rsidRPr="0035714F">
          <w:rPr>
            <w:b w:val="0"/>
            <w:noProof/>
            <w:webHidden/>
          </w:rPr>
        </w:r>
        <w:r w:rsidR="0035714F" w:rsidRPr="0035714F">
          <w:rPr>
            <w:b w:val="0"/>
            <w:noProof/>
            <w:webHidden/>
          </w:rPr>
          <w:fldChar w:fldCharType="separate"/>
        </w:r>
        <w:r w:rsidR="001E07F3">
          <w:rPr>
            <w:b w:val="0"/>
            <w:noProof/>
            <w:webHidden/>
          </w:rPr>
          <w:t>6</w:t>
        </w:r>
        <w:r w:rsidR="0035714F" w:rsidRPr="0035714F">
          <w:rPr>
            <w:b w:val="0"/>
            <w:noProof/>
            <w:webHidden/>
          </w:rPr>
          <w:fldChar w:fldCharType="end"/>
        </w:r>
      </w:hyperlink>
    </w:p>
    <w:p w:rsidR="0035714F" w:rsidRPr="004246BF" w:rsidRDefault="00683615" w:rsidP="0035714F">
      <w:pPr>
        <w:pStyle w:val="TOC1"/>
        <w:rPr>
          <w:rFonts w:ascii="Calibri" w:hAnsi="Calibri"/>
          <w:b w:val="0"/>
          <w:caps w:val="0"/>
          <w:noProof/>
          <w:sz w:val="22"/>
          <w:lang w:val="en-SG" w:eastAsia="en-SG" w:bidi="ar-SA"/>
        </w:rPr>
      </w:pPr>
      <w:hyperlink w:anchor="_Toc484707774" w:history="1">
        <w:r w:rsidR="0035714F" w:rsidRPr="0035714F">
          <w:rPr>
            <w:rStyle w:val="Hyperlink"/>
            <w:b w:val="0"/>
            <w:caps w:val="0"/>
            <w:noProof/>
          </w:rPr>
          <w:t>INTELLECTUAL PROPERTY</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_Toc484707774 \h </w:instrText>
        </w:r>
        <w:r w:rsidR="0035714F" w:rsidRPr="0035714F">
          <w:rPr>
            <w:b w:val="0"/>
            <w:noProof/>
            <w:webHidden/>
          </w:rPr>
        </w:r>
        <w:r w:rsidR="0035714F" w:rsidRPr="0035714F">
          <w:rPr>
            <w:b w:val="0"/>
            <w:noProof/>
            <w:webHidden/>
          </w:rPr>
          <w:fldChar w:fldCharType="separate"/>
        </w:r>
        <w:r w:rsidR="001E07F3">
          <w:rPr>
            <w:b w:val="0"/>
            <w:noProof/>
            <w:webHidden/>
          </w:rPr>
          <w:t>6</w:t>
        </w:r>
        <w:r w:rsidR="0035714F" w:rsidRPr="0035714F">
          <w:rPr>
            <w:b w:val="0"/>
            <w:noProof/>
            <w:webHidden/>
          </w:rPr>
          <w:fldChar w:fldCharType="end"/>
        </w:r>
      </w:hyperlink>
    </w:p>
    <w:p w:rsidR="0035714F" w:rsidRPr="004246BF" w:rsidRDefault="00683615" w:rsidP="0035714F">
      <w:pPr>
        <w:pStyle w:val="TOC1"/>
        <w:rPr>
          <w:rFonts w:ascii="Calibri" w:hAnsi="Calibri"/>
          <w:b w:val="0"/>
          <w:caps w:val="0"/>
          <w:noProof/>
          <w:sz w:val="22"/>
          <w:lang w:val="en-SG" w:eastAsia="en-SG" w:bidi="ar-SA"/>
        </w:rPr>
      </w:pPr>
      <w:hyperlink w:anchor="_Toc484707775" w:history="1">
        <w:r w:rsidR="0035714F" w:rsidRPr="0035714F">
          <w:rPr>
            <w:rStyle w:val="Hyperlink"/>
            <w:b w:val="0"/>
            <w:caps w:val="0"/>
            <w:noProof/>
          </w:rPr>
          <w:t>COMPETITION POLICY</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_Toc484707775 \h </w:instrText>
        </w:r>
        <w:r w:rsidR="0035714F" w:rsidRPr="0035714F">
          <w:rPr>
            <w:b w:val="0"/>
            <w:noProof/>
            <w:webHidden/>
          </w:rPr>
        </w:r>
        <w:r w:rsidR="0035714F" w:rsidRPr="0035714F">
          <w:rPr>
            <w:b w:val="0"/>
            <w:noProof/>
            <w:webHidden/>
          </w:rPr>
          <w:fldChar w:fldCharType="separate"/>
        </w:r>
        <w:r w:rsidR="001E07F3">
          <w:rPr>
            <w:b w:val="0"/>
            <w:noProof/>
            <w:webHidden/>
          </w:rPr>
          <w:t>7</w:t>
        </w:r>
        <w:r w:rsidR="0035714F" w:rsidRPr="0035714F">
          <w:rPr>
            <w:b w:val="0"/>
            <w:noProof/>
            <w:webHidden/>
          </w:rPr>
          <w:fldChar w:fldCharType="end"/>
        </w:r>
      </w:hyperlink>
    </w:p>
    <w:p w:rsidR="0035714F" w:rsidRPr="004246BF" w:rsidRDefault="00683615" w:rsidP="0035714F">
      <w:pPr>
        <w:pStyle w:val="TOC1"/>
        <w:rPr>
          <w:rFonts w:ascii="Calibri" w:hAnsi="Calibri"/>
          <w:b w:val="0"/>
          <w:caps w:val="0"/>
          <w:noProof/>
          <w:sz w:val="22"/>
          <w:lang w:val="en-SG" w:eastAsia="en-SG" w:bidi="ar-SA"/>
        </w:rPr>
      </w:pPr>
      <w:hyperlink w:anchor="_Toc484707776" w:history="1">
        <w:r w:rsidR="0035714F" w:rsidRPr="0035714F">
          <w:rPr>
            <w:rStyle w:val="Hyperlink"/>
            <w:b w:val="0"/>
            <w:caps w:val="0"/>
            <w:noProof/>
          </w:rPr>
          <w:t>CONSUMER PROTECTION</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_Toc484707776 \h </w:instrText>
        </w:r>
        <w:r w:rsidR="0035714F" w:rsidRPr="0035714F">
          <w:rPr>
            <w:b w:val="0"/>
            <w:noProof/>
            <w:webHidden/>
          </w:rPr>
        </w:r>
        <w:r w:rsidR="0035714F" w:rsidRPr="0035714F">
          <w:rPr>
            <w:b w:val="0"/>
            <w:noProof/>
            <w:webHidden/>
          </w:rPr>
          <w:fldChar w:fldCharType="separate"/>
        </w:r>
        <w:r w:rsidR="001E07F3">
          <w:rPr>
            <w:b w:val="0"/>
            <w:noProof/>
            <w:webHidden/>
          </w:rPr>
          <w:t>7</w:t>
        </w:r>
        <w:r w:rsidR="0035714F" w:rsidRPr="0035714F">
          <w:rPr>
            <w:b w:val="0"/>
            <w:noProof/>
            <w:webHidden/>
          </w:rPr>
          <w:fldChar w:fldCharType="end"/>
        </w:r>
      </w:hyperlink>
    </w:p>
    <w:p w:rsidR="0035714F" w:rsidRPr="004246BF" w:rsidRDefault="00683615" w:rsidP="0035714F">
      <w:pPr>
        <w:pStyle w:val="TOC1"/>
        <w:rPr>
          <w:rFonts w:ascii="Calibri" w:hAnsi="Calibri"/>
          <w:b w:val="0"/>
          <w:caps w:val="0"/>
          <w:noProof/>
          <w:sz w:val="22"/>
          <w:lang w:val="en-SG" w:eastAsia="en-SG" w:bidi="ar-SA"/>
        </w:rPr>
      </w:pPr>
      <w:hyperlink w:anchor="_Toc484707777" w:history="1">
        <w:r w:rsidR="0035714F" w:rsidRPr="0035714F">
          <w:rPr>
            <w:rStyle w:val="Hyperlink"/>
            <w:b w:val="0"/>
            <w:caps w:val="0"/>
            <w:noProof/>
          </w:rPr>
          <w:t>ASEAN COMMUNITY STATISTICAL SYSTEM (ACSS)</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_Toc484707777 \h </w:instrText>
        </w:r>
        <w:r w:rsidR="0035714F" w:rsidRPr="0035714F">
          <w:rPr>
            <w:b w:val="0"/>
            <w:noProof/>
            <w:webHidden/>
          </w:rPr>
        </w:r>
        <w:r w:rsidR="0035714F" w:rsidRPr="0035714F">
          <w:rPr>
            <w:b w:val="0"/>
            <w:noProof/>
            <w:webHidden/>
          </w:rPr>
          <w:fldChar w:fldCharType="separate"/>
        </w:r>
        <w:r w:rsidR="001E07F3">
          <w:rPr>
            <w:b w:val="0"/>
            <w:noProof/>
            <w:webHidden/>
          </w:rPr>
          <w:t>7</w:t>
        </w:r>
        <w:r w:rsidR="0035714F" w:rsidRPr="0035714F">
          <w:rPr>
            <w:b w:val="0"/>
            <w:noProof/>
            <w:webHidden/>
          </w:rPr>
          <w:fldChar w:fldCharType="end"/>
        </w:r>
      </w:hyperlink>
    </w:p>
    <w:p w:rsidR="0035714F" w:rsidRPr="004246BF" w:rsidRDefault="00683615" w:rsidP="0035714F">
      <w:pPr>
        <w:pStyle w:val="TOC1"/>
        <w:rPr>
          <w:rFonts w:ascii="Calibri" w:hAnsi="Calibri"/>
          <w:b w:val="0"/>
          <w:caps w:val="0"/>
          <w:noProof/>
          <w:sz w:val="22"/>
          <w:lang w:val="en-SG" w:eastAsia="en-SG" w:bidi="ar-SA"/>
        </w:rPr>
      </w:pPr>
      <w:hyperlink w:anchor="_Toc484707778" w:history="1">
        <w:r w:rsidR="0035714F" w:rsidRPr="0035714F">
          <w:rPr>
            <w:rStyle w:val="Hyperlink"/>
            <w:b w:val="0"/>
            <w:caps w:val="0"/>
            <w:noProof/>
          </w:rPr>
          <w:t>PUBLIC-PRIVATE SECTOR ENGAGEMENT</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_Toc484707778 \h </w:instrText>
        </w:r>
        <w:r w:rsidR="0035714F" w:rsidRPr="0035714F">
          <w:rPr>
            <w:b w:val="0"/>
            <w:noProof/>
            <w:webHidden/>
          </w:rPr>
        </w:r>
        <w:r w:rsidR="0035714F" w:rsidRPr="0035714F">
          <w:rPr>
            <w:b w:val="0"/>
            <w:noProof/>
            <w:webHidden/>
          </w:rPr>
          <w:fldChar w:fldCharType="separate"/>
        </w:r>
        <w:r w:rsidR="001E07F3">
          <w:rPr>
            <w:b w:val="0"/>
            <w:noProof/>
            <w:webHidden/>
          </w:rPr>
          <w:t>7</w:t>
        </w:r>
        <w:r w:rsidR="0035714F" w:rsidRPr="0035714F">
          <w:rPr>
            <w:b w:val="0"/>
            <w:noProof/>
            <w:webHidden/>
          </w:rPr>
          <w:fldChar w:fldCharType="end"/>
        </w:r>
      </w:hyperlink>
    </w:p>
    <w:p w:rsidR="0035714F" w:rsidRPr="004246BF" w:rsidRDefault="00683615" w:rsidP="0035714F">
      <w:pPr>
        <w:pStyle w:val="TOC1"/>
        <w:rPr>
          <w:rFonts w:ascii="Calibri" w:hAnsi="Calibri"/>
          <w:b w:val="0"/>
          <w:caps w:val="0"/>
          <w:noProof/>
          <w:sz w:val="22"/>
          <w:lang w:val="en-SG" w:eastAsia="en-SG" w:bidi="ar-SA"/>
        </w:rPr>
      </w:pPr>
      <w:hyperlink w:anchor="_Toc484707779" w:history="1">
        <w:r w:rsidR="0035714F" w:rsidRPr="0035714F">
          <w:rPr>
            <w:rStyle w:val="Hyperlink"/>
            <w:b w:val="0"/>
            <w:caps w:val="0"/>
            <w:noProof/>
          </w:rPr>
          <w:t>EXTERNAL ECONOMIC RELATIONS</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_Toc484707779 \h </w:instrText>
        </w:r>
        <w:r w:rsidR="0035714F" w:rsidRPr="0035714F">
          <w:rPr>
            <w:b w:val="0"/>
            <w:noProof/>
            <w:webHidden/>
          </w:rPr>
        </w:r>
        <w:r w:rsidR="0035714F" w:rsidRPr="0035714F">
          <w:rPr>
            <w:b w:val="0"/>
            <w:noProof/>
            <w:webHidden/>
          </w:rPr>
          <w:fldChar w:fldCharType="separate"/>
        </w:r>
        <w:r w:rsidR="001E07F3">
          <w:rPr>
            <w:b w:val="0"/>
            <w:noProof/>
            <w:webHidden/>
          </w:rPr>
          <w:t>7</w:t>
        </w:r>
        <w:r w:rsidR="0035714F" w:rsidRPr="0035714F">
          <w:rPr>
            <w:b w:val="0"/>
            <w:noProof/>
            <w:webHidden/>
          </w:rPr>
          <w:fldChar w:fldCharType="end"/>
        </w:r>
      </w:hyperlink>
    </w:p>
    <w:p w:rsidR="0035714F" w:rsidRPr="004246BF" w:rsidRDefault="00683615" w:rsidP="0035714F">
      <w:pPr>
        <w:pStyle w:val="TOC1"/>
        <w:rPr>
          <w:rFonts w:ascii="Calibri" w:hAnsi="Calibri"/>
          <w:b w:val="0"/>
          <w:caps w:val="0"/>
          <w:noProof/>
          <w:sz w:val="22"/>
          <w:lang w:val="en-SG" w:eastAsia="en-SG" w:bidi="ar-SA"/>
        </w:rPr>
      </w:pPr>
      <w:hyperlink w:anchor="_Toc484707780" w:history="1">
        <w:r w:rsidR="0035714F" w:rsidRPr="0035714F">
          <w:rPr>
            <w:rStyle w:val="Hyperlink"/>
            <w:b w:val="0"/>
            <w:caps w:val="0"/>
            <w:noProof/>
          </w:rPr>
          <w:t>TECHNICAL ASSISTANCE AND CAPACITY-BUILDING</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_Toc484707780 \h </w:instrText>
        </w:r>
        <w:r w:rsidR="0035714F" w:rsidRPr="0035714F">
          <w:rPr>
            <w:b w:val="0"/>
            <w:noProof/>
            <w:webHidden/>
          </w:rPr>
        </w:r>
        <w:r w:rsidR="0035714F" w:rsidRPr="0035714F">
          <w:rPr>
            <w:b w:val="0"/>
            <w:noProof/>
            <w:webHidden/>
          </w:rPr>
          <w:fldChar w:fldCharType="separate"/>
        </w:r>
        <w:r w:rsidR="001E07F3">
          <w:rPr>
            <w:b w:val="0"/>
            <w:noProof/>
            <w:webHidden/>
          </w:rPr>
          <w:t>8</w:t>
        </w:r>
        <w:r w:rsidR="0035714F" w:rsidRPr="0035714F">
          <w:rPr>
            <w:b w:val="0"/>
            <w:noProof/>
            <w:webHidden/>
          </w:rPr>
          <w:fldChar w:fldCharType="end"/>
        </w:r>
      </w:hyperlink>
    </w:p>
    <w:p w:rsidR="0035714F" w:rsidRPr="004246BF" w:rsidRDefault="00683615" w:rsidP="0035714F">
      <w:pPr>
        <w:pStyle w:val="TOC1"/>
        <w:rPr>
          <w:rFonts w:ascii="Calibri" w:hAnsi="Calibri"/>
          <w:b w:val="0"/>
          <w:caps w:val="0"/>
          <w:noProof/>
          <w:sz w:val="22"/>
          <w:lang w:val="en-SG" w:eastAsia="en-SG" w:bidi="ar-SA"/>
        </w:rPr>
      </w:pPr>
      <w:hyperlink w:anchor="_Toc484707781" w:history="1">
        <w:r w:rsidR="0035714F" w:rsidRPr="0035714F">
          <w:rPr>
            <w:rStyle w:val="Hyperlink"/>
            <w:b w:val="0"/>
            <w:caps w:val="0"/>
            <w:noProof/>
          </w:rPr>
          <w:t>LIST OF MINISTERS</w:t>
        </w:r>
        <w:r w:rsidR="0035714F" w:rsidRPr="0035714F">
          <w:rPr>
            <w:b w:val="0"/>
            <w:caps w:val="0"/>
            <w:noProof/>
            <w:webHidden/>
          </w:rPr>
          <w:tab/>
        </w:r>
        <w:r w:rsidR="0035714F" w:rsidRPr="0035714F">
          <w:rPr>
            <w:b w:val="0"/>
            <w:noProof/>
            <w:webHidden/>
          </w:rPr>
          <w:fldChar w:fldCharType="begin"/>
        </w:r>
        <w:r w:rsidR="0035714F" w:rsidRPr="0035714F">
          <w:rPr>
            <w:b w:val="0"/>
            <w:noProof/>
            <w:webHidden/>
          </w:rPr>
          <w:instrText xml:space="preserve"> PAGEREF _Toc484707781 \h </w:instrText>
        </w:r>
        <w:r w:rsidR="0035714F" w:rsidRPr="0035714F">
          <w:rPr>
            <w:b w:val="0"/>
            <w:noProof/>
            <w:webHidden/>
          </w:rPr>
        </w:r>
        <w:r w:rsidR="0035714F" w:rsidRPr="0035714F">
          <w:rPr>
            <w:b w:val="0"/>
            <w:noProof/>
            <w:webHidden/>
          </w:rPr>
          <w:fldChar w:fldCharType="separate"/>
        </w:r>
        <w:r w:rsidR="001E07F3">
          <w:rPr>
            <w:b w:val="0"/>
            <w:noProof/>
            <w:webHidden/>
          </w:rPr>
          <w:t>9</w:t>
        </w:r>
        <w:r w:rsidR="0035714F" w:rsidRPr="0035714F">
          <w:rPr>
            <w:b w:val="0"/>
            <w:noProof/>
            <w:webHidden/>
          </w:rPr>
          <w:fldChar w:fldCharType="end"/>
        </w:r>
      </w:hyperlink>
    </w:p>
    <w:p w:rsidR="00EF2D45" w:rsidRPr="00B41AEC" w:rsidRDefault="00EF2D45" w:rsidP="0035714F">
      <w:pPr>
        <w:spacing w:before="60" w:after="60"/>
        <w:rPr>
          <w:caps/>
        </w:rPr>
      </w:pPr>
      <w:r w:rsidRPr="0035714F">
        <w:rPr>
          <w:bCs/>
          <w:caps/>
          <w:noProof/>
        </w:rPr>
        <w:fldChar w:fldCharType="end"/>
      </w:r>
    </w:p>
    <w:p w:rsidR="005F03B1" w:rsidRDefault="00F81A9A" w:rsidP="00C166DE">
      <w:pPr>
        <w:pStyle w:val="Title"/>
      </w:pPr>
      <w:bookmarkStart w:id="0" w:name="_GoBack"/>
      <w:bookmarkEnd w:id="0"/>
      <w:r>
        <w:br w:type="page"/>
      </w:r>
      <w:r w:rsidR="005F03B1">
        <w:lastRenderedPageBreak/>
        <w:t>2012 JOINT media statement of the                                                                              44</w:t>
      </w:r>
      <w:r w:rsidR="005F03B1" w:rsidRPr="00363431">
        <w:rPr>
          <w:vertAlign w:val="superscript"/>
        </w:rPr>
        <w:t>th</w:t>
      </w:r>
      <w:r w:rsidR="005F03B1">
        <w:t xml:space="preserve"> </w:t>
      </w:r>
      <w:r w:rsidR="005F03B1" w:rsidRPr="00A24B11">
        <w:t xml:space="preserve">ASEAN </w:t>
      </w:r>
      <w:r w:rsidR="005F03B1">
        <w:t xml:space="preserve">economic ministers’ </w:t>
      </w:r>
      <w:r w:rsidR="005F03B1" w:rsidRPr="00A24B11">
        <w:t xml:space="preserve">MEETING </w:t>
      </w:r>
    </w:p>
    <w:p w:rsidR="005F03B1" w:rsidRDefault="005F03B1" w:rsidP="00C166DE">
      <w:pPr>
        <w:pStyle w:val="CILSubtitle"/>
      </w:pPr>
      <w:r>
        <w:t xml:space="preserve">Issued in </w:t>
      </w:r>
      <w:r w:rsidRPr="005F03B1">
        <w:t>Siem Reap, Cambodia</w:t>
      </w:r>
      <w:r>
        <w:t xml:space="preserve"> </w:t>
      </w:r>
      <w:r w:rsidRPr="00EF2D45">
        <w:t xml:space="preserve">on </w:t>
      </w:r>
      <w:r w:rsidR="00C166DE">
        <w:t>27-</w:t>
      </w:r>
      <w:r>
        <w:t>28 August 2012</w:t>
      </w:r>
    </w:p>
    <w:p w:rsidR="005F03B1" w:rsidRDefault="005F03B1" w:rsidP="00C166DE">
      <w:pPr>
        <w:numPr>
          <w:ilvl w:val="0"/>
          <w:numId w:val="12"/>
        </w:numPr>
      </w:pPr>
      <w:r>
        <w:t>The 44</w:t>
      </w:r>
      <w:r w:rsidRPr="005F03B1">
        <w:rPr>
          <w:vertAlign w:val="superscript"/>
        </w:rPr>
        <w:t>th</w:t>
      </w:r>
      <w:r>
        <w:t xml:space="preserve"> Meeting of the ASEAN Economic</w:t>
      </w:r>
      <w:r w:rsidR="00C166DE">
        <w:t xml:space="preserve"> Ministers (AEM) was held on 27–</w:t>
      </w:r>
      <w:r>
        <w:t xml:space="preserve">28 August 2012 in Siem Reap, Cambodia. H.E. Cham Prasidh, Senior Minister and Minister of Commerce of Cambodia, chaired the Meeting, which was preceded by a preparatory meeting of the </w:t>
      </w:r>
      <w:r w:rsidR="003055E8">
        <w:br/>
      </w:r>
      <w:r>
        <w:t xml:space="preserve">Senior Economic Officials (SEOM). The AEM also had joint meetings with the </w:t>
      </w:r>
      <w:r w:rsidR="003055E8">
        <w:br/>
      </w:r>
      <w:r>
        <w:t>26</w:t>
      </w:r>
      <w:r w:rsidRPr="005F03B1">
        <w:rPr>
          <w:vertAlign w:val="superscript"/>
        </w:rPr>
        <w:t>th</w:t>
      </w:r>
      <w:r>
        <w:t xml:space="preserve"> ASEAN Free Trade Area (AFTA) Council and the 15</w:t>
      </w:r>
      <w:r w:rsidRPr="005F03B1">
        <w:rPr>
          <w:vertAlign w:val="superscript"/>
        </w:rPr>
        <w:t>th</w:t>
      </w:r>
      <w:r>
        <w:t xml:space="preserve"> ASEAN Investment Area (AIA) Council.</w:t>
      </w:r>
    </w:p>
    <w:p w:rsidR="005F03B1" w:rsidRDefault="005F03B1" w:rsidP="00C166DE">
      <w:pPr>
        <w:pStyle w:val="Heading1"/>
      </w:pPr>
      <w:bookmarkStart w:id="1" w:name="_Toc484707761"/>
      <w:r>
        <w:t>Economic Performance</w:t>
      </w:r>
      <w:bookmarkEnd w:id="1"/>
    </w:p>
    <w:p w:rsidR="005F03B1" w:rsidRDefault="005F03B1" w:rsidP="00C166DE">
      <w:pPr>
        <w:numPr>
          <w:ilvl w:val="0"/>
          <w:numId w:val="12"/>
        </w:numPr>
      </w:pPr>
      <w:r>
        <w:t xml:space="preserve">The Ministers welcomed the robust economic performance and continued resilience of ASEAN in 2011, which grew by 4.7% despite the heightened uncertainties in the global economy. The positive but moderate economic growth was underpinned by resilient domestic demand, strong macroeconomic fundamentals, sound balance sheets of banks and the corporate sector, and </w:t>
      </w:r>
      <w:r w:rsidR="003055E8">
        <w:br/>
      </w:r>
      <w:r>
        <w:t>ongoing structural reforms since 1997. We are confident that our economic expansion would remain healthy this year, with projected GDP growth of between 5.2% and 5.9%.</w:t>
      </w:r>
    </w:p>
    <w:p w:rsidR="00F81A9A" w:rsidRDefault="005F03B1" w:rsidP="00C166DE">
      <w:pPr>
        <w:numPr>
          <w:ilvl w:val="0"/>
          <w:numId w:val="12"/>
        </w:numPr>
      </w:pPr>
      <w:r>
        <w:t xml:space="preserve">The Ministers were pleased to note that ASEAN’s merchandise trade grew at 16.8% from </w:t>
      </w:r>
      <w:r>
        <w:br/>
        <w:t xml:space="preserve">US$ 2.05 trillion in 2010 to US$ 2.39 trillion in 2011 despite the slowdown global trade, with </w:t>
      </w:r>
      <w:r w:rsidR="003055E8">
        <w:br/>
      </w:r>
      <w:r>
        <w:t>intra-ASEAN trade remained strong at US$ 598 billion. Japan was the top export d</w:t>
      </w:r>
      <w:r w:rsidR="00F81A9A">
        <w:t xml:space="preserve">estination, followed by China, </w:t>
      </w:r>
      <w:r>
        <w:t>EU-27, and the United States. At the same time, export and import in services grew by about 10% in 2011. Travel, transportation, other business services, and financial services continue to be the top services export sectors.</w:t>
      </w:r>
    </w:p>
    <w:p w:rsidR="00F81A9A" w:rsidRDefault="005F03B1" w:rsidP="00C166DE">
      <w:pPr>
        <w:numPr>
          <w:ilvl w:val="0"/>
          <w:numId w:val="12"/>
        </w:numPr>
      </w:pPr>
      <w:r>
        <w:t>The Ministers were also pleased that ASEAN maintained its position as one of the most attractive destinations for foreign direct investment (FDI), which reached US$ 89.2 billion in 2011. The European Union (EU-27) remained the top source of FDI to ASEAN accounting for approximately 25% of total inward FDI to ASEAN. Japan and the United States were the second and third largest source of FDI, altogether accounting for 22.5% in total. Intra-ASEAN investment</w:t>
      </w:r>
      <w:r w:rsidR="00F81A9A">
        <w:t xml:space="preserve"> grew at 23% in 2011, reaching </w:t>
      </w:r>
      <w:r>
        <w:t>US$ 17.5 billion or accounted for 19.7% of total inward FDI into ASEAN.</w:t>
      </w:r>
    </w:p>
    <w:p w:rsidR="00B76A5C" w:rsidRDefault="005F03B1" w:rsidP="00C166DE">
      <w:pPr>
        <w:numPr>
          <w:ilvl w:val="0"/>
          <w:numId w:val="12"/>
        </w:numPr>
      </w:pPr>
      <w:r>
        <w:t>The Ministers agreed to remain vigilant against downside risks such as further contraction of external demand caused by sovereign debt crisis in Eurozone, fiscal problems in some developed economies, tighter global financing conditions, higher oil prices, and volatile global capital flows. The Ministers re-iterated that the region should continue to harness its competitive strength through deeper integration and greater macroeconomic and policy coordination, and to support demand and recovery by opening trade and investment and reducing barriers in all forms.</w:t>
      </w:r>
    </w:p>
    <w:p w:rsidR="005F03B1" w:rsidRDefault="0008130F" w:rsidP="00C166DE">
      <w:pPr>
        <w:pStyle w:val="Heading1"/>
      </w:pPr>
      <w:r>
        <w:br w:type="page"/>
      </w:r>
      <w:bookmarkStart w:id="2" w:name="_Toc484707762"/>
      <w:r w:rsidR="005F03B1">
        <w:lastRenderedPageBreak/>
        <w:t>Implementation of the ASEAN Economic Community (AEC) Blueprint</w:t>
      </w:r>
      <w:bookmarkEnd w:id="2"/>
    </w:p>
    <w:p w:rsidR="005F03B1" w:rsidRDefault="005F03B1" w:rsidP="00C166DE">
      <w:pPr>
        <w:numPr>
          <w:ilvl w:val="0"/>
          <w:numId w:val="12"/>
        </w:numPr>
      </w:pPr>
      <w:r>
        <w:t>The Ministers recalled the Phnom Penh Agenda for ASEAN Community Building issued by the Leaders at the 20</w:t>
      </w:r>
      <w:r w:rsidRPr="005F03B1">
        <w:rPr>
          <w:vertAlign w:val="superscript"/>
        </w:rPr>
        <w:t>th</w:t>
      </w:r>
      <w:r>
        <w:t xml:space="preserve"> ASEAN Summit held in Phnom Penh, Cambodia in April 2012, especially on the doubling of efforts to ensure the timely </w:t>
      </w:r>
      <w:r w:rsidR="00F81A9A">
        <w:t>realization</w:t>
      </w:r>
      <w:r>
        <w:t xml:space="preserve"> of AEC by 2015 through the </w:t>
      </w:r>
      <w:r w:rsidR="00F81A9A">
        <w:t>prioritization</w:t>
      </w:r>
      <w:r>
        <w:t xml:space="preserve"> of concrete key measures to address the challenges faced in implementing the AEC. The Ministers tasked all AEC sectoral bodies to allocate sufficient resources to </w:t>
      </w:r>
      <w:r w:rsidR="00F81A9A">
        <w:t>realize</w:t>
      </w:r>
      <w:r>
        <w:t xml:space="preserve"> their respective deliverables for 2015, in order to transform ASEAN into a single market and production base, and a highly competitive region with equitable economic development, fully integrated into the global economy.</w:t>
      </w:r>
    </w:p>
    <w:p w:rsidR="005F03B1" w:rsidRDefault="005F03B1" w:rsidP="00C166DE">
      <w:pPr>
        <w:numPr>
          <w:ilvl w:val="0"/>
          <w:numId w:val="12"/>
        </w:numPr>
      </w:pPr>
      <w:r>
        <w:t xml:space="preserve">The Ministers thanked the Economic Research Institute for ASEAN and East Asia (ERIA) for its contribution in undertaking the Mid-Term Review of the AEC Blueprint which highlighted the progress, challenges, and recommendations in moving forward on the implementation of the </w:t>
      </w:r>
      <w:r w:rsidR="003055E8">
        <w:br/>
      </w:r>
      <w:r>
        <w:t>AEC Blueprint.</w:t>
      </w:r>
    </w:p>
    <w:p w:rsidR="005F03B1" w:rsidRDefault="005F03B1" w:rsidP="00C166DE">
      <w:pPr>
        <w:pStyle w:val="Heading1"/>
      </w:pPr>
      <w:bookmarkStart w:id="3" w:name="_Toc484707763"/>
      <w:r>
        <w:t>Equitable Economic Development</w:t>
      </w:r>
      <w:bookmarkEnd w:id="3"/>
    </w:p>
    <w:p w:rsidR="00F81A9A" w:rsidRDefault="005F03B1" w:rsidP="00C166DE">
      <w:pPr>
        <w:numPr>
          <w:ilvl w:val="0"/>
          <w:numId w:val="12"/>
        </w:numPr>
      </w:pPr>
      <w:r>
        <w:t xml:space="preserve">The Ministers took note of the development in the implementation of the ASEAN Framework on Equitable Economic Development (AFEED) which includes a stocktaking exercise of the current work </w:t>
      </w:r>
      <w:r w:rsidR="00F81A9A">
        <w:t>program</w:t>
      </w:r>
      <w:r>
        <w:t xml:space="preserve"> and capacity building initiatives undertaken by the various sectoral bodies, including </w:t>
      </w:r>
      <w:r>
        <w:br/>
        <w:t>sub-regional initiatives, small and medium enterprises (SME) development, food security, and the ASEAN Connectivity, among others.</w:t>
      </w:r>
    </w:p>
    <w:p w:rsidR="005F03B1" w:rsidRDefault="005F03B1" w:rsidP="00C166DE">
      <w:pPr>
        <w:numPr>
          <w:ilvl w:val="0"/>
          <w:numId w:val="12"/>
        </w:numPr>
      </w:pPr>
      <w:r>
        <w:t>The Ministers appreciated the successful convening of the 1</w:t>
      </w:r>
      <w:r w:rsidRPr="00F81A9A">
        <w:rPr>
          <w:vertAlign w:val="superscript"/>
        </w:rPr>
        <w:t>st</w:t>
      </w:r>
      <w:r>
        <w:t xml:space="preserve"> ASEAN Conference on Financial Inclusion, supported by the ASEAN Finance Ministries from 27-28 June 2012 in </w:t>
      </w:r>
      <w:r w:rsidR="003055E8">
        <w:br/>
      </w:r>
      <w:r>
        <w:t xml:space="preserve">Jakarta, Indonesia and looked forward to close collaboration with the ASEAN Finance Ministers in overseeing the development of the work </w:t>
      </w:r>
      <w:r w:rsidR="00F81A9A">
        <w:t>programs</w:t>
      </w:r>
      <w:r>
        <w:t xml:space="preserve"> for financial inclusion and SME financing for narrowing the development gap.</w:t>
      </w:r>
    </w:p>
    <w:p w:rsidR="005F03B1" w:rsidRDefault="005F03B1" w:rsidP="00C166DE">
      <w:pPr>
        <w:pStyle w:val="Heading1"/>
      </w:pPr>
      <w:bookmarkStart w:id="4" w:name="_Toc484707764"/>
      <w:r>
        <w:t>Priority Integration Sectors (PISs)</w:t>
      </w:r>
      <w:bookmarkEnd w:id="4"/>
    </w:p>
    <w:p w:rsidR="005F03B1" w:rsidRDefault="005F03B1" w:rsidP="00C166DE">
      <w:pPr>
        <w:numPr>
          <w:ilvl w:val="0"/>
          <w:numId w:val="12"/>
        </w:numPr>
      </w:pPr>
      <w:r>
        <w:t xml:space="preserve">The Ministers noted the outcome of the comprehensive update of the status of implementation of all PISs, including the activities undertaken by the Country Coordinators in the implementation of PIS Roadmap. The Ministers also urged participations of all ASEAN Member States at the upcoming workshops/meeting to be undertaken by Country Coordinators to take-stock of the </w:t>
      </w:r>
      <w:r w:rsidR="003055E8">
        <w:br/>
      </w:r>
      <w:r>
        <w:t>PIS-specific roadmap.</w:t>
      </w:r>
    </w:p>
    <w:p w:rsidR="005F03B1" w:rsidRDefault="005F03B1" w:rsidP="00C166DE">
      <w:pPr>
        <w:pStyle w:val="Heading1"/>
      </w:pPr>
      <w:bookmarkStart w:id="5" w:name="_Toc484707765"/>
      <w:r>
        <w:t>Trade in Goods</w:t>
      </w:r>
      <w:bookmarkEnd w:id="5"/>
    </w:p>
    <w:p w:rsidR="005F03B1" w:rsidRDefault="005F03B1" w:rsidP="00C166DE">
      <w:pPr>
        <w:numPr>
          <w:ilvl w:val="0"/>
          <w:numId w:val="12"/>
        </w:numPr>
      </w:pPr>
      <w:r>
        <w:t xml:space="preserve">The Ministers were pleased with the progress of the implementation of the </w:t>
      </w:r>
      <w:r w:rsidR="003055E8">
        <w:br/>
      </w:r>
      <w:r>
        <w:t>ASEAN Trade in Goods Agreement (ATIGA) of ASEAN Member States. With the signing of the Protocol to Amend Certain ASEAN Economic Agreements Related to Trade in Goods, which has been endorsed by the 26</w:t>
      </w:r>
      <w:r w:rsidRPr="005F03B1">
        <w:rPr>
          <w:vertAlign w:val="superscript"/>
        </w:rPr>
        <w:t>th</w:t>
      </w:r>
      <w:r>
        <w:t xml:space="preserve"> AFTA Council, the list of eleven (11) ASEAN agreements to be superseded by the ATIGA will be administratively annexed to the ATIGA. While noting the progress </w:t>
      </w:r>
      <w:r>
        <w:lastRenderedPageBreak/>
        <w:t xml:space="preserve">made in </w:t>
      </w:r>
      <w:r w:rsidR="00F81A9A">
        <w:t>finalizing</w:t>
      </w:r>
      <w:r>
        <w:t xml:space="preserve"> the domestic requirements for the Protocol, the Ministers agreed to sign the Protocol at the AEM Retreat in 2013.</w:t>
      </w:r>
    </w:p>
    <w:p w:rsidR="005F03B1" w:rsidRDefault="00F81A9A" w:rsidP="00C166DE">
      <w:pPr>
        <w:numPr>
          <w:ilvl w:val="0"/>
          <w:numId w:val="12"/>
        </w:numPr>
      </w:pPr>
      <w:r>
        <w:t>Recognizing</w:t>
      </w:r>
      <w:r w:rsidR="005F03B1">
        <w:t xml:space="preserve"> the progress made in the ASEAN Committee on Sanitary and Phyto-sanitary </w:t>
      </w:r>
      <w:r w:rsidR="008C52E4">
        <w:br/>
      </w:r>
      <w:r w:rsidR="005F03B1">
        <w:t>(AC-SPS), the Ministers tasked the officials to further enhance the internal and external mechanism to enable the AC-SPS to play a vital role in trade facilitation while protecting human,</w:t>
      </w:r>
      <w:r w:rsidR="008C52E4">
        <w:t xml:space="preserve"> </w:t>
      </w:r>
      <w:r w:rsidR="005F03B1">
        <w:t xml:space="preserve">animal and plant life or health in the region in order to strengthen the </w:t>
      </w:r>
      <w:r>
        <w:t>realization</w:t>
      </w:r>
      <w:r w:rsidR="005F03B1">
        <w:t xml:space="preserve"> of the </w:t>
      </w:r>
      <w:r w:rsidR="003055E8">
        <w:br/>
      </w:r>
      <w:r w:rsidR="005F03B1">
        <w:t>ASEAN Economic Community (AEC) by 2015.</w:t>
      </w:r>
    </w:p>
    <w:p w:rsidR="005F03B1" w:rsidRPr="005A6556" w:rsidRDefault="005F03B1" w:rsidP="000B036E">
      <w:pPr>
        <w:pStyle w:val="Heading2"/>
        <w:spacing w:before="240" w:after="120"/>
        <w:jc w:val="left"/>
        <w:rPr>
          <w:sz w:val="20"/>
          <w:szCs w:val="20"/>
        </w:rPr>
      </w:pPr>
      <w:bookmarkStart w:id="6" w:name="_Toc484707766"/>
      <w:r w:rsidRPr="005A6556">
        <w:rPr>
          <w:sz w:val="20"/>
          <w:szCs w:val="20"/>
        </w:rPr>
        <w:t>Tariff Liberalisation</w:t>
      </w:r>
      <w:bookmarkEnd w:id="6"/>
    </w:p>
    <w:p w:rsidR="005F03B1" w:rsidRDefault="005F03B1" w:rsidP="00C166DE">
      <w:pPr>
        <w:numPr>
          <w:ilvl w:val="0"/>
          <w:numId w:val="12"/>
        </w:numPr>
      </w:pPr>
      <w:r>
        <w:t xml:space="preserve">The Ministers noted that the transposition of ATIGA tariff reduction schedules from AHTN 2007 into AHTN 2012 and the issuance of legal enactments of ASEAN Member States are ongoing. The Ministers endorsed the ATIGA tariff reduction schedules for AHTN 2012 of </w:t>
      </w:r>
      <w:r w:rsidR="003055E8">
        <w:br/>
      </w:r>
      <w:r>
        <w:t>Indonesia, Lao PDR, and Thailand and urged other ASEAN Member States to accelerate the process to ensure the implementation of the AHT</w:t>
      </w:r>
      <w:r w:rsidR="008C52E4">
        <w:t>N 2012 by the end of this year.</w:t>
      </w:r>
    </w:p>
    <w:p w:rsidR="005F03B1" w:rsidRPr="005A6556" w:rsidRDefault="005F03B1" w:rsidP="000B036E">
      <w:pPr>
        <w:pStyle w:val="Heading2"/>
        <w:spacing w:before="240" w:after="120"/>
        <w:jc w:val="left"/>
        <w:rPr>
          <w:sz w:val="20"/>
          <w:szCs w:val="20"/>
        </w:rPr>
      </w:pPr>
      <w:bookmarkStart w:id="7" w:name="_Toc484707767"/>
      <w:r w:rsidRPr="005A6556">
        <w:rPr>
          <w:sz w:val="20"/>
          <w:szCs w:val="20"/>
        </w:rPr>
        <w:t>Elimination of Non-Tariff Barriers</w:t>
      </w:r>
      <w:bookmarkEnd w:id="7"/>
    </w:p>
    <w:p w:rsidR="005F03B1" w:rsidRDefault="005F03B1" w:rsidP="00C166DE">
      <w:pPr>
        <w:numPr>
          <w:ilvl w:val="0"/>
          <w:numId w:val="12"/>
        </w:numPr>
      </w:pPr>
      <w:r>
        <w:t>The Ministers noted several initiatives of ASEAN to address</w:t>
      </w:r>
      <w:r w:rsidR="003055E8">
        <w:t xml:space="preserve"> effectively the issues of non-</w:t>
      </w:r>
      <w:r>
        <w:t>tariff barriers i.e. the new classification of ASEAN Non-Tariff Measures (NTMs) database, the private sector engagement on trade impediments, and the discussion of actual cases on NTMs, and agreed in-principle to put the NTM database on the ASEAN Secretariat website. The Minister</w:t>
      </w:r>
      <w:r w:rsidR="003055E8">
        <w:t>s re</w:t>
      </w:r>
      <w:r>
        <w:t>iterated the need for transparency, proper notification, and consultation as required by the provisions of ATIGA in addres</w:t>
      </w:r>
      <w:r w:rsidR="008C52E4">
        <w:t>sing NTMs implemented by ASEAN Member States.</w:t>
      </w:r>
    </w:p>
    <w:p w:rsidR="005F03B1" w:rsidRPr="005A6556" w:rsidRDefault="005F03B1" w:rsidP="000B036E">
      <w:pPr>
        <w:pStyle w:val="Heading2"/>
        <w:spacing w:before="240" w:after="120"/>
        <w:jc w:val="left"/>
        <w:rPr>
          <w:sz w:val="20"/>
          <w:szCs w:val="20"/>
        </w:rPr>
      </w:pPr>
      <w:bookmarkStart w:id="8" w:name="_Toc484707768"/>
      <w:r w:rsidRPr="005A6556">
        <w:rPr>
          <w:sz w:val="20"/>
          <w:szCs w:val="20"/>
        </w:rPr>
        <w:t>Self-Certification</w:t>
      </w:r>
      <w:bookmarkEnd w:id="8"/>
    </w:p>
    <w:p w:rsidR="005F03B1" w:rsidRDefault="005F03B1" w:rsidP="00C166DE">
      <w:pPr>
        <w:numPr>
          <w:ilvl w:val="0"/>
          <w:numId w:val="12"/>
        </w:numPr>
      </w:pPr>
      <w:r>
        <w:t>The Ministers noted the significant progress made under the 1</w:t>
      </w:r>
      <w:r w:rsidRPr="008C52E4">
        <w:rPr>
          <w:vertAlign w:val="superscript"/>
        </w:rPr>
        <w:t>st</w:t>
      </w:r>
      <w:r>
        <w:t xml:space="preserve"> Self-Certification Pilot Project, which involves the participation of 4 ASEAN Member States, namely Brunei Darussalam, Malaysia, Singapore and Thailand. The Memoran</w:t>
      </w:r>
      <w:r w:rsidR="008C52E4">
        <w:t xml:space="preserve">dum of Understanding among the </w:t>
      </w:r>
      <w:r>
        <w:t>Governments of the Participating Member States of the ASEAN on the 2</w:t>
      </w:r>
      <w:r w:rsidRPr="008C52E4">
        <w:rPr>
          <w:vertAlign w:val="superscript"/>
        </w:rPr>
        <w:t>nd</w:t>
      </w:r>
      <w:r>
        <w:t xml:space="preserve"> Self-Certification Pilot Project for the Implementation of a Regional Self-certification System has been signed among Lao PDR, Indonesia, and the Philippines. The Ministers urged the participants of the two pilot projects to consult each other on the way forward in im</w:t>
      </w:r>
      <w:r w:rsidR="003055E8">
        <w:t>plementing the ASEAN-wide self-</w:t>
      </w:r>
      <w:r>
        <w:t>certification by 2015. Other Member States who have yet to participate are urged to consider participation in one of th</w:t>
      </w:r>
      <w:r w:rsidR="008C52E4">
        <w:t>e two pilot projects available.</w:t>
      </w:r>
    </w:p>
    <w:p w:rsidR="005F03B1" w:rsidRPr="005A6556" w:rsidRDefault="005F03B1" w:rsidP="000B036E">
      <w:pPr>
        <w:pStyle w:val="Heading2"/>
        <w:spacing w:before="240" w:after="120"/>
        <w:jc w:val="left"/>
        <w:rPr>
          <w:sz w:val="20"/>
          <w:szCs w:val="20"/>
        </w:rPr>
      </w:pPr>
      <w:bookmarkStart w:id="9" w:name="_Toc484707769"/>
      <w:r w:rsidRPr="005A6556">
        <w:rPr>
          <w:sz w:val="20"/>
          <w:szCs w:val="20"/>
        </w:rPr>
        <w:t>ASEAN Single Window (ASW)</w:t>
      </w:r>
      <w:bookmarkEnd w:id="9"/>
    </w:p>
    <w:p w:rsidR="005F03B1" w:rsidRDefault="005F03B1" w:rsidP="00C166DE">
      <w:pPr>
        <w:numPr>
          <w:ilvl w:val="0"/>
          <w:numId w:val="12"/>
        </w:numPr>
      </w:pPr>
      <w:r>
        <w:t xml:space="preserve">The Ministers commended the substantial progress made in the implementation of the </w:t>
      </w:r>
      <w:r w:rsidR="003055E8">
        <w:br/>
      </w:r>
      <w:r>
        <w:t>ASEAN Single Window (ASW), particularly the development of the endorsed design of the ASW architecture which commenced in November 2011 and is scheduled for completion towards the end of 2012. The ASW architecture includes a 2-month pi</w:t>
      </w:r>
      <w:r w:rsidR="008C52E4">
        <w:t xml:space="preserve">lot testing among seven Member </w:t>
      </w:r>
      <w:r>
        <w:t xml:space="preserve">States on the exchange of the ASEAN Trade in Goods Agreement (ATIGA) Form D and the </w:t>
      </w:r>
      <w:r w:rsidR="003055E8">
        <w:br/>
      </w:r>
      <w:r>
        <w:t>ASEAN Customs Declaration Document (ACDD).</w:t>
      </w:r>
    </w:p>
    <w:p w:rsidR="005F03B1" w:rsidRDefault="005F03B1" w:rsidP="00C166DE">
      <w:pPr>
        <w:numPr>
          <w:ilvl w:val="0"/>
          <w:numId w:val="12"/>
        </w:numPr>
      </w:pPr>
      <w:r>
        <w:lastRenderedPageBreak/>
        <w:t>The Ministers urged the ASWSC to expedite the work on the development of the ASW legal framework that would govern the actual implement</w:t>
      </w:r>
      <w:r w:rsidR="008C52E4">
        <w:t>ation of the ASW legally across</w:t>
      </w:r>
      <w:r>
        <w:t xml:space="preserve"> </w:t>
      </w:r>
      <w:r w:rsidR="003055E8">
        <w:br/>
      </w:r>
      <w:r>
        <w:t>Member States and a crucial component for the successful implementation of the ASW Project.</w:t>
      </w:r>
    </w:p>
    <w:p w:rsidR="005F03B1" w:rsidRDefault="005F03B1" w:rsidP="00C166DE">
      <w:pPr>
        <w:numPr>
          <w:ilvl w:val="0"/>
          <w:numId w:val="12"/>
        </w:numPr>
      </w:pPr>
      <w:r>
        <w:t xml:space="preserve">Noting the importance of the National Single Windows (NSWs) in the implementation of the ASW, the Ministers urged the remaining Member States to expedite the development and implementation of their respective NSWs to ensure the timely </w:t>
      </w:r>
      <w:r w:rsidR="00F81A9A">
        <w:t>realization</w:t>
      </w:r>
      <w:r>
        <w:t xml:space="preserve"> of ASW by 2015.</w:t>
      </w:r>
    </w:p>
    <w:p w:rsidR="005F03B1" w:rsidRPr="005A6556" w:rsidRDefault="008C52E4" w:rsidP="000B036E">
      <w:pPr>
        <w:pStyle w:val="Heading2"/>
        <w:spacing w:before="240" w:after="120"/>
        <w:jc w:val="left"/>
        <w:rPr>
          <w:sz w:val="20"/>
          <w:szCs w:val="20"/>
        </w:rPr>
      </w:pPr>
      <w:r w:rsidRPr="005A6556">
        <w:rPr>
          <w:sz w:val="20"/>
          <w:szCs w:val="20"/>
        </w:rPr>
        <w:t xml:space="preserve"> </w:t>
      </w:r>
      <w:bookmarkStart w:id="10" w:name="_Toc484707770"/>
      <w:r w:rsidR="005F03B1" w:rsidRPr="005A6556">
        <w:rPr>
          <w:sz w:val="20"/>
          <w:szCs w:val="20"/>
        </w:rPr>
        <w:t>Standards and Conformance</w:t>
      </w:r>
      <w:bookmarkEnd w:id="10"/>
    </w:p>
    <w:p w:rsidR="005F03B1" w:rsidRDefault="005F03B1" w:rsidP="00C166DE">
      <w:pPr>
        <w:numPr>
          <w:ilvl w:val="0"/>
          <w:numId w:val="12"/>
        </w:numPr>
      </w:pPr>
      <w:r>
        <w:t xml:space="preserve">The Ministers took note of the on-going efforts in the </w:t>
      </w:r>
      <w:r w:rsidR="00F81A9A">
        <w:t>harmonization</w:t>
      </w:r>
      <w:r>
        <w:t xml:space="preserve"> of standards, mutual recognition arrangements for conformity assessments and technical regulations for the priority integration sectors. They encouraged ASEAN Member States to </w:t>
      </w:r>
      <w:r w:rsidR="00F81A9A">
        <w:t>prioritize</w:t>
      </w:r>
      <w:r>
        <w:t xml:space="preserve"> the measures to be implemented and to work towards the c</w:t>
      </w:r>
      <w:r w:rsidR="008C52E4">
        <w:t>ompletion of the AEC blueprint.</w:t>
      </w:r>
    </w:p>
    <w:p w:rsidR="005F03B1" w:rsidRDefault="005F03B1" w:rsidP="00C166DE">
      <w:pPr>
        <w:pStyle w:val="Heading1"/>
      </w:pPr>
      <w:bookmarkStart w:id="11" w:name="_Toc484707771"/>
      <w:r>
        <w:t>Trade in Services</w:t>
      </w:r>
      <w:bookmarkEnd w:id="11"/>
    </w:p>
    <w:p w:rsidR="005F03B1" w:rsidRDefault="005F03B1" w:rsidP="00C166DE">
      <w:pPr>
        <w:numPr>
          <w:ilvl w:val="0"/>
          <w:numId w:val="12"/>
        </w:numPr>
      </w:pPr>
      <w:r>
        <w:t>The Ministers wel</w:t>
      </w:r>
      <w:r w:rsidR="008C52E4">
        <w:t>comed the completion of the 8</w:t>
      </w:r>
      <w:r w:rsidR="008C52E4" w:rsidRPr="008C52E4">
        <w:rPr>
          <w:vertAlign w:val="superscript"/>
        </w:rPr>
        <w:t>th</w:t>
      </w:r>
      <w:r w:rsidR="008C52E4">
        <w:t xml:space="preserve"> </w:t>
      </w:r>
      <w:r>
        <w:t xml:space="preserve">Package of services </w:t>
      </w:r>
      <w:r w:rsidR="00F81A9A">
        <w:t>liberalization</w:t>
      </w:r>
      <w:r>
        <w:t xml:space="preserve"> commitment under the ASEAN Framework Agreement on Services (AFAS), underscoring the commitment of ASEAN Member States to work towards free flow of services by 2015. The package provides for at least 80 services subsectors with high degree of </w:t>
      </w:r>
      <w:r w:rsidR="00F81A9A">
        <w:t>liberalization</w:t>
      </w:r>
      <w:r>
        <w:t>, including allowing for foreign equity participation of at least 70% for the priority sectors and 51% for the other sectors.</w:t>
      </w:r>
    </w:p>
    <w:p w:rsidR="005F03B1" w:rsidRDefault="005F03B1" w:rsidP="00C166DE">
      <w:pPr>
        <w:numPr>
          <w:ilvl w:val="0"/>
          <w:numId w:val="12"/>
        </w:numPr>
      </w:pPr>
      <w:r>
        <w:t xml:space="preserve">To </w:t>
      </w:r>
      <w:r w:rsidR="00F81A9A">
        <w:t>emphasize</w:t>
      </w:r>
      <w:r>
        <w:t xml:space="preserve"> the commitment to work towards free flow of services by 2015, the Ministers tasked the Senior Officials to </w:t>
      </w:r>
      <w:r w:rsidR="00F81A9A">
        <w:t>liberalize</w:t>
      </w:r>
      <w:r>
        <w:t xml:space="preserve"> the remaining services subsectors through the </w:t>
      </w:r>
      <w:r w:rsidR="003055E8">
        <w:br/>
      </w:r>
      <w:r>
        <w:t>9</w:t>
      </w:r>
      <w:r w:rsidRPr="008C52E4">
        <w:rPr>
          <w:vertAlign w:val="superscript"/>
        </w:rPr>
        <w:t>th</w:t>
      </w:r>
      <w:r>
        <w:t xml:space="preserve"> and 10</w:t>
      </w:r>
      <w:r w:rsidRPr="008C52E4">
        <w:rPr>
          <w:vertAlign w:val="superscript"/>
        </w:rPr>
        <w:t>th</w:t>
      </w:r>
      <w:r>
        <w:t xml:space="preserve"> AFAS Packages by 2013 and 2015, respectively. The Ministers also endorsed the recommendation of the Senior Officials to work on the enhancement of the AFAS for completion in 2015 which, building upon current AFAS achievements, shall be comprehensive and </w:t>
      </w:r>
      <w:r w:rsidR="003055E8">
        <w:br/>
      </w:r>
      <w:r>
        <w:t>forw</w:t>
      </w:r>
      <w:r w:rsidR="003055E8">
        <w:t>ard</w:t>
      </w:r>
      <w:r>
        <w:t xml:space="preserve"> looking for post-AEC ASEAN integration.</w:t>
      </w:r>
    </w:p>
    <w:p w:rsidR="005F03B1" w:rsidRDefault="005F03B1" w:rsidP="00C166DE">
      <w:pPr>
        <w:numPr>
          <w:ilvl w:val="0"/>
          <w:numId w:val="12"/>
        </w:numPr>
      </w:pPr>
      <w:r>
        <w:t>The Ministers endorsed the ASEAN Agreement on Movement of Natural Person (MNP) for signing during the 21</w:t>
      </w:r>
      <w:r w:rsidRPr="008C52E4">
        <w:rPr>
          <w:vertAlign w:val="superscript"/>
        </w:rPr>
        <w:t>st</w:t>
      </w:r>
      <w:r>
        <w:t xml:space="preserve"> ASEAN Summit in Nove</w:t>
      </w:r>
      <w:r w:rsidR="008C52E4">
        <w:t>mber 2012. This Agreement shall</w:t>
      </w:r>
      <w:r w:rsidR="00B76A5C">
        <w:t xml:space="preserve"> facilitate </w:t>
      </w:r>
      <w:r>
        <w:t>the movement of ASEAN people engaging in trade: in goods, trade in service</w:t>
      </w:r>
      <w:r w:rsidR="008C52E4">
        <w:t>s and investment in the region.</w:t>
      </w:r>
    </w:p>
    <w:p w:rsidR="005F03B1" w:rsidRDefault="005F03B1" w:rsidP="00C166DE">
      <w:pPr>
        <w:pStyle w:val="Heading1"/>
      </w:pPr>
      <w:bookmarkStart w:id="12" w:name="_Toc484707772"/>
      <w:r>
        <w:t>Investment</w:t>
      </w:r>
      <w:bookmarkEnd w:id="12"/>
    </w:p>
    <w:p w:rsidR="005F03B1" w:rsidRDefault="005F03B1" w:rsidP="00C166DE">
      <w:pPr>
        <w:numPr>
          <w:ilvl w:val="0"/>
          <w:numId w:val="12"/>
        </w:numPr>
      </w:pPr>
      <w:r>
        <w:t xml:space="preserve">The Ministers noted that ASEAN has intensified programs/projects to promote and </w:t>
      </w:r>
      <w:r w:rsidR="003055E8">
        <w:br/>
      </w:r>
      <w:r>
        <w:t xml:space="preserve">facilitate ASEAN as single investment area following the entry into force of the </w:t>
      </w:r>
      <w:r w:rsidR="003055E8">
        <w:br/>
      </w:r>
      <w:r>
        <w:t xml:space="preserve">ASEAN Comprehensive Investment Agreement (ACIA) on 29 March 2012. ASEAN </w:t>
      </w:r>
      <w:r w:rsidR="003055E8">
        <w:br/>
      </w:r>
      <w:r>
        <w:t xml:space="preserve">Member States, individually and collectively, have undertaken investment missions to promote intra-ASEAN investment and are currently developing an ASEAN Investment website and a Guidebook on ACIA. Concurrently, ASEAN also started implementing the Peer Review process under the “Modality for the Elimination/Improvement of Investment Restrictions and Impediments in ASEAN Member States” to monitor Member States’ compliance/adherence to the ACIA provision on progressive </w:t>
      </w:r>
      <w:r w:rsidR="00781C7D">
        <w:t>liberalization</w:t>
      </w:r>
      <w:r>
        <w:t xml:space="preserve"> and improvement of the measures on investment. Aligned with ACIA, Member States have likewise implemented domestic reforms to improve their business environment, particularly in terms of facilitating investment, increasing transparency and achieving furthe</w:t>
      </w:r>
      <w:r w:rsidR="008C52E4">
        <w:t xml:space="preserve">r </w:t>
      </w:r>
      <w:r w:rsidR="00781C7D">
        <w:t>liberalization</w:t>
      </w:r>
      <w:r w:rsidR="008C52E4">
        <w:t xml:space="preserve"> in the region.</w:t>
      </w:r>
    </w:p>
    <w:p w:rsidR="005F03B1" w:rsidRDefault="005F03B1" w:rsidP="00C166DE">
      <w:pPr>
        <w:pStyle w:val="Heading1"/>
      </w:pPr>
      <w:bookmarkStart w:id="13" w:name="_Toc484707773"/>
      <w:r>
        <w:lastRenderedPageBreak/>
        <w:t>Small and Medium Enterprises (SMEs)</w:t>
      </w:r>
      <w:bookmarkEnd w:id="13"/>
    </w:p>
    <w:p w:rsidR="005F03B1" w:rsidRDefault="005F03B1" w:rsidP="00C166DE">
      <w:pPr>
        <w:numPr>
          <w:ilvl w:val="0"/>
          <w:numId w:val="12"/>
        </w:numPr>
      </w:pPr>
      <w:r>
        <w:t xml:space="preserve">The Ministers noted the developments of regional cooperation on ASEAN SMEs, including: </w:t>
      </w:r>
      <w:r w:rsidR="008C52E4">
        <w:br/>
      </w:r>
      <w:r>
        <w:t>(i) on-going review of the Strategic Action Plan f</w:t>
      </w:r>
      <w:r w:rsidR="008C52E4">
        <w:t>or ASEAN SME Development (2010-</w:t>
      </w:r>
      <w:r>
        <w:t>2015); (ii) launching of the Directory of Outstanding ASEAN SMEs 2011 in November 2011 and the plan to launch the Directory of Innovative ASEAN SMEs 2012 at the sideline of the ASEAN Business &amp; Investment Summit (ASEAN-BIS) 2012; (iii) pro</w:t>
      </w:r>
      <w:r w:rsidR="008C52E4">
        <w:t xml:space="preserve">gress on the development of the </w:t>
      </w:r>
      <w:r>
        <w:t>ASEAN SME Policy Index; and (iv) progress of the implementation of the ASEAN Framework for Equitable Economic Development (AFEED).</w:t>
      </w:r>
    </w:p>
    <w:p w:rsidR="005F03B1" w:rsidRDefault="005F03B1" w:rsidP="00C166DE">
      <w:pPr>
        <w:numPr>
          <w:ilvl w:val="0"/>
          <w:numId w:val="12"/>
        </w:numPr>
      </w:pPr>
      <w:r>
        <w:t xml:space="preserve">The Ministers noted the outcome of the first Joint Consultation between the </w:t>
      </w:r>
      <w:r w:rsidR="003055E8">
        <w:br/>
      </w:r>
      <w:r>
        <w:t xml:space="preserve">ASEAN SME Advisory Board and the ASEAN Economic Ministers with the focus on </w:t>
      </w:r>
      <w:r w:rsidR="003055E8">
        <w:br/>
      </w:r>
      <w:r>
        <w:t xml:space="preserve">SMEs’ Access to Finance and SMEs’ Access to Market and </w:t>
      </w:r>
      <w:r w:rsidR="00781C7D">
        <w:t>internationalization</w:t>
      </w:r>
      <w:r>
        <w:t xml:space="preserve"> of SMEs. The Ministers deliberated on the progress of the SME projects and initiatives undertaken by the ASEAN SME Advisory Board and the ASEAN SME Working Group, as well as the challenges presented and considered the recommen</w:t>
      </w:r>
      <w:r w:rsidR="008C52E4">
        <w:t>dations presented by the Board.</w:t>
      </w:r>
    </w:p>
    <w:p w:rsidR="005F03B1" w:rsidRDefault="005F03B1" w:rsidP="00C166DE">
      <w:pPr>
        <w:pStyle w:val="Heading1"/>
      </w:pPr>
      <w:bookmarkStart w:id="14" w:name="_Toc484707774"/>
      <w:r>
        <w:t>Intellectual Property</w:t>
      </w:r>
      <w:bookmarkEnd w:id="14"/>
    </w:p>
    <w:p w:rsidR="005F03B1" w:rsidRDefault="005F03B1" w:rsidP="00C166DE">
      <w:pPr>
        <w:numPr>
          <w:ilvl w:val="0"/>
          <w:numId w:val="12"/>
        </w:numPr>
      </w:pPr>
      <w:r>
        <w:t xml:space="preserve">The Ministers endorsed the ASEAN Working Group on Intellectual Property Cooperation (AWGIPC) Work </w:t>
      </w:r>
      <w:r w:rsidR="00781C7D">
        <w:t>Program</w:t>
      </w:r>
      <w:r>
        <w:t xml:space="preserve"> for 2012-2015. The Ministers noted that AWGIPC adopted the Implementation Work Plans for 28 initiatives under the five (5) Strategic Goals in the ASEAN IPR Action Plan for 2011-2015. The Ministers also noted that the ASEAN Patent Search and Examination Cooperation (ASPEC) has become operational on 30 April 2012 with the posting of requirements and procedures in the websites of all participating ASEAN IP Offices. The  Ministers also noted (i) the signing of Memorandum of Cooperation on Industrial Property between the Intellectual Property Offices of the Member States of the ASEAN (ASEAN-IPOs) and the </w:t>
      </w:r>
      <w:r w:rsidR="003055E8">
        <w:br/>
      </w:r>
      <w:r>
        <w:t>Japan Patent Office (JPO); (ii) the adoption of ASEAN-China Work Plan 2012 which focuses on databases on traditional knowledge and traditional Chinese medicines, national intellectual property strategy at the provincial level, and cloud patent examination solution; and (iii) the endorsement of capacity building activities under Arrangement between the ASEAN Secretariat and the United States Patent and Trademark Office (USPTO) on Cooperation in the Field of IPRs for 2013.</w:t>
      </w:r>
    </w:p>
    <w:p w:rsidR="005F03B1" w:rsidRDefault="005F03B1" w:rsidP="00C166DE">
      <w:pPr>
        <w:numPr>
          <w:ilvl w:val="0"/>
          <w:numId w:val="12"/>
        </w:numPr>
      </w:pPr>
      <w:r>
        <w:t xml:space="preserve">The Ministers noted the outcome of consultation between the ASEAN Economic Ministers (AEM) and Director General Dr. Francis Gurry of the World Intellectual Property </w:t>
      </w:r>
      <w:r w:rsidR="00781C7D">
        <w:t>Organization</w:t>
      </w:r>
      <w:r>
        <w:t xml:space="preserve"> (WIPO) which focused on strengthening WIPO-ASEAN cooperation in the framework of the ASEAN</w:t>
      </w:r>
      <w:r w:rsidR="008C52E4">
        <w:t xml:space="preserve"> IPR Action Plan for 2011-2015.</w:t>
      </w:r>
    </w:p>
    <w:p w:rsidR="005F03B1" w:rsidRDefault="00C547D6" w:rsidP="00C166DE">
      <w:pPr>
        <w:pStyle w:val="Heading1"/>
      </w:pPr>
      <w:bookmarkStart w:id="15" w:name="_Toc484707775"/>
      <w:r>
        <w:br w:type="page"/>
      </w:r>
      <w:r w:rsidR="005F03B1">
        <w:lastRenderedPageBreak/>
        <w:t>Competition Policy</w:t>
      </w:r>
      <w:bookmarkEnd w:id="15"/>
    </w:p>
    <w:p w:rsidR="005F03B1" w:rsidRDefault="005F03B1" w:rsidP="00C166DE">
      <w:pPr>
        <w:numPr>
          <w:ilvl w:val="0"/>
          <w:numId w:val="12"/>
        </w:numPr>
      </w:pPr>
      <w:r>
        <w:t>The Ministers noted the good progress in the implementation of competition policy and law in ASEAN Member States, in particular the entry into force of Malaysia’s competition law in January 2012, and the establishment of the Office for Competition under Department of Justice as the Philippines’ comp</w:t>
      </w:r>
      <w:r w:rsidR="008C52E4">
        <w:t>etition authority in June 2011.</w:t>
      </w:r>
    </w:p>
    <w:p w:rsidR="005F03B1" w:rsidRDefault="005F03B1" w:rsidP="00C166DE">
      <w:pPr>
        <w:pStyle w:val="Heading1"/>
      </w:pPr>
      <w:bookmarkStart w:id="16" w:name="_Toc484707776"/>
      <w:r>
        <w:t>Consumer Protection</w:t>
      </w:r>
      <w:bookmarkEnd w:id="16"/>
    </w:p>
    <w:p w:rsidR="005F03B1" w:rsidRDefault="005F03B1" w:rsidP="00C166DE">
      <w:pPr>
        <w:numPr>
          <w:ilvl w:val="0"/>
          <w:numId w:val="12"/>
        </w:numPr>
      </w:pPr>
      <w:r>
        <w:t>The Ministers welcomed (i) the completion of ACCP website &lt;www.aseanconsumer.org&gt; which was launched at the 5</w:t>
      </w:r>
      <w:r w:rsidRPr="008C52E4">
        <w:rPr>
          <w:vertAlign w:val="superscript"/>
        </w:rPr>
        <w:t>th</w:t>
      </w:r>
      <w:r>
        <w:t xml:space="preserve"> ACCP Meeting in Bali on 2-4 May 2012; and (ii) the launch of </w:t>
      </w:r>
      <w:r w:rsidR="003055E8">
        <w:br/>
      </w:r>
      <w:r>
        <w:t>ASEAN Consumer Complaints Leaflet on 3 April 2012. The ACCP website will serve as the main reference point for matters pertaining to consumer redress.</w:t>
      </w:r>
    </w:p>
    <w:p w:rsidR="005F03B1" w:rsidRDefault="005F03B1" w:rsidP="00C166DE">
      <w:pPr>
        <w:pStyle w:val="Heading1"/>
      </w:pPr>
      <w:bookmarkStart w:id="17" w:name="_Toc484707777"/>
      <w:r>
        <w:t>ASEAN Community Statistical System (ACSS)</w:t>
      </w:r>
      <w:bookmarkEnd w:id="17"/>
    </w:p>
    <w:p w:rsidR="005F03B1" w:rsidRDefault="005F03B1" w:rsidP="00C166DE">
      <w:pPr>
        <w:numPr>
          <w:ilvl w:val="0"/>
          <w:numId w:val="12"/>
        </w:numPr>
      </w:pPr>
      <w:r>
        <w:t xml:space="preserve">The Ministers noted the on-going work towards the establishment of the </w:t>
      </w:r>
      <w:r w:rsidR="003055E8">
        <w:br/>
      </w:r>
      <w:r>
        <w:t>ASEAN Community Statistical System (ACSS) by 2015, including the strengthening of its instit</w:t>
      </w:r>
      <w:r w:rsidR="003055E8">
        <w:t xml:space="preserve">utional framework,   planning, monitoring, and quality assessment </w:t>
      </w:r>
      <w:r>
        <w:t>mec</w:t>
      </w:r>
      <w:r w:rsidR="003055E8">
        <w:t xml:space="preserve">hanisms, as well as </w:t>
      </w:r>
      <w:r w:rsidR="008C52E4">
        <w:t xml:space="preserve">the </w:t>
      </w:r>
      <w:r>
        <w:t xml:space="preserve">improvement of availability of trade in goods, trade in services, investment statistics and the MDG indicators. The Ministers also expressed support to the initiative for a voluntary secondment </w:t>
      </w:r>
      <w:r w:rsidR="00E24EAB">
        <w:t>program</w:t>
      </w:r>
      <w:r>
        <w:t xml:space="preserve"> to the ASEAN</w:t>
      </w:r>
      <w:r w:rsidR="003055E8">
        <w:t xml:space="preserve"> </w:t>
      </w:r>
      <w:r>
        <w:t xml:space="preserve">Stats and tasked ASEAN Secretariat to explore the possible funding and </w:t>
      </w:r>
      <w:r w:rsidR="008C52E4">
        <w:t xml:space="preserve">arrangement for this </w:t>
      </w:r>
      <w:r w:rsidR="00E24EAB">
        <w:t>program</w:t>
      </w:r>
      <w:r w:rsidR="008C52E4">
        <w:t>.</w:t>
      </w:r>
    </w:p>
    <w:p w:rsidR="005F03B1" w:rsidRDefault="005F03B1" w:rsidP="00C166DE">
      <w:pPr>
        <w:pStyle w:val="Heading1"/>
      </w:pPr>
      <w:bookmarkStart w:id="18" w:name="_Toc484707778"/>
      <w:r>
        <w:t>Public-Private Sector Engagement</w:t>
      </w:r>
      <w:bookmarkEnd w:id="18"/>
    </w:p>
    <w:p w:rsidR="005F03B1" w:rsidRDefault="005F03B1" w:rsidP="00C166DE">
      <w:pPr>
        <w:numPr>
          <w:ilvl w:val="0"/>
          <w:numId w:val="12"/>
        </w:numPr>
      </w:pPr>
      <w:r>
        <w:t xml:space="preserve">The Ministers underscored high importance and priority in engaging with the private sector as the inputs and recommendations raised by the private sector are crucial to the successful economic integration of the region. The Ministers noted the public-private sector engagements (PPE) that ASEAN have at all level with the ASEAN business </w:t>
      </w:r>
      <w:r w:rsidR="00E24EAB">
        <w:t>organizations</w:t>
      </w:r>
      <w:r>
        <w:t xml:space="preserve"> and the foreign business </w:t>
      </w:r>
      <w:r w:rsidR="00E24EAB">
        <w:t>organizations</w:t>
      </w:r>
      <w:r>
        <w:t xml:space="preserve"> based in ASEAN, ranging from business summit, business dialogue, trade fair and exposition.</w:t>
      </w:r>
    </w:p>
    <w:p w:rsidR="005F03B1" w:rsidRDefault="005F03B1" w:rsidP="00C166DE">
      <w:pPr>
        <w:numPr>
          <w:ilvl w:val="0"/>
          <w:numId w:val="12"/>
        </w:numPr>
      </w:pPr>
      <w:r>
        <w:t>The PPE activities to date include, among others, the 2</w:t>
      </w:r>
      <w:r w:rsidRPr="00913C12">
        <w:rPr>
          <w:vertAlign w:val="superscript"/>
        </w:rPr>
        <w:t>nd</w:t>
      </w:r>
      <w:r>
        <w:t xml:space="preserve"> ASEAN-EU Business Summit, </w:t>
      </w:r>
      <w:r w:rsidR="00913C12">
        <w:br/>
      </w:r>
      <w:r>
        <w:t>ASEAN-Latin Business Summit, the 5</w:t>
      </w:r>
      <w:r w:rsidRPr="00913C12">
        <w:rPr>
          <w:vertAlign w:val="superscript"/>
        </w:rPr>
        <w:t>th</w:t>
      </w:r>
      <w:r>
        <w:t xml:space="preserve"> Dialogue between Secretary-General of ASEAN and the Federation of Japanese Chamber of Commerce and Industries in ASEAN (FJCCIA), and the </w:t>
      </w:r>
      <w:r w:rsidR="003055E8">
        <w:br/>
      </w:r>
      <w:r>
        <w:t>1</w:t>
      </w:r>
      <w:r w:rsidRPr="00913C12">
        <w:rPr>
          <w:vertAlign w:val="superscript"/>
        </w:rPr>
        <w:t>st</w:t>
      </w:r>
      <w:r>
        <w:t xml:space="preserve"> ASEAN–US Business Summit, which was recently inaugurated alongside the 44</w:t>
      </w:r>
      <w:r w:rsidRPr="00913C12">
        <w:rPr>
          <w:vertAlign w:val="superscript"/>
        </w:rPr>
        <w:t>th</w:t>
      </w:r>
      <w:r>
        <w:t xml:space="preserve"> AEM.</w:t>
      </w:r>
    </w:p>
    <w:p w:rsidR="005F03B1" w:rsidRDefault="005F03B1" w:rsidP="00C166DE">
      <w:pPr>
        <w:numPr>
          <w:ilvl w:val="0"/>
          <w:numId w:val="12"/>
        </w:numPr>
      </w:pPr>
      <w:r>
        <w:t>The Ministers supported and urged participations of the public and private sectors from all the ASEAN Member States at the upcoming events namely (i) the 9</w:t>
      </w:r>
      <w:r w:rsidRPr="00913C12">
        <w:rPr>
          <w:vertAlign w:val="superscript"/>
        </w:rPr>
        <w:t>th</w:t>
      </w:r>
      <w:r>
        <w:t xml:space="preserve"> China-ASEAN Expo </w:t>
      </w:r>
      <w:r w:rsidR="003055E8">
        <w:br/>
      </w:r>
      <w:r>
        <w:t>(CAEXPO) and the 9</w:t>
      </w:r>
      <w:r w:rsidRPr="00913C12">
        <w:rPr>
          <w:vertAlign w:val="superscript"/>
        </w:rPr>
        <w:t>th</w:t>
      </w:r>
      <w:r>
        <w:t xml:space="preserve"> China-ASEAN Business Summit (CABIS) to be convened from </w:t>
      </w:r>
      <w:r w:rsidR="003055E8">
        <w:br/>
      </w:r>
      <w:r>
        <w:t xml:space="preserve">21 to 25 September 2012 in Nanning, China; (ii) ASEAN-BIS to be convened alongside the </w:t>
      </w:r>
      <w:r w:rsidR="003055E8">
        <w:br/>
      </w:r>
      <w:r>
        <w:t>21</w:t>
      </w:r>
      <w:r w:rsidRPr="00913C12">
        <w:rPr>
          <w:vertAlign w:val="superscript"/>
        </w:rPr>
        <w:t>st</w:t>
      </w:r>
      <w:r>
        <w:t xml:space="preserve"> ASEAN Summit on 16-18 November 2012 in Phnom Penh, Cambodia; and (iii) the </w:t>
      </w:r>
      <w:r w:rsidR="003055E8">
        <w:br/>
      </w:r>
      <w:r>
        <w:t>2</w:t>
      </w:r>
      <w:r w:rsidRPr="00913C12">
        <w:rPr>
          <w:vertAlign w:val="superscript"/>
        </w:rPr>
        <w:t>nd</w:t>
      </w:r>
      <w:r>
        <w:t xml:space="preserve"> India-ASEAN Business Fair (AIBF) and Business Conclave on 18 Dec</w:t>
      </w:r>
      <w:r w:rsidR="00913C12">
        <w:t xml:space="preserve">ember 2012 in </w:t>
      </w:r>
      <w:r w:rsidR="003055E8">
        <w:br/>
      </w:r>
      <w:r w:rsidR="00913C12">
        <w:t>New Delhi, India.</w:t>
      </w:r>
    </w:p>
    <w:p w:rsidR="005F03B1" w:rsidRDefault="005F03B1" w:rsidP="00C166DE">
      <w:pPr>
        <w:pStyle w:val="Heading1"/>
      </w:pPr>
      <w:bookmarkStart w:id="19" w:name="_Toc484707779"/>
      <w:r>
        <w:t>External Economic Relations</w:t>
      </w:r>
      <w:bookmarkEnd w:id="19"/>
    </w:p>
    <w:p w:rsidR="00B76A5C" w:rsidRDefault="005F03B1" w:rsidP="00C166DE">
      <w:pPr>
        <w:numPr>
          <w:ilvl w:val="0"/>
          <w:numId w:val="12"/>
        </w:numPr>
      </w:pPr>
      <w:r>
        <w:lastRenderedPageBreak/>
        <w:t xml:space="preserve">The Ministers urged ASEAN Member States to be conscious of the importance and need to implement their commitments made in the various ASEAN plus 1 FTAs in a timely manner to ensure the opportunities arising from these Agreements are made available to all </w:t>
      </w:r>
      <w:r w:rsidR="003055E8">
        <w:br/>
      </w:r>
      <w:r>
        <w:t>ASEAN Member States for maximum benefits. The Ministers also underscored the need to complete the transposition of tariff reduction schedules from AHTN 2007 to AHTN 2012 in all ASEAN plus 1 FTAs, in order to avoid implementation problems that may ari</w:t>
      </w:r>
      <w:r w:rsidR="00913C12">
        <w:t>se.</w:t>
      </w:r>
    </w:p>
    <w:p w:rsidR="005F03B1" w:rsidRDefault="005F03B1" w:rsidP="00C166DE">
      <w:pPr>
        <w:pStyle w:val="Heading1"/>
      </w:pPr>
      <w:bookmarkStart w:id="20" w:name="_Toc484707780"/>
      <w:r>
        <w:t>Technical Assistance and Capacity-Building</w:t>
      </w:r>
      <w:bookmarkEnd w:id="20"/>
    </w:p>
    <w:p w:rsidR="005F03B1" w:rsidRDefault="005F03B1" w:rsidP="00C166DE">
      <w:pPr>
        <w:numPr>
          <w:ilvl w:val="0"/>
          <w:numId w:val="12"/>
        </w:numPr>
      </w:pPr>
      <w:r>
        <w:t>The Ministers expressed appreciation to ASEAN’s dialogue and development partners’ continuing contribution through technical assistance and capacity b</w:t>
      </w:r>
      <w:r w:rsidR="00913C12">
        <w:t>uilding facilities, i.e. ASEAN-</w:t>
      </w:r>
      <w:r>
        <w:t>Australia D</w:t>
      </w:r>
      <w:r w:rsidR="00E24EAB">
        <w:t>evelopment Cooperation Program</w:t>
      </w:r>
      <w:r>
        <w:t xml:space="preserve"> II (AADCP II), ASEAN Regional Integration Support from the EU (ARISE), ASEAN Development Vision to Advance National Cooperation and Economic Integration (ADVANCE) from the US, and </w:t>
      </w:r>
      <w:r w:rsidR="00E24EAB">
        <w:t>operationalization</w:t>
      </w:r>
      <w:r>
        <w:t xml:space="preserve"> of the ASEAN-ADB Memorandum of Understanding (2012-2015). These technical assistance facilities provide support to ASEAN’s community-building efforts and institutional strengthening.</w:t>
      </w:r>
    </w:p>
    <w:p w:rsidR="005F03B1" w:rsidRDefault="00FA015C" w:rsidP="00C166DE">
      <w:pPr>
        <w:pStyle w:val="Heading1"/>
      </w:pPr>
      <w:bookmarkStart w:id="21" w:name="_Toc484707781"/>
      <w:r>
        <w:br w:type="page"/>
      </w:r>
      <w:r w:rsidR="00913C12">
        <w:lastRenderedPageBreak/>
        <w:t>LIST OF MINISTERS</w:t>
      </w:r>
      <w:bookmarkEnd w:id="21"/>
    </w:p>
    <w:p w:rsidR="00E24EAB" w:rsidRDefault="00913C12" w:rsidP="00C166DE">
      <w:pPr>
        <w:numPr>
          <w:ilvl w:val="0"/>
          <w:numId w:val="17"/>
        </w:numPr>
      </w:pPr>
      <w:r>
        <w:rPr>
          <w:b/>
        </w:rPr>
        <w:t xml:space="preserve">H.E. Pehin Dato </w:t>
      </w:r>
      <w:r w:rsidR="005F03B1" w:rsidRPr="00913C12">
        <w:rPr>
          <w:b/>
        </w:rPr>
        <w:t>Lim Jock Seng</w:t>
      </w:r>
      <w:r w:rsidR="005F03B1">
        <w:t>, Second Minister of Fo</w:t>
      </w:r>
      <w:r>
        <w:t>reign Affairs and Trade, Brunei Darussalam</w:t>
      </w:r>
    </w:p>
    <w:p w:rsidR="005F03B1" w:rsidRDefault="005F03B1" w:rsidP="00C166DE">
      <w:pPr>
        <w:numPr>
          <w:ilvl w:val="0"/>
          <w:numId w:val="17"/>
        </w:numPr>
      </w:pPr>
      <w:r w:rsidRPr="00E24EAB">
        <w:rPr>
          <w:b/>
        </w:rPr>
        <w:t>H.E. Cham Prasidh</w:t>
      </w:r>
      <w:r>
        <w:t>, Senior Minister and</w:t>
      </w:r>
      <w:r w:rsidR="00913C12">
        <w:t xml:space="preserve"> Minister of Commerce, Cambodia</w:t>
      </w:r>
    </w:p>
    <w:p w:rsidR="005F03B1" w:rsidRDefault="005F03B1" w:rsidP="00C166DE">
      <w:pPr>
        <w:numPr>
          <w:ilvl w:val="0"/>
          <w:numId w:val="17"/>
        </w:numPr>
      </w:pPr>
      <w:r w:rsidRPr="00913C12">
        <w:rPr>
          <w:b/>
        </w:rPr>
        <w:t>H.E. Kong Vibol</w:t>
      </w:r>
      <w:r>
        <w:t>, Secretary of State, Ministry of Economy and Finance, and Vice Chairman of the Council for the Dev</w:t>
      </w:r>
      <w:r w:rsidR="00913C12">
        <w:t>elopment of Cambodia, Cambodia.</w:t>
      </w:r>
    </w:p>
    <w:p w:rsidR="005F03B1" w:rsidRDefault="005F03B1" w:rsidP="00C166DE">
      <w:pPr>
        <w:numPr>
          <w:ilvl w:val="0"/>
          <w:numId w:val="17"/>
        </w:numPr>
      </w:pPr>
      <w:r w:rsidRPr="00913C12">
        <w:rPr>
          <w:b/>
        </w:rPr>
        <w:t>H.E. Gita Wirjawan</w:t>
      </w:r>
      <w:r>
        <w:t>,</w:t>
      </w:r>
      <w:r w:rsidR="00913C12">
        <w:t xml:space="preserve"> Minister of Trade of Indonesia</w:t>
      </w:r>
    </w:p>
    <w:p w:rsidR="005F03B1" w:rsidRDefault="005F03B1" w:rsidP="00C166DE">
      <w:pPr>
        <w:numPr>
          <w:ilvl w:val="0"/>
          <w:numId w:val="17"/>
        </w:numPr>
      </w:pPr>
      <w:r w:rsidRPr="00913C12">
        <w:rPr>
          <w:b/>
        </w:rPr>
        <w:t>H.E. Muhamad Chatib Basri</w:t>
      </w:r>
      <w:r>
        <w:t>, Chairman of Investmen</w:t>
      </w:r>
      <w:r w:rsidR="00913C12">
        <w:t>t Coordinating Board, Indonesia</w:t>
      </w:r>
    </w:p>
    <w:p w:rsidR="005F03B1" w:rsidRDefault="005F03B1" w:rsidP="00C166DE">
      <w:pPr>
        <w:numPr>
          <w:ilvl w:val="0"/>
          <w:numId w:val="17"/>
        </w:numPr>
      </w:pPr>
      <w:r w:rsidRPr="00913C12">
        <w:rPr>
          <w:b/>
        </w:rPr>
        <w:t>H.E. Nam Viyaketh</w:t>
      </w:r>
      <w:r>
        <w:t>, Minister of Industry and Com</w:t>
      </w:r>
      <w:r w:rsidR="00913C12">
        <w:t>merce, Lao PDR</w:t>
      </w:r>
    </w:p>
    <w:p w:rsidR="005F03B1" w:rsidRDefault="005F03B1" w:rsidP="00C166DE">
      <w:pPr>
        <w:numPr>
          <w:ilvl w:val="0"/>
          <w:numId w:val="17"/>
        </w:numPr>
      </w:pPr>
      <w:r w:rsidRPr="00913C12">
        <w:rPr>
          <w:b/>
        </w:rPr>
        <w:t>H.E. Dato’ Sri Mustapa Mohamed</w:t>
      </w:r>
      <w:r>
        <w:t>, Minister of Internation</w:t>
      </w:r>
      <w:r w:rsidR="00913C12">
        <w:t>al Trade and Industry, Malaysia</w:t>
      </w:r>
    </w:p>
    <w:p w:rsidR="005F03B1" w:rsidRDefault="005F03B1" w:rsidP="00C166DE">
      <w:pPr>
        <w:numPr>
          <w:ilvl w:val="0"/>
          <w:numId w:val="17"/>
        </w:numPr>
      </w:pPr>
      <w:r w:rsidRPr="00913C12">
        <w:rPr>
          <w:b/>
        </w:rPr>
        <w:t>H.E. U Tin Naing Thein</w:t>
      </w:r>
      <w:r>
        <w:t>, Union Minister for National Pla</w:t>
      </w:r>
      <w:r w:rsidR="00913C12">
        <w:t>nning and Economic Development, Myanmar</w:t>
      </w:r>
    </w:p>
    <w:p w:rsidR="005F03B1" w:rsidRDefault="005F03B1" w:rsidP="00C166DE">
      <w:pPr>
        <w:numPr>
          <w:ilvl w:val="0"/>
          <w:numId w:val="17"/>
        </w:numPr>
      </w:pPr>
      <w:r w:rsidRPr="00913C12">
        <w:rPr>
          <w:b/>
        </w:rPr>
        <w:t>H.E. Gregory L. Domingo</w:t>
      </w:r>
      <w:r>
        <w:t>, Secretary of Trade and</w:t>
      </w:r>
      <w:r w:rsidR="00913C12">
        <w:t xml:space="preserve"> Industry, the Philippines</w:t>
      </w:r>
    </w:p>
    <w:p w:rsidR="005F03B1" w:rsidRDefault="005F03B1" w:rsidP="00C166DE">
      <w:pPr>
        <w:numPr>
          <w:ilvl w:val="0"/>
          <w:numId w:val="17"/>
        </w:numPr>
      </w:pPr>
      <w:r w:rsidRPr="00913C12">
        <w:rPr>
          <w:b/>
        </w:rPr>
        <w:t>H.E. Lim Hng Kiang</w:t>
      </w:r>
      <w:r>
        <w:t>, Minister fo</w:t>
      </w:r>
      <w:r w:rsidR="00913C12">
        <w:t>r Trade and Industry, Singapore</w:t>
      </w:r>
    </w:p>
    <w:p w:rsidR="005F03B1" w:rsidRDefault="005F03B1" w:rsidP="00C166DE">
      <w:pPr>
        <w:numPr>
          <w:ilvl w:val="0"/>
          <w:numId w:val="17"/>
        </w:numPr>
      </w:pPr>
      <w:r w:rsidRPr="00913C12">
        <w:rPr>
          <w:b/>
        </w:rPr>
        <w:t>H.E. Boonsong Teriyapirom</w:t>
      </w:r>
      <w:r>
        <w:t>,</w:t>
      </w:r>
      <w:r w:rsidR="00913C12">
        <w:t xml:space="preserve"> Minister of Commerce, Thailand</w:t>
      </w:r>
    </w:p>
    <w:p w:rsidR="005F03B1" w:rsidRDefault="005F03B1" w:rsidP="00C166DE">
      <w:pPr>
        <w:numPr>
          <w:ilvl w:val="0"/>
          <w:numId w:val="17"/>
        </w:numPr>
      </w:pPr>
      <w:r w:rsidRPr="00913C12">
        <w:rPr>
          <w:b/>
        </w:rPr>
        <w:t>H.E. Pongsvas Svasti</w:t>
      </w:r>
      <w:r>
        <w:t>,</w:t>
      </w:r>
      <w:r w:rsidR="00913C12">
        <w:t xml:space="preserve"> Minister of Industry, Thailand</w:t>
      </w:r>
    </w:p>
    <w:p w:rsidR="005F03B1" w:rsidRDefault="005F03B1" w:rsidP="00C166DE">
      <w:pPr>
        <w:numPr>
          <w:ilvl w:val="0"/>
          <w:numId w:val="17"/>
        </w:numPr>
      </w:pPr>
      <w:r w:rsidRPr="00913C12">
        <w:rPr>
          <w:b/>
        </w:rPr>
        <w:t>H.E. Vu Huy Hoang</w:t>
      </w:r>
      <w:r>
        <w:t xml:space="preserve">, Minister </w:t>
      </w:r>
      <w:r w:rsidR="00913C12">
        <w:t>of Industry and Trade, Viet Nam</w:t>
      </w:r>
    </w:p>
    <w:p w:rsidR="005F03B1" w:rsidRDefault="005F03B1" w:rsidP="00C166DE">
      <w:pPr>
        <w:numPr>
          <w:ilvl w:val="0"/>
          <w:numId w:val="17"/>
        </w:numPr>
      </w:pPr>
      <w:r w:rsidRPr="00913C12">
        <w:rPr>
          <w:b/>
        </w:rPr>
        <w:t>H.E. Nguyen Van Trung</w:t>
      </w:r>
      <w:r>
        <w:t>, Deputy Minister of Pl</w:t>
      </w:r>
      <w:r w:rsidR="00913C12">
        <w:t>anning and Investment, Viet Nam</w:t>
      </w:r>
    </w:p>
    <w:p w:rsidR="000871E0" w:rsidRPr="00A24B11" w:rsidRDefault="005F03B1" w:rsidP="00C166DE">
      <w:pPr>
        <w:numPr>
          <w:ilvl w:val="0"/>
          <w:numId w:val="17"/>
        </w:numPr>
      </w:pPr>
      <w:r w:rsidRPr="00913C12">
        <w:rPr>
          <w:b/>
        </w:rPr>
        <w:t>H.E. Surin Pitsuwan</w:t>
      </w:r>
      <w:r>
        <w:t>, Secretary-General of ASEAN</w:t>
      </w:r>
    </w:p>
    <w:p w:rsidR="0034120E" w:rsidRPr="00A24B11" w:rsidRDefault="0034120E" w:rsidP="00C166DE"/>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15" w:rsidRDefault="00683615" w:rsidP="00ED1CA6">
      <w:pPr>
        <w:spacing w:after="0" w:line="240" w:lineRule="auto"/>
      </w:pPr>
      <w:r>
        <w:separator/>
      </w:r>
    </w:p>
  </w:endnote>
  <w:endnote w:type="continuationSeparator" w:id="0">
    <w:p w:rsidR="00683615" w:rsidRDefault="00683615"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FA015C" w:rsidRDefault="00ED1CA6" w:rsidP="00FA015C">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1E07F3">
      <w:rPr>
        <w:rFonts w:cs="Arial"/>
        <w:noProof/>
        <w:color w:val="808080"/>
        <w:sz w:val="16"/>
        <w:szCs w:val="16"/>
      </w:rPr>
      <w:t>6</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1E07F3">
      <w:rPr>
        <w:rFonts w:cs="Arial"/>
        <w:noProof/>
        <w:color w:val="808080"/>
        <w:sz w:val="16"/>
        <w:szCs w:val="16"/>
      </w:rPr>
      <w:t>9</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FA015C" w:rsidRDefault="00ED1CA6" w:rsidP="00FA015C">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15" w:rsidRDefault="00683615" w:rsidP="00ED1CA6">
      <w:pPr>
        <w:spacing w:after="0" w:line="240" w:lineRule="auto"/>
      </w:pPr>
      <w:r>
        <w:separator/>
      </w:r>
    </w:p>
  </w:footnote>
  <w:footnote w:type="continuationSeparator" w:id="0">
    <w:p w:rsidR="00683615" w:rsidRDefault="00683615"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494981" w:rsidRDefault="005F03B1" w:rsidP="00ED1CA6">
    <w:pPr>
      <w:pStyle w:val="Header"/>
      <w:pBdr>
        <w:bottom w:val="single" w:sz="4" w:space="1" w:color="auto"/>
      </w:pBdr>
      <w:rPr>
        <w:rFonts w:cs="Arial"/>
        <w:caps/>
        <w:color w:val="808080"/>
        <w:sz w:val="16"/>
        <w:szCs w:val="16"/>
      </w:rPr>
    </w:pPr>
    <w:r>
      <w:rPr>
        <w:rFonts w:cs="Arial"/>
        <w:caps/>
        <w:color w:val="808080"/>
        <w:sz w:val="16"/>
        <w:szCs w:val="16"/>
      </w:rPr>
      <w:t>2012</w:t>
    </w:r>
    <w:r w:rsidR="00B465B8">
      <w:rPr>
        <w:rFonts w:cs="Arial"/>
        <w:caps/>
        <w:color w:val="808080"/>
        <w:sz w:val="16"/>
        <w:szCs w:val="16"/>
      </w:rPr>
      <w:t xml:space="preserve"> </w:t>
    </w:r>
    <w:r w:rsidR="00367379">
      <w:rPr>
        <w:rFonts w:cs="Arial"/>
        <w:caps/>
        <w:color w:val="808080"/>
        <w:sz w:val="16"/>
        <w:szCs w:val="16"/>
      </w:rPr>
      <w:t>Joint media statement</w:t>
    </w:r>
    <w:r>
      <w:rPr>
        <w:rFonts w:cs="Arial"/>
        <w:caps/>
        <w:color w:val="808080"/>
        <w:sz w:val="16"/>
        <w:szCs w:val="16"/>
      </w:rPr>
      <w:t xml:space="preserve"> of the 44</w:t>
    </w:r>
    <w:r w:rsidR="00B465B8" w:rsidRPr="00B465B8">
      <w:rPr>
        <w:rFonts w:cs="Arial"/>
        <w:caps/>
        <w:color w:val="808080"/>
        <w:sz w:val="16"/>
        <w:szCs w:val="16"/>
        <w:vertAlign w:val="superscript"/>
      </w:rPr>
      <w:t>th</w:t>
    </w:r>
    <w:r w:rsidR="00B465B8">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w:t>
    </w:r>
    <w:r w:rsidR="00032554">
      <w:rPr>
        <w:rFonts w:cs="Arial"/>
        <w:caps/>
        <w:color w:val="808080"/>
        <w:sz w:val="16"/>
        <w:szCs w:val="16"/>
      </w:rPr>
      <w:t xml:space="preserve"> </w:t>
    </w:r>
    <w:r w:rsidR="00367379">
      <w:rPr>
        <w:rFonts w:cs="Arial"/>
        <w:caps/>
        <w:color w:val="808080"/>
        <w:sz w:val="16"/>
        <w:szCs w:val="16"/>
      </w:rPr>
      <w:t>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2F74"/>
    <w:multiLevelType w:val="hybridMultilevel"/>
    <w:tmpl w:val="52005E6A"/>
    <w:lvl w:ilvl="0" w:tplc="D5525E0E">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B1F3719"/>
    <w:multiLevelType w:val="hybridMultilevel"/>
    <w:tmpl w:val="DD5E20DC"/>
    <w:lvl w:ilvl="0" w:tplc="D5525E0E">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3"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4" w15:restartNumberingAfterBreak="0">
    <w:nsid w:val="305F6E17"/>
    <w:multiLevelType w:val="hybridMultilevel"/>
    <w:tmpl w:val="7A569CFE"/>
    <w:lvl w:ilvl="0" w:tplc="D5525E0E">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0712493"/>
    <w:multiLevelType w:val="hybridMultilevel"/>
    <w:tmpl w:val="339C59FA"/>
    <w:lvl w:ilvl="0" w:tplc="D5525E0E">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0F02E84"/>
    <w:multiLevelType w:val="hybridMultilevel"/>
    <w:tmpl w:val="95FEA65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F6127C"/>
    <w:multiLevelType w:val="hybridMultilevel"/>
    <w:tmpl w:val="9F3A24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E571E53"/>
    <w:multiLevelType w:val="hybridMultilevel"/>
    <w:tmpl w:val="233C0514"/>
    <w:lvl w:ilvl="0" w:tplc="D5525E0E">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EDA4BFE"/>
    <w:multiLevelType w:val="hybridMultilevel"/>
    <w:tmpl w:val="18526E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E450B26"/>
    <w:multiLevelType w:val="hybridMultilevel"/>
    <w:tmpl w:val="DDBC366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FBD0718"/>
    <w:multiLevelType w:val="hybridMultilevel"/>
    <w:tmpl w:val="BCC204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7485898"/>
    <w:multiLevelType w:val="hybridMultilevel"/>
    <w:tmpl w:val="6D2E1250"/>
    <w:lvl w:ilvl="0" w:tplc="CB285E1E">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12"/>
  </w:num>
  <w:num w:numId="4">
    <w:abstractNumId w:val="6"/>
  </w:num>
  <w:num w:numId="5">
    <w:abstractNumId w:val="2"/>
  </w:num>
  <w:num w:numId="6">
    <w:abstractNumId w:val="3"/>
  </w:num>
  <w:num w:numId="7">
    <w:abstractNumId w:val="14"/>
  </w:num>
  <w:num w:numId="8">
    <w:abstractNumId w:val="5"/>
  </w:num>
  <w:num w:numId="9">
    <w:abstractNumId w:val="10"/>
  </w:num>
  <w:num w:numId="10">
    <w:abstractNumId w:val="0"/>
  </w:num>
  <w:num w:numId="11">
    <w:abstractNumId w:val="4"/>
  </w:num>
  <w:num w:numId="12">
    <w:abstractNumId w:val="7"/>
  </w:num>
  <w:num w:numId="13">
    <w:abstractNumId w:val="11"/>
  </w:num>
  <w:num w:numId="14">
    <w:abstractNumId w:val="9"/>
  </w:num>
  <w:num w:numId="15">
    <w:abstractNumId w:val="1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1"/>
    <w:rsid w:val="00004CF2"/>
    <w:rsid w:val="00032554"/>
    <w:rsid w:val="00040970"/>
    <w:rsid w:val="000773EC"/>
    <w:rsid w:val="0008130F"/>
    <w:rsid w:val="000871E0"/>
    <w:rsid w:val="000B036E"/>
    <w:rsid w:val="00140372"/>
    <w:rsid w:val="00140693"/>
    <w:rsid w:val="00190646"/>
    <w:rsid w:val="001A40E0"/>
    <w:rsid w:val="001E07F3"/>
    <w:rsid w:val="00225E26"/>
    <w:rsid w:val="002275DD"/>
    <w:rsid w:val="002B2CDB"/>
    <w:rsid w:val="003055E8"/>
    <w:rsid w:val="00315CF9"/>
    <w:rsid w:val="00333860"/>
    <w:rsid w:val="0034120E"/>
    <w:rsid w:val="0035714F"/>
    <w:rsid w:val="00363431"/>
    <w:rsid w:val="00367379"/>
    <w:rsid w:val="00374844"/>
    <w:rsid w:val="003C56CF"/>
    <w:rsid w:val="003D33D5"/>
    <w:rsid w:val="003E0AF8"/>
    <w:rsid w:val="003E40E1"/>
    <w:rsid w:val="00423C63"/>
    <w:rsid w:val="004246BF"/>
    <w:rsid w:val="0047341E"/>
    <w:rsid w:val="0049373D"/>
    <w:rsid w:val="004D77E9"/>
    <w:rsid w:val="004E7DB6"/>
    <w:rsid w:val="004F7F74"/>
    <w:rsid w:val="005079BC"/>
    <w:rsid w:val="0053390D"/>
    <w:rsid w:val="00550286"/>
    <w:rsid w:val="00561C3B"/>
    <w:rsid w:val="005A4CA4"/>
    <w:rsid w:val="005A6556"/>
    <w:rsid w:val="005C2E94"/>
    <w:rsid w:val="005D4DE1"/>
    <w:rsid w:val="005E1B62"/>
    <w:rsid w:val="005E5ACA"/>
    <w:rsid w:val="005F03B1"/>
    <w:rsid w:val="00672BFB"/>
    <w:rsid w:val="006829AB"/>
    <w:rsid w:val="00683615"/>
    <w:rsid w:val="006850CC"/>
    <w:rsid w:val="006B4511"/>
    <w:rsid w:val="006F2030"/>
    <w:rsid w:val="00772FDF"/>
    <w:rsid w:val="007805C0"/>
    <w:rsid w:val="00781C7D"/>
    <w:rsid w:val="00784C58"/>
    <w:rsid w:val="00792E25"/>
    <w:rsid w:val="00797AE2"/>
    <w:rsid w:val="007D11EE"/>
    <w:rsid w:val="0081273A"/>
    <w:rsid w:val="00837942"/>
    <w:rsid w:val="008534E7"/>
    <w:rsid w:val="008965B5"/>
    <w:rsid w:val="008C52E4"/>
    <w:rsid w:val="008F2764"/>
    <w:rsid w:val="008F6049"/>
    <w:rsid w:val="00913C12"/>
    <w:rsid w:val="009477FB"/>
    <w:rsid w:val="0096425D"/>
    <w:rsid w:val="00970282"/>
    <w:rsid w:val="009802FF"/>
    <w:rsid w:val="009918EA"/>
    <w:rsid w:val="009D26E1"/>
    <w:rsid w:val="009E3AA7"/>
    <w:rsid w:val="009F41CF"/>
    <w:rsid w:val="00A24B11"/>
    <w:rsid w:val="00A57347"/>
    <w:rsid w:val="00A667BF"/>
    <w:rsid w:val="00A95902"/>
    <w:rsid w:val="00AD3034"/>
    <w:rsid w:val="00AF221B"/>
    <w:rsid w:val="00AF61DB"/>
    <w:rsid w:val="00B1167F"/>
    <w:rsid w:val="00B41804"/>
    <w:rsid w:val="00B41AEC"/>
    <w:rsid w:val="00B465B8"/>
    <w:rsid w:val="00B6324E"/>
    <w:rsid w:val="00B64959"/>
    <w:rsid w:val="00B76A5C"/>
    <w:rsid w:val="00B76E04"/>
    <w:rsid w:val="00BA2CC5"/>
    <w:rsid w:val="00BD5AA7"/>
    <w:rsid w:val="00C166DE"/>
    <w:rsid w:val="00C547D6"/>
    <w:rsid w:val="00C967B4"/>
    <w:rsid w:val="00CA0517"/>
    <w:rsid w:val="00CA4618"/>
    <w:rsid w:val="00CA5687"/>
    <w:rsid w:val="00CB678E"/>
    <w:rsid w:val="00CF266E"/>
    <w:rsid w:val="00D25CBE"/>
    <w:rsid w:val="00DB1097"/>
    <w:rsid w:val="00DC55BC"/>
    <w:rsid w:val="00DE424F"/>
    <w:rsid w:val="00E24EAB"/>
    <w:rsid w:val="00E26107"/>
    <w:rsid w:val="00E4732D"/>
    <w:rsid w:val="00E57462"/>
    <w:rsid w:val="00E61788"/>
    <w:rsid w:val="00E776E2"/>
    <w:rsid w:val="00E93592"/>
    <w:rsid w:val="00E9482B"/>
    <w:rsid w:val="00EA7286"/>
    <w:rsid w:val="00EB69B3"/>
    <w:rsid w:val="00EC3B82"/>
    <w:rsid w:val="00ED1CA6"/>
    <w:rsid w:val="00ED5691"/>
    <w:rsid w:val="00EF2D45"/>
    <w:rsid w:val="00F21504"/>
    <w:rsid w:val="00F332E5"/>
    <w:rsid w:val="00F47D87"/>
    <w:rsid w:val="00F81A9A"/>
    <w:rsid w:val="00FA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23A509-E9BF-4C55-AF01-38CBB994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0D"/>
    <w:pPr>
      <w:spacing w:before="240" w:after="120" w:line="276" w:lineRule="auto"/>
      <w:jc w:val="both"/>
    </w:pPr>
    <w:rPr>
      <w:rFonts w:ascii="Arial" w:hAnsi="Arial"/>
      <w:szCs w:val="22"/>
      <w:lang w:bidi="en-US"/>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bidi="ar-SA"/>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lang w:val="en-SG" w:eastAsia="en-SG" w:bidi="ar-SA"/>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459B-C11D-4917-AC55-AFAA601E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21382</CharactersWithSpaces>
  <SharedDoc>false</SharedDoc>
  <HLinks>
    <vt:vector size="138" baseType="variant">
      <vt:variant>
        <vt:i4>1507383</vt:i4>
      </vt:variant>
      <vt:variant>
        <vt:i4>122</vt:i4>
      </vt:variant>
      <vt:variant>
        <vt:i4>0</vt:i4>
      </vt:variant>
      <vt:variant>
        <vt:i4>5</vt:i4>
      </vt:variant>
      <vt:variant>
        <vt:lpwstr/>
      </vt:variant>
      <vt:variant>
        <vt:lpwstr>_Toc484707781</vt:lpwstr>
      </vt:variant>
      <vt:variant>
        <vt:i4>1507383</vt:i4>
      </vt:variant>
      <vt:variant>
        <vt:i4>116</vt:i4>
      </vt:variant>
      <vt:variant>
        <vt:i4>0</vt:i4>
      </vt:variant>
      <vt:variant>
        <vt:i4>5</vt:i4>
      </vt:variant>
      <vt:variant>
        <vt:lpwstr/>
      </vt:variant>
      <vt:variant>
        <vt:lpwstr>_Toc484707780</vt:lpwstr>
      </vt:variant>
      <vt:variant>
        <vt:i4>1572919</vt:i4>
      </vt:variant>
      <vt:variant>
        <vt:i4>110</vt:i4>
      </vt:variant>
      <vt:variant>
        <vt:i4>0</vt:i4>
      </vt:variant>
      <vt:variant>
        <vt:i4>5</vt:i4>
      </vt:variant>
      <vt:variant>
        <vt:lpwstr/>
      </vt:variant>
      <vt:variant>
        <vt:lpwstr>_Toc484707779</vt:lpwstr>
      </vt:variant>
      <vt:variant>
        <vt:i4>1572919</vt:i4>
      </vt:variant>
      <vt:variant>
        <vt:i4>104</vt:i4>
      </vt:variant>
      <vt:variant>
        <vt:i4>0</vt:i4>
      </vt:variant>
      <vt:variant>
        <vt:i4>5</vt:i4>
      </vt:variant>
      <vt:variant>
        <vt:lpwstr/>
      </vt:variant>
      <vt:variant>
        <vt:lpwstr>_Toc484707778</vt:lpwstr>
      </vt:variant>
      <vt:variant>
        <vt:i4>1572919</vt:i4>
      </vt:variant>
      <vt:variant>
        <vt:i4>98</vt:i4>
      </vt:variant>
      <vt:variant>
        <vt:i4>0</vt:i4>
      </vt:variant>
      <vt:variant>
        <vt:i4>5</vt:i4>
      </vt:variant>
      <vt:variant>
        <vt:lpwstr/>
      </vt:variant>
      <vt:variant>
        <vt:lpwstr>_Toc484707777</vt:lpwstr>
      </vt:variant>
      <vt:variant>
        <vt:i4>1572919</vt:i4>
      </vt:variant>
      <vt:variant>
        <vt:i4>92</vt:i4>
      </vt:variant>
      <vt:variant>
        <vt:i4>0</vt:i4>
      </vt:variant>
      <vt:variant>
        <vt:i4>5</vt:i4>
      </vt:variant>
      <vt:variant>
        <vt:lpwstr/>
      </vt:variant>
      <vt:variant>
        <vt:lpwstr>_Toc484707776</vt:lpwstr>
      </vt:variant>
      <vt:variant>
        <vt:i4>1572919</vt:i4>
      </vt:variant>
      <vt:variant>
        <vt:i4>86</vt:i4>
      </vt:variant>
      <vt:variant>
        <vt:i4>0</vt:i4>
      </vt:variant>
      <vt:variant>
        <vt:i4>5</vt:i4>
      </vt:variant>
      <vt:variant>
        <vt:lpwstr/>
      </vt:variant>
      <vt:variant>
        <vt:lpwstr>_Toc484707775</vt:lpwstr>
      </vt:variant>
      <vt:variant>
        <vt:i4>1572919</vt:i4>
      </vt:variant>
      <vt:variant>
        <vt:i4>80</vt:i4>
      </vt:variant>
      <vt:variant>
        <vt:i4>0</vt:i4>
      </vt:variant>
      <vt:variant>
        <vt:i4>5</vt:i4>
      </vt:variant>
      <vt:variant>
        <vt:lpwstr/>
      </vt:variant>
      <vt:variant>
        <vt:lpwstr>_Toc484707774</vt:lpwstr>
      </vt:variant>
      <vt:variant>
        <vt:i4>1572919</vt:i4>
      </vt:variant>
      <vt:variant>
        <vt:i4>74</vt:i4>
      </vt:variant>
      <vt:variant>
        <vt:i4>0</vt:i4>
      </vt:variant>
      <vt:variant>
        <vt:i4>5</vt:i4>
      </vt:variant>
      <vt:variant>
        <vt:lpwstr/>
      </vt:variant>
      <vt:variant>
        <vt:lpwstr>_Toc484707773</vt:lpwstr>
      </vt:variant>
      <vt:variant>
        <vt:i4>1572919</vt:i4>
      </vt:variant>
      <vt:variant>
        <vt:i4>68</vt:i4>
      </vt:variant>
      <vt:variant>
        <vt:i4>0</vt:i4>
      </vt:variant>
      <vt:variant>
        <vt:i4>5</vt:i4>
      </vt:variant>
      <vt:variant>
        <vt:lpwstr/>
      </vt:variant>
      <vt:variant>
        <vt:lpwstr>_Toc484707772</vt:lpwstr>
      </vt:variant>
      <vt:variant>
        <vt:i4>1572919</vt:i4>
      </vt:variant>
      <vt:variant>
        <vt:i4>62</vt:i4>
      </vt:variant>
      <vt:variant>
        <vt:i4>0</vt:i4>
      </vt:variant>
      <vt:variant>
        <vt:i4>5</vt:i4>
      </vt:variant>
      <vt:variant>
        <vt:lpwstr/>
      </vt:variant>
      <vt:variant>
        <vt:lpwstr>_Toc484707771</vt:lpwstr>
      </vt:variant>
      <vt:variant>
        <vt:i4>1572919</vt:i4>
      </vt:variant>
      <vt:variant>
        <vt:i4>56</vt:i4>
      </vt:variant>
      <vt:variant>
        <vt:i4>0</vt:i4>
      </vt:variant>
      <vt:variant>
        <vt:i4>5</vt:i4>
      </vt:variant>
      <vt:variant>
        <vt:lpwstr/>
      </vt:variant>
      <vt:variant>
        <vt:lpwstr>_Toc484707770</vt:lpwstr>
      </vt:variant>
      <vt:variant>
        <vt:i4>1638455</vt:i4>
      </vt:variant>
      <vt:variant>
        <vt:i4>50</vt:i4>
      </vt:variant>
      <vt:variant>
        <vt:i4>0</vt:i4>
      </vt:variant>
      <vt:variant>
        <vt:i4>5</vt:i4>
      </vt:variant>
      <vt:variant>
        <vt:lpwstr/>
      </vt:variant>
      <vt:variant>
        <vt:lpwstr>_Toc484707769</vt:lpwstr>
      </vt:variant>
      <vt:variant>
        <vt:i4>1638455</vt:i4>
      </vt:variant>
      <vt:variant>
        <vt:i4>44</vt:i4>
      </vt:variant>
      <vt:variant>
        <vt:i4>0</vt:i4>
      </vt:variant>
      <vt:variant>
        <vt:i4>5</vt:i4>
      </vt:variant>
      <vt:variant>
        <vt:lpwstr/>
      </vt:variant>
      <vt:variant>
        <vt:lpwstr>_Toc484707768</vt:lpwstr>
      </vt:variant>
      <vt:variant>
        <vt:i4>1638455</vt:i4>
      </vt:variant>
      <vt:variant>
        <vt:i4>38</vt:i4>
      </vt:variant>
      <vt:variant>
        <vt:i4>0</vt:i4>
      </vt:variant>
      <vt:variant>
        <vt:i4>5</vt:i4>
      </vt:variant>
      <vt:variant>
        <vt:lpwstr/>
      </vt:variant>
      <vt:variant>
        <vt:lpwstr>_Toc484707767</vt:lpwstr>
      </vt:variant>
      <vt:variant>
        <vt:i4>1638455</vt:i4>
      </vt:variant>
      <vt:variant>
        <vt:i4>32</vt:i4>
      </vt:variant>
      <vt:variant>
        <vt:i4>0</vt:i4>
      </vt:variant>
      <vt:variant>
        <vt:i4>5</vt:i4>
      </vt:variant>
      <vt:variant>
        <vt:lpwstr/>
      </vt:variant>
      <vt:variant>
        <vt:lpwstr>_Toc484707766</vt:lpwstr>
      </vt:variant>
      <vt:variant>
        <vt:i4>1638455</vt:i4>
      </vt:variant>
      <vt:variant>
        <vt:i4>26</vt:i4>
      </vt:variant>
      <vt:variant>
        <vt:i4>0</vt:i4>
      </vt:variant>
      <vt:variant>
        <vt:i4>5</vt:i4>
      </vt:variant>
      <vt:variant>
        <vt:lpwstr/>
      </vt:variant>
      <vt:variant>
        <vt:lpwstr>_Toc484707765</vt:lpwstr>
      </vt:variant>
      <vt:variant>
        <vt:i4>1638455</vt:i4>
      </vt:variant>
      <vt:variant>
        <vt:i4>20</vt:i4>
      </vt:variant>
      <vt:variant>
        <vt:i4>0</vt:i4>
      </vt:variant>
      <vt:variant>
        <vt:i4>5</vt:i4>
      </vt:variant>
      <vt:variant>
        <vt:lpwstr/>
      </vt:variant>
      <vt:variant>
        <vt:lpwstr>_Toc484707764</vt:lpwstr>
      </vt:variant>
      <vt:variant>
        <vt:i4>1638455</vt:i4>
      </vt:variant>
      <vt:variant>
        <vt:i4>14</vt:i4>
      </vt:variant>
      <vt:variant>
        <vt:i4>0</vt:i4>
      </vt:variant>
      <vt:variant>
        <vt:i4>5</vt:i4>
      </vt:variant>
      <vt:variant>
        <vt:lpwstr/>
      </vt:variant>
      <vt:variant>
        <vt:lpwstr>_Toc484707763</vt:lpwstr>
      </vt:variant>
      <vt:variant>
        <vt:i4>1638455</vt:i4>
      </vt:variant>
      <vt:variant>
        <vt:i4>8</vt:i4>
      </vt:variant>
      <vt:variant>
        <vt:i4>0</vt:i4>
      </vt:variant>
      <vt:variant>
        <vt:i4>5</vt:i4>
      </vt:variant>
      <vt:variant>
        <vt:lpwstr/>
      </vt:variant>
      <vt:variant>
        <vt:lpwstr>_Toc484707762</vt:lpwstr>
      </vt:variant>
      <vt:variant>
        <vt:i4>1638455</vt:i4>
      </vt:variant>
      <vt:variant>
        <vt:i4>2</vt:i4>
      </vt:variant>
      <vt:variant>
        <vt:i4>0</vt:i4>
      </vt:variant>
      <vt:variant>
        <vt:i4>5</vt:i4>
      </vt:variant>
      <vt:variant>
        <vt:lpwstr/>
      </vt:variant>
      <vt:variant>
        <vt:lpwstr>_Toc484707761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3</cp:revision>
  <cp:lastPrinted>2017-06-12T05:33:00Z</cp:lastPrinted>
  <dcterms:created xsi:type="dcterms:W3CDTF">2019-12-13T04:26:00Z</dcterms:created>
  <dcterms:modified xsi:type="dcterms:W3CDTF">2019-12-13T04:27:00Z</dcterms:modified>
</cp:coreProperties>
</file>