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19" w:rsidRDefault="00805AF0" w:rsidP="0005776D">
      <w:pPr>
        <w:pStyle w:val="CILTitle"/>
      </w:pPr>
      <w:r>
        <w:t xml:space="preserve">2012 </w:t>
      </w:r>
      <w:r w:rsidRPr="00805AF0">
        <w:t xml:space="preserve">ASEAN </w:t>
      </w:r>
      <w:r>
        <w:t xml:space="preserve">MUTUAL RECOGNITION ARRANGEMENT </w:t>
      </w:r>
      <w:r w:rsidRPr="00805AF0">
        <w:t>ON TOURISM PROFESSIONALS</w:t>
      </w:r>
    </w:p>
    <w:p w:rsidR="00805AF0" w:rsidRDefault="00805AF0" w:rsidP="0005776D">
      <w:pPr>
        <w:pStyle w:val="CILSubtitle"/>
      </w:pPr>
      <w:r>
        <w:t>Signed in Bangkok, Thailand on 9 November 2012</w:t>
      </w:r>
    </w:p>
    <w:p w:rsidR="008621CB" w:rsidRDefault="008621CB" w:rsidP="0005776D">
      <w:pPr>
        <w:pStyle w:val="CILSubtitle"/>
      </w:pPr>
    </w:p>
    <w:p w:rsidR="008621CB" w:rsidRPr="00F2261F" w:rsidRDefault="00EB4F08" w:rsidP="008621CB">
      <w:pPr>
        <w:pStyle w:val="TOC1"/>
        <w:tabs>
          <w:tab w:val="right" w:leader="dot" w:pos="9017"/>
        </w:tabs>
        <w:spacing w:before="0" w:after="0"/>
        <w:rPr>
          <w:rFonts w:ascii="Calibri" w:eastAsia="SimSun" w:hAnsi="Calibri"/>
          <w:noProof/>
          <w:sz w:val="22"/>
          <w:szCs w:val="22"/>
          <w:lang w:val="en-GB" w:eastAsia="zh-CN"/>
        </w:rPr>
      </w:pPr>
      <w:r w:rsidRPr="00EB4F08">
        <w:rPr>
          <w:caps/>
        </w:rPr>
        <w:fldChar w:fldCharType="begin"/>
      </w:r>
      <w:r w:rsidRPr="00EB4F08">
        <w:rPr>
          <w:caps/>
        </w:rPr>
        <w:instrText xml:space="preserve"> TOC \o "1-3" \h \z \u </w:instrText>
      </w:r>
      <w:r w:rsidRPr="00EB4F08">
        <w:rPr>
          <w:caps/>
        </w:rPr>
        <w:fldChar w:fldCharType="separate"/>
      </w:r>
      <w:hyperlink w:anchor="_Toc482805726" w:history="1">
        <w:r w:rsidR="008621CB" w:rsidRPr="00B92999">
          <w:rPr>
            <w:rStyle w:val="Hyperlink"/>
            <w:noProof/>
          </w:rPr>
          <w:t>PREAMBLE</w:t>
        </w:r>
        <w:r w:rsidR="008621CB">
          <w:rPr>
            <w:noProof/>
            <w:webHidden/>
          </w:rPr>
          <w:tab/>
        </w:r>
        <w:r w:rsidR="008621CB">
          <w:rPr>
            <w:noProof/>
            <w:webHidden/>
          </w:rPr>
          <w:fldChar w:fldCharType="begin"/>
        </w:r>
        <w:r w:rsidR="008621CB">
          <w:rPr>
            <w:noProof/>
            <w:webHidden/>
          </w:rPr>
          <w:instrText xml:space="preserve"> PAGEREF _Toc482805726 \h </w:instrText>
        </w:r>
        <w:r w:rsidR="008621CB">
          <w:rPr>
            <w:noProof/>
            <w:webHidden/>
          </w:rPr>
        </w:r>
        <w:r w:rsidR="008621CB">
          <w:rPr>
            <w:noProof/>
            <w:webHidden/>
          </w:rPr>
          <w:fldChar w:fldCharType="separate"/>
        </w:r>
        <w:r w:rsidR="00F45F5F">
          <w:rPr>
            <w:noProof/>
            <w:webHidden/>
          </w:rPr>
          <w:t>2</w:t>
        </w:r>
        <w:r w:rsidR="008621CB">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27" w:history="1">
        <w:r w:rsidRPr="00B92999">
          <w:rPr>
            <w:rStyle w:val="Hyperlink"/>
            <w:noProof/>
          </w:rPr>
          <w:t>ARTICLE I  OBJECTIVES</w:t>
        </w:r>
        <w:r>
          <w:rPr>
            <w:noProof/>
            <w:webHidden/>
          </w:rPr>
          <w:tab/>
        </w:r>
        <w:r>
          <w:rPr>
            <w:noProof/>
            <w:webHidden/>
          </w:rPr>
          <w:fldChar w:fldCharType="begin"/>
        </w:r>
        <w:r>
          <w:rPr>
            <w:noProof/>
            <w:webHidden/>
          </w:rPr>
          <w:instrText xml:space="preserve"> PAGEREF _Toc482805727 \h </w:instrText>
        </w:r>
        <w:r>
          <w:rPr>
            <w:noProof/>
            <w:webHidden/>
          </w:rPr>
        </w:r>
        <w:r>
          <w:rPr>
            <w:noProof/>
            <w:webHidden/>
          </w:rPr>
          <w:fldChar w:fldCharType="separate"/>
        </w:r>
        <w:r w:rsidR="00F45F5F">
          <w:rPr>
            <w:noProof/>
            <w:webHidden/>
          </w:rPr>
          <w:t>3</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28" w:history="1">
        <w:r w:rsidRPr="00B92999">
          <w:rPr>
            <w:rStyle w:val="Hyperlink"/>
            <w:noProof/>
          </w:rPr>
          <w:t>ARTICLE II DEFINITIONS AND SCOPE</w:t>
        </w:r>
        <w:r>
          <w:rPr>
            <w:noProof/>
            <w:webHidden/>
          </w:rPr>
          <w:tab/>
        </w:r>
        <w:r>
          <w:rPr>
            <w:noProof/>
            <w:webHidden/>
          </w:rPr>
          <w:fldChar w:fldCharType="begin"/>
        </w:r>
        <w:r>
          <w:rPr>
            <w:noProof/>
            <w:webHidden/>
          </w:rPr>
          <w:instrText xml:space="preserve"> PAGEREF _Toc482805728 \h </w:instrText>
        </w:r>
        <w:r>
          <w:rPr>
            <w:noProof/>
            <w:webHidden/>
          </w:rPr>
        </w:r>
        <w:r>
          <w:rPr>
            <w:noProof/>
            <w:webHidden/>
          </w:rPr>
          <w:fldChar w:fldCharType="separate"/>
        </w:r>
        <w:r w:rsidR="00F45F5F">
          <w:rPr>
            <w:noProof/>
            <w:webHidden/>
          </w:rPr>
          <w:t>3</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29" w:history="1">
        <w:r w:rsidRPr="00B92999">
          <w:rPr>
            <w:rStyle w:val="Hyperlink"/>
            <w:noProof/>
          </w:rPr>
          <w:t>ARTICLE III RECOGNITION AND ELIGIBILITY OF FOREIGN TOURISM PROFESSIONALS</w:t>
        </w:r>
        <w:r>
          <w:rPr>
            <w:noProof/>
            <w:webHidden/>
          </w:rPr>
          <w:tab/>
        </w:r>
        <w:r>
          <w:rPr>
            <w:noProof/>
            <w:webHidden/>
          </w:rPr>
          <w:fldChar w:fldCharType="begin"/>
        </w:r>
        <w:r>
          <w:rPr>
            <w:noProof/>
            <w:webHidden/>
          </w:rPr>
          <w:instrText xml:space="preserve"> PAGEREF _Toc482805729 \h </w:instrText>
        </w:r>
        <w:r>
          <w:rPr>
            <w:noProof/>
            <w:webHidden/>
          </w:rPr>
        </w:r>
        <w:r>
          <w:rPr>
            <w:noProof/>
            <w:webHidden/>
          </w:rPr>
          <w:fldChar w:fldCharType="separate"/>
        </w:r>
        <w:r w:rsidR="00F45F5F">
          <w:rPr>
            <w:noProof/>
            <w:webHidden/>
          </w:rPr>
          <w:t>4</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30" w:history="1">
        <w:r w:rsidRPr="00B92999">
          <w:rPr>
            <w:rStyle w:val="Hyperlink"/>
            <w:noProof/>
          </w:rPr>
          <w:t>ARTICLE IV  BASIS OF RECOGNITION AND QUALIFICATIONS</w:t>
        </w:r>
        <w:r>
          <w:rPr>
            <w:noProof/>
            <w:webHidden/>
          </w:rPr>
          <w:tab/>
        </w:r>
        <w:r>
          <w:rPr>
            <w:noProof/>
            <w:webHidden/>
          </w:rPr>
          <w:fldChar w:fldCharType="begin"/>
        </w:r>
        <w:r>
          <w:rPr>
            <w:noProof/>
            <w:webHidden/>
          </w:rPr>
          <w:instrText xml:space="preserve"> PAGEREF _Toc482805730 \h </w:instrText>
        </w:r>
        <w:r>
          <w:rPr>
            <w:noProof/>
            <w:webHidden/>
          </w:rPr>
        </w:r>
        <w:r>
          <w:rPr>
            <w:noProof/>
            <w:webHidden/>
          </w:rPr>
          <w:fldChar w:fldCharType="separate"/>
        </w:r>
        <w:r w:rsidR="00F45F5F">
          <w:rPr>
            <w:noProof/>
            <w:webHidden/>
          </w:rPr>
          <w:t>4</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31" w:history="1">
        <w:r w:rsidRPr="00B92999">
          <w:rPr>
            <w:rStyle w:val="Hyperlink"/>
            <w:noProof/>
            <w:lang w:eastAsia="en-SG"/>
          </w:rPr>
          <w:t>ARTICLE V  RESPONSIBILITIES</w:t>
        </w:r>
        <w:r>
          <w:rPr>
            <w:noProof/>
            <w:webHidden/>
          </w:rPr>
          <w:tab/>
        </w:r>
        <w:r>
          <w:rPr>
            <w:noProof/>
            <w:webHidden/>
          </w:rPr>
          <w:fldChar w:fldCharType="begin"/>
        </w:r>
        <w:r>
          <w:rPr>
            <w:noProof/>
            <w:webHidden/>
          </w:rPr>
          <w:instrText xml:space="preserve"> PAGEREF _Toc482805731 \h </w:instrText>
        </w:r>
        <w:r>
          <w:rPr>
            <w:noProof/>
            <w:webHidden/>
          </w:rPr>
        </w:r>
        <w:r>
          <w:rPr>
            <w:noProof/>
            <w:webHidden/>
          </w:rPr>
          <w:fldChar w:fldCharType="separate"/>
        </w:r>
        <w:r w:rsidR="00F45F5F">
          <w:rPr>
            <w:noProof/>
            <w:webHidden/>
          </w:rPr>
          <w:t>4</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32" w:history="1">
        <w:r w:rsidRPr="00B92999">
          <w:rPr>
            <w:rStyle w:val="Hyperlink"/>
            <w:noProof/>
            <w:lang w:eastAsia="en-SG"/>
          </w:rPr>
          <w:t>ARTICLE VI  RIGHT TO REGULATE</w:t>
        </w:r>
        <w:r>
          <w:rPr>
            <w:noProof/>
            <w:webHidden/>
          </w:rPr>
          <w:tab/>
        </w:r>
        <w:r>
          <w:rPr>
            <w:noProof/>
            <w:webHidden/>
          </w:rPr>
          <w:fldChar w:fldCharType="begin"/>
        </w:r>
        <w:r>
          <w:rPr>
            <w:noProof/>
            <w:webHidden/>
          </w:rPr>
          <w:instrText xml:space="preserve"> PAGEREF _Toc482805732 \h </w:instrText>
        </w:r>
        <w:r>
          <w:rPr>
            <w:noProof/>
            <w:webHidden/>
          </w:rPr>
        </w:r>
        <w:r>
          <w:rPr>
            <w:noProof/>
            <w:webHidden/>
          </w:rPr>
          <w:fldChar w:fldCharType="separate"/>
        </w:r>
        <w:r w:rsidR="00F45F5F">
          <w:rPr>
            <w:noProof/>
            <w:webHidden/>
          </w:rPr>
          <w:t>6</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33" w:history="1">
        <w:r w:rsidRPr="00B92999">
          <w:rPr>
            <w:rStyle w:val="Hyperlink"/>
            <w:noProof/>
            <w:lang w:eastAsia="en-SG"/>
          </w:rPr>
          <w:t>ARTICLE VII  DISPUTE SETTLEMENT</w:t>
        </w:r>
        <w:r>
          <w:rPr>
            <w:noProof/>
            <w:webHidden/>
          </w:rPr>
          <w:tab/>
        </w:r>
        <w:r>
          <w:rPr>
            <w:noProof/>
            <w:webHidden/>
          </w:rPr>
          <w:fldChar w:fldCharType="begin"/>
        </w:r>
        <w:r>
          <w:rPr>
            <w:noProof/>
            <w:webHidden/>
          </w:rPr>
          <w:instrText xml:space="preserve"> PAGEREF _Toc482805733 \h </w:instrText>
        </w:r>
        <w:r>
          <w:rPr>
            <w:noProof/>
            <w:webHidden/>
          </w:rPr>
        </w:r>
        <w:r>
          <w:rPr>
            <w:noProof/>
            <w:webHidden/>
          </w:rPr>
          <w:fldChar w:fldCharType="separate"/>
        </w:r>
        <w:r w:rsidR="00F45F5F">
          <w:rPr>
            <w:noProof/>
            <w:webHidden/>
          </w:rPr>
          <w:t>6</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34" w:history="1">
        <w:r w:rsidRPr="00B92999">
          <w:rPr>
            <w:rStyle w:val="Hyperlink"/>
            <w:noProof/>
            <w:lang w:eastAsia="en-SG"/>
          </w:rPr>
          <w:t>ARTICLE VIII  AMENDMENT</w:t>
        </w:r>
        <w:r>
          <w:rPr>
            <w:noProof/>
            <w:webHidden/>
          </w:rPr>
          <w:tab/>
        </w:r>
        <w:r>
          <w:rPr>
            <w:noProof/>
            <w:webHidden/>
          </w:rPr>
          <w:fldChar w:fldCharType="begin"/>
        </w:r>
        <w:r>
          <w:rPr>
            <w:noProof/>
            <w:webHidden/>
          </w:rPr>
          <w:instrText xml:space="preserve"> PAGEREF _Toc482805734 \h </w:instrText>
        </w:r>
        <w:r>
          <w:rPr>
            <w:noProof/>
            <w:webHidden/>
          </w:rPr>
        </w:r>
        <w:r>
          <w:rPr>
            <w:noProof/>
            <w:webHidden/>
          </w:rPr>
          <w:fldChar w:fldCharType="separate"/>
        </w:r>
        <w:r w:rsidR="00F45F5F">
          <w:rPr>
            <w:noProof/>
            <w:webHidden/>
          </w:rPr>
          <w:t>6</w:t>
        </w:r>
        <w:r>
          <w:rPr>
            <w:noProof/>
            <w:webHidden/>
          </w:rPr>
          <w:fldChar w:fldCharType="end"/>
        </w:r>
      </w:hyperlink>
    </w:p>
    <w:p w:rsidR="008621CB" w:rsidRPr="00F2261F" w:rsidRDefault="008621CB" w:rsidP="008621CB">
      <w:pPr>
        <w:pStyle w:val="TOC1"/>
        <w:tabs>
          <w:tab w:val="right" w:leader="dot" w:pos="9017"/>
        </w:tabs>
        <w:spacing w:before="0" w:after="0"/>
        <w:rPr>
          <w:rFonts w:ascii="Calibri" w:eastAsia="SimSun" w:hAnsi="Calibri"/>
          <w:noProof/>
          <w:sz w:val="22"/>
          <w:szCs w:val="22"/>
          <w:lang w:val="en-GB" w:eastAsia="zh-CN"/>
        </w:rPr>
      </w:pPr>
      <w:hyperlink w:anchor="_Toc482805735" w:history="1">
        <w:r w:rsidRPr="00B92999">
          <w:rPr>
            <w:rStyle w:val="Hyperlink"/>
            <w:noProof/>
            <w:lang w:eastAsia="en-SG"/>
          </w:rPr>
          <w:t>ARTICLE IX  FINAL PROVISIONS</w:t>
        </w:r>
        <w:r>
          <w:rPr>
            <w:noProof/>
            <w:webHidden/>
          </w:rPr>
          <w:tab/>
        </w:r>
        <w:r>
          <w:rPr>
            <w:noProof/>
            <w:webHidden/>
          </w:rPr>
          <w:fldChar w:fldCharType="begin"/>
        </w:r>
        <w:r>
          <w:rPr>
            <w:noProof/>
            <w:webHidden/>
          </w:rPr>
          <w:instrText xml:space="preserve"> PAGEREF _Toc482805735 \h </w:instrText>
        </w:r>
        <w:r>
          <w:rPr>
            <w:noProof/>
            <w:webHidden/>
          </w:rPr>
        </w:r>
        <w:r>
          <w:rPr>
            <w:noProof/>
            <w:webHidden/>
          </w:rPr>
          <w:fldChar w:fldCharType="separate"/>
        </w:r>
        <w:r w:rsidR="00F45F5F">
          <w:rPr>
            <w:noProof/>
            <w:webHidden/>
          </w:rPr>
          <w:t>6</w:t>
        </w:r>
        <w:r>
          <w:rPr>
            <w:noProof/>
            <w:webHidden/>
          </w:rPr>
          <w:fldChar w:fldCharType="end"/>
        </w:r>
      </w:hyperlink>
    </w:p>
    <w:p w:rsidR="00EB4F08" w:rsidRDefault="00EB4F08" w:rsidP="0005776D">
      <w:r w:rsidRPr="00EB4F08">
        <w:rPr>
          <w:b/>
          <w:bCs/>
          <w:caps/>
          <w:noProof/>
        </w:rPr>
        <w:fldChar w:fldCharType="end"/>
      </w:r>
    </w:p>
    <w:p w:rsidR="00805AF0" w:rsidRDefault="00805AF0" w:rsidP="0005776D">
      <w:pPr>
        <w:pStyle w:val="CILSubtitle"/>
        <w:jc w:val="both"/>
      </w:pPr>
    </w:p>
    <w:p w:rsidR="00805AF0" w:rsidRDefault="00805AF0" w:rsidP="0005776D">
      <w:pPr>
        <w:pStyle w:val="CILTitle"/>
      </w:pPr>
    </w:p>
    <w:p w:rsidR="00805AF0" w:rsidRPr="00EB4F08" w:rsidRDefault="00805AF0" w:rsidP="0005776D">
      <w:pPr>
        <w:pStyle w:val="CILTitle"/>
      </w:pPr>
      <w:r w:rsidRPr="00EB4F08">
        <w:br w:type="page"/>
      </w:r>
      <w:r w:rsidRPr="00EB4F08">
        <w:lastRenderedPageBreak/>
        <w:t>2012 ASEAN MUTUAL RECOGNITION ARRANGEMENT ON TOURISM PROFESSIONALS</w:t>
      </w:r>
    </w:p>
    <w:p w:rsidR="00805AF0" w:rsidRDefault="00805AF0" w:rsidP="0005776D">
      <w:pPr>
        <w:pStyle w:val="CILSubtitle"/>
      </w:pPr>
      <w:r>
        <w:t>Signed in Bangkok, Thailand on 9 November 2012</w:t>
      </w:r>
    </w:p>
    <w:p w:rsidR="00805AF0" w:rsidRDefault="00805AF0" w:rsidP="0005776D">
      <w:pPr>
        <w:pStyle w:val="Heading1"/>
      </w:pPr>
      <w:bookmarkStart w:id="0" w:name="_Toc482805726"/>
      <w:r w:rsidRPr="00805AF0">
        <w:t>PREAMBLE</w:t>
      </w:r>
      <w:bookmarkEnd w:id="0"/>
    </w:p>
    <w:p w:rsidR="00805AF0" w:rsidRDefault="00805AF0" w:rsidP="0005776D">
      <w:r>
        <w:t>T</w:t>
      </w:r>
      <w:r w:rsidRPr="00805AF0">
        <w:t>he Governments of Brunei Darussalam, the Kingdom of Cambodia, the Republic of Indonesia, the Lao People's Democratic Republic, Malaysia, the Union of Myanmar, the Republic of the Philippines, the Republic of Singapore, the</w:t>
      </w:r>
      <w:r>
        <w:t xml:space="preserve"> Kingdom of Thailand, and the Socialist Republic of Viet Nam, Member States of the Association of South East Asian Nations (hereinafter collectively referred to as "ASEAN" or "ASEAN Member States" and singularly as "ASEAN Member State"); </w:t>
      </w:r>
    </w:p>
    <w:p w:rsidR="00805AF0" w:rsidRDefault="00805AF0" w:rsidP="0005776D">
      <w:r w:rsidRPr="00AF1489">
        <w:rPr>
          <w:b/>
        </w:rPr>
        <w:t>RECOGNISING</w:t>
      </w:r>
      <w:r>
        <w:t xml:space="preserve"> the objectives of the ASEAN Framework Agreement on Services (hereinafter referred to as "AFAS"), which are to enhance cooperation in services amongst ASEAN Member States in order to improve efficiency and competitiveness, diversify production capacity and supply and distribution of services of their services suppliers within and outside ASEAN; to eliminate substantially the restrictions to trade in services amongst ASEAN Member States; and to liberalize trade in services by expanding the depth and scope of liberalization beyond those undertaken by ASEAN Member States under the General Agreement on Trade in Services (hereinafter referred to as "GATS") with the aim to realizing free trade in services; </w:t>
      </w:r>
    </w:p>
    <w:p w:rsidR="00805AF0" w:rsidRDefault="00805AF0" w:rsidP="0005776D">
      <w:r w:rsidRPr="00AF1489">
        <w:rPr>
          <w:b/>
        </w:rPr>
        <w:t>RECOGNISING</w:t>
      </w:r>
      <w:r>
        <w:t xml:space="preserve"> the ASEAN Vision 2020 on Partnership in Dynamic Development, approved on </w:t>
      </w:r>
      <w:r w:rsidR="00227340">
        <w:br/>
      </w:r>
      <w:r>
        <w:t>14 June 1997, which charted towards the year 2020 for the creation of a stable, prosperous and highly competitive ASEAN Economic Region which would result in:</w:t>
      </w:r>
    </w:p>
    <w:p w:rsidR="00805AF0" w:rsidRDefault="00805AF0" w:rsidP="0005776D">
      <w:pPr>
        <w:numPr>
          <w:ilvl w:val="0"/>
          <w:numId w:val="18"/>
        </w:numPr>
      </w:pPr>
      <w:r>
        <w:t>f</w:t>
      </w:r>
      <w:r w:rsidRPr="00805AF0">
        <w:t>ree flow of goods, services and investment;</w:t>
      </w:r>
    </w:p>
    <w:p w:rsidR="00805AF0" w:rsidRDefault="00805AF0" w:rsidP="0005776D">
      <w:pPr>
        <w:numPr>
          <w:ilvl w:val="0"/>
          <w:numId w:val="18"/>
        </w:numPr>
      </w:pPr>
      <w:r>
        <w:t>equitable economic development, and reduced poverty and socio-economic disparities; and</w:t>
      </w:r>
    </w:p>
    <w:p w:rsidR="00805AF0" w:rsidRDefault="00805AF0" w:rsidP="0005776D">
      <w:pPr>
        <w:numPr>
          <w:ilvl w:val="0"/>
          <w:numId w:val="18"/>
        </w:numPr>
      </w:pPr>
      <w:r>
        <w:t>enhanced political, economic and social stability;</w:t>
      </w:r>
    </w:p>
    <w:p w:rsidR="00805AF0" w:rsidRDefault="00805AF0" w:rsidP="0005776D">
      <w:r w:rsidRPr="00AF1489">
        <w:rPr>
          <w:b/>
        </w:rPr>
        <w:t>RECOGNISING</w:t>
      </w:r>
      <w:r>
        <w:t xml:space="preserve"> the objectives of the ASEAN Tourism Agreement (hereinafter referred to as "ATA"), which are to cooperate in facilitating travel into and within ASEAN; to enhance cooperation in the tourism industry among ASEAN Member States in order to improve its efficiency and competitiveness; to substantially reduce restrictions to trade in tourism and travel services among ASEAN Member States; to enhance the development and promotion of ASEAN as a single tourism destination with world-class standards, facilities and attractions; to enhance mutual assistance in human resource development and strengthen cooperation to develop, upgrade and expand tourism and travel facilities and services in ASEAN; and to create favorable conditions for the public and private sectors to engage more deeply in tourism development, intra-ASEAN travel and investment in tourism services and facilities; </w:t>
      </w:r>
    </w:p>
    <w:p w:rsidR="00805AF0" w:rsidRDefault="00805AF0" w:rsidP="0005776D">
      <w:pPr>
        <w:rPr>
          <w:rFonts w:cs="Arial"/>
        </w:rPr>
      </w:pPr>
      <w:r w:rsidRPr="00AF1489">
        <w:rPr>
          <w:b/>
        </w:rPr>
        <w:t>RECOGNISING</w:t>
      </w:r>
      <w:r>
        <w:t xml:space="preserve"> the Cebu Declaration on the Establishment of the ASEAN Community by 2015 adopted at the 1</w:t>
      </w:r>
      <w:r w:rsidR="00227340">
        <w:t>2t</w:t>
      </w:r>
      <w:r>
        <w:t>h</w:t>
      </w:r>
      <w:r w:rsidR="00227340">
        <w:t xml:space="preserve"> </w:t>
      </w:r>
      <w:r>
        <w:t>ASEAN Summit that agreed to accelerate the establishment of an ASEAN Community by 2015 along the lines of ASEAN Vision 2020 and the Declaration of ASEAN Concord II in the three pillars of the ASEAN Security Community, ASEAN Economic Community and ASEAN Socio-Cultural Community</w:t>
      </w:r>
      <w:r>
        <w:rPr>
          <w:rFonts w:cs="Arial"/>
        </w:rPr>
        <w:t>;</w:t>
      </w:r>
    </w:p>
    <w:p w:rsidR="00805AF0" w:rsidRDefault="00805AF0" w:rsidP="0005776D">
      <w:r w:rsidRPr="00AF1489">
        <w:rPr>
          <w:b/>
        </w:rPr>
        <w:t>NOTING</w:t>
      </w:r>
      <w:r>
        <w:t xml:space="preserve"> the decision of the Bali Concord II adopted at the Ninth ASEAN Summit held in 2003 in Bali, Indonesia calling for completion of Mutual Recognition Arrangements for qualifications in major professional services by 2008; and </w:t>
      </w:r>
    </w:p>
    <w:p w:rsidR="00805AF0" w:rsidRDefault="00805AF0" w:rsidP="0005776D">
      <w:r w:rsidRPr="00AF1489">
        <w:rPr>
          <w:b/>
        </w:rPr>
        <w:lastRenderedPageBreak/>
        <w:t>NOTING</w:t>
      </w:r>
      <w:r>
        <w:t xml:space="preserve"> that the ASEAN Framework for the Integration of Priority Sectors (2004) recognizes the priority for the creation of a single economic area for ASEAN and the importance of close partnerships with the private sector;</w:t>
      </w:r>
    </w:p>
    <w:p w:rsidR="00805AF0" w:rsidRDefault="00805AF0" w:rsidP="0005776D">
      <w:r w:rsidRPr="00AF1489">
        <w:rPr>
          <w:b/>
        </w:rPr>
        <w:t xml:space="preserve">HAVE AGREED </w:t>
      </w:r>
      <w:r w:rsidRPr="00805AF0">
        <w:t>on this ASEAN Mutual Recognition Arrangement on Tourism Professionals (hereinafter referred to as "this Arrangement") as follows:</w:t>
      </w:r>
    </w:p>
    <w:p w:rsidR="00805AF0" w:rsidRDefault="00805AF0" w:rsidP="0005776D">
      <w:pPr>
        <w:pStyle w:val="Heading1"/>
      </w:pPr>
      <w:bookmarkStart w:id="1" w:name="_Toc482805727"/>
      <w:r w:rsidRPr="00805AF0">
        <w:rPr>
          <w:rStyle w:val="Heading1Char"/>
          <w:b/>
          <w:bCs/>
          <w:caps/>
        </w:rPr>
        <w:t>ARTICLE I</w:t>
      </w:r>
      <w:r w:rsidRPr="00805AF0">
        <w:t xml:space="preserve"> </w:t>
      </w:r>
      <w:r w:rsidR="00227340">
        <w:br/>
      </w:r>
      <w:r w:rsidRPr="00805AF0">
        <w:t>OBJECTIVES</w:t>
      </w:r>
      <w:bookmarkEnd w:id="1"/>
    </w:p>
    <w:p w:rsidR="00805AF0" w:rsidRDefault="00805AF0" w:rsidP="0005776D">
      <w:pPr>
        <w:rPr>
          <w:lang w:eastAsia="en-SG"/>
        </w:rPr>
      </w:pPr>
      <w:r>
        <w:rPr>
          <w:lang w:eastAsia="en-SG"/>
        </w:rPr>
        <w:t xml:space="preserve">The objectives of this Arrangement are: </w:t>
      </w:r>
    </w:p>
    <w:p w:rsidR="00805AF0" w:rsidRDefault="00805AF0" w:rsidP="0005776D">
      <w:pPr>
        <w:numPr>
          <w:ilvl w:val="1"/>
          <w:numId w:val="20"/>
        </w:numPr>
        <w:rPr>
          <w:lang w:eastAsia="en-SG"/>
        </w:rPr>
      </w:pPr>
      <w:r>
        <w:rPr>
          <w:lang w:eastAsia="en-SG"/>
        </w:rPr>
        <w:t xml:space="preserve">To facilitate mobility of Tourism Professionals; and </w:t>
      </w:r>
    </w:p>
    <w:p w:rsidR="00805AF0" w:rsidRDefault="00805AF0" w:rsidP="0005776D">
      <w:pPr>
        <w:numPr>
          <w:ilvl w:val="1"/>
          <w:numId w:val="20"/>
        </w:numPr>
        <w:rPr>
          <w:lang w:eastAsia="en-SG"/>
        </w:rPr>
      </w:pPr>
      <w:r>
        <w:rPr>
          <w:lang w:eastAsia="en-SG"/>
        </w:rPr>
        <w:t xml:space="preserve">To exchange information on best practices in </w:t>
      </w:r>
      <w:r w:rsidRPr="00805AF0">
        <w:rPr>
          <w:lang w:eastAsia="en-SG"/>
        </w:rPr>
        <w:t>competency-based education and training for Tourism Professionals and to provide opportunities for cooperation and capacity building across ASEAN Member States.</w:t>
      </w:r>
    </w:p>
    <w:p w:rsidR="00805AF0" w:rsidRDefault="00805AF0" w:rsidP="0005776D">
      <w:pPr>
        <w:pStyle w:val="Heading1"/>
      </w:pPr>
      <w:bookmarkStart w:id="2" w:name="_Toc482805728"/>
      <w:r>
        <w:rPr>
          <w:rStyle w:val="Heading1Char"/>
          <w:b/>
          <w:bCs/>
          <w:caps/>
        </w:rPr>
        <w:t>ARTICLE II</w:t>
      </w:r>
      <w:r w:rsidR="00227340">
        <w:br/>
      </w:r>
      <w:r>
        <w:t>dEFINITIONS AND SCOPE</w:t>
      </w:r>
      <w:bookmarkEnd w:id="2"/>
    </w:p>
    <w:p w:rsidR="00805AF0" w:rsidRDefault="00805AF0" w:rsidP="0005776D">
      <w:r w:rsidRPr="00805AF0">
        <w:t>In this Arrangement, unless the context otherwise states,</w:t>
      </w:r>
    </w:p>
    <w:p w:rsidR="00805AF0" w:rsidRDefault="00805AF0" w:rsidP="00227340">
      <w:pPr>
        <w:numPr>
          <w:ilvl w:val="0"/>
          <w:numId w:val="26"/>
        </w:numPr>
        <w:ind w:left="567" w:hanging="567"/>
      </w:pPr>
      <w:r w:rsidRPr="00805AF0">
        <w:rPr>
          <w:b/>
        </w:rPr>
        <w:t>ASEAN Common Competency Standards for Tourism Professionals (ACCSTP)</w:t>
      </w:r>
      <w:r w:rsidRPr="00805AF0">
        <w:t xml:space="preserve"> refers to the minimum requirements of competency standards in hotel and travel services as listed in the APPENDIX which aim to upgrade tourism services and facilitate the development of this Arrangement between ASEAN Member States;</w:t>
      </w:r>
    </w:p>
    <w:p w:rsidR="00D47C7F" w:rsidRDefault="00D47C7F" w:rsidP="00227340">
      <w:pPr>
        <w:numPr>
          <w:ilvl w:val="0"/>
          <w:numId w:val="26"/>
        </w:numPr>
        <w:ind w:left="567" w:hanging="567"/>
      </w:pPr>
      <w:r w:rsidRPr="00D47C7F">
        <w:rPr>
          <w:b/>
        </w:rPr>
        <w:t xml:space="preserve">ASEAN National Tourism Organizations (ASEAN NTOs) </w:t>
      </w:r>
      <w:r w:rsidRPr="00D47C7F">
        <w:t>refers to the government institutions in charge of the tourism sector of ASEAN Member States;</w:t>
      </w:r>
    </w:p>
    <w:p w:rsidR="0007749E" w:rsidRDefault="0007749E" w:rsidP="00227340">
      <w:pPr>
        <w:numPr>
          <w:ilvl w:val="0"/>
          <w:numId w:val="26"/>
        </w:numPr>
        <w:ind w:left="567" w:hanging="567"/>
      </w:pPr>
      <w:r w:rsidRPr="0007749E">
        <w:rPr>
          <w:b/>
        </w:rPr>
        <w:t>ASEAN Tourism Professional Monitoring Committee (ATPMC)</w:t>
      </w:r>
      <w:r w:rsidRPr="0007749E">
        <w:t xml:space="preserve"> consists of ASEAN NTOs and appointed representatives from the National Tourism Professional Boards (NTPBs);</w:t>
      </w:r>
    </w:p>
    <w:p w:rsidR="0007749E" w:rsidRDefault="0007749E" w:rsidP="00227340">
      <w:pPr>
        <w:numPr>
          <w:ilvl w:val="0"/>
          <w:numId w:val="26"/>
        </w:numPr>
        <w:ind w:left="567" w:hanging="567"/>
      </w:pPr>
      <w:r w:rsidRPr="0007749E">
        <w:rPr>
          <w:b/>
        </w:rPr>
        <w:t xml:space="preserve">ASEAN Tourism Professional Registration System (ATPRS) </w:t>
      </w:r>
      <w:r w:rsidRPr="0007749E">
        <w:t>refers to a web-based facility to disseminate details regarding the list of Foreign Tourism Professionals duly certified in accordance with Articles 2.10 and 2.14;</w:t>
      </w:r>
    </w:p>
    <w:p w:rsidR="003850FD" w:rsidRDefault="003850FD" w:rsidP="00227340">
      <w:pPr>
        <w:numPr>
          <w:ilvl w:val="0"/>
          <w:numId w:val="26"/>
        </w:numPr>
        <w:ind w:left="567" w:hanging="567"/>
      </w:pPr>
      <w:r w:rsidRPr="003850FD">
        <w:rPr>
          <w:b/>
        </w:rPr>
        <w:t>Assessment</w:t>
      </w:r>
      <w:r w:rsidRPr="003850FD">
        <w:t xml:space="preserve"> refers to the process of appraising the</w:t>
      </w:r>
      <w:r>
        <w:t xml:space="preserve"> </w:t>
      </w:r>
      <w:r w:rsidRPr="003850FD">
        <w:t>qualification and/or competencies of Tourism Professionals;</w:t>
      </w:r>
    </w:p>
    <w:p w:rsidR="003850FD" w:rsidRDefault="003850FD" w:rsidP="00227340">
      <w:pPr>
        <w:numPr>
          <w:ilvl w:val="0"/>
          <w:numId w:val="26"/>
        </w:numPr>
        <w:ind w:left="567" w:hanging="567"/>
      </w:pPr>
      <w:r w:rsidRPr="003850FD">
        <w:rPr>
          <w:b/>
        </w:rPr>
        <w:t>Certification</w:t>
      </w:r>
      <w:r w:rsidRPr="003850FD">
        <w:t xml:space="preserve"> refers to the issuance of a certificate to</w:t>
      </w:r>
      <w:r>
        <w:t xml:space="preserve"> </w:t>
      </w:r>
      <w:r w:rsidRPr="003850FD">
        <w:t>Tourism Professional whose qualification and/or competencies have met the standards specified in ACCSTP;</w:t>
      </w:r>
    </w:p>
    <w:p w:rsidR="001B74D0" w:rsidRDefault="001B74D0" w:rsidP="00227340">
      <w:pPr>
        <w:numPr>
          <w:ilvl w:val="0"/>
          <w:numId w:val="26"/>
        </w:numPr>
        <w:ind w:left="567" w:hanging="567"/>
      </w:pPr>
      <w:r>
        <w:rPr>
          <w:b/>
        </w:rPr>
        <w:t>C</w:t>
      </w:r>
      <w:r w:rsidRPr="001B74D0">
        <w:rPr>
          <w:b/>
        </w:rPr>
        <w:t>ommon ASEAN Tourism Curriculum (CATC)</w:t>
      </w:r>
      <w:r w:rsidRPr="001B74D0">
        <w:t xml:space="preserve"> refers to the common curriculum for ASEAN Tourism Professionals as mutually agreed upon by the ASEAN Tourism Ministers upon recommendation by the ASEAN NTOs;</w:t>
      </w:r>
    </w:p>
    <w:p w:rsidR="0039757E" w:rsidRDefault="0039757E" w:rsidP="00227340">
      <w:pPr>
        <w:numPr>
          <w:ilvl w:val="0"/>
          <w:numId w:val="26"/>
        </w:numPr>
        <w:ind w:left="567" w:hanging="567"/>
      </w:pPr>
      <w:r w:rsidRPr="0039757E">
        <w:rPr>
          <w:b/>
        </w:rPr>
        <w:t>Foreign Tourism Professionals</w:t>
      </w:r>
      <w:r w:rsidRPr="0039757E">
        <w:t xml:space="preserve"> refer to Tourism</w:t>
      </w:r>
      <w:r>
        <w:t xml:space="preserve"> </w:t>
      </w:r>
      <w:r w:rsidRPr="0039757E">
        <w:t>Professionals who are nationals of any other ASEAN Member States who are certified in an ASEAN Member State;</w:t>
      </w:r>
    </w:p>
    <w:p w:rsidR="0005776D" w:rsidRDefault="0039757E" w:rsidP="00227340">
      <w:pPr>
        <w:numPr>
          <w:ilvl w:val="0"/>
          <w:numId w:val="26"/>
        </w:numPr>
        <w:ind w:left="567" w:hanging="567"/>
      </w:pPr>
      <w:r w:rsidRPr="0039757E">
        <w:rPr>
          <w:b/>
        </w:rPr>
        <w:lastRenderedPageBreak/>
        <w:t>Host Country</w:t>
      </w:r>
      <w:r w:rsidRPr="0039757E">
        <w:t xml:space="preserve"> refers to the ASEAN Member State</w:t>
      </w:r>
      <w:r>
        <w:t xml:space="preserve"> </w:t>
      </w:r>
      <w:r w:rsidRPr="0039757E">
        <w:t>where a Foreign Tourism Professional applies for recognition to work in accordance with ARTICLE Ill;</w:t>
      </w:r>
    </w:p>
    <w:p w:rsidR="0039757E" w:rsidRDefault="0039757E" w:rsidP="00227340">
      <w:pPr>
        <w:numPr>
          <w:ilvl w:val="0"/>
          <w:numId w:val="26"/>
        </w:numPr>
        <w:ind w:left="567" w:hanging="567"/>
      </w:pPr>
      <w:r w:rsidRPr="0005776D">
        <w:rPr>
          <w:b/>
        </w:rPr>
        <w:t>National Tourism Professional Board (NTPB)</w:t>
      </w:r>
      <w:r w:rsidRPr="0039757E">
        <w:t xml:space="preserve"> refers</w:t>
      </w:r>
      <w:r w:rsidR="00344AA7">
        <w:t xml:space="preserve"> </w:t>
      </w:r>
      <w:r w:rsidR="00344AA7" w:rsidRPr="00344AA7">
        <w:t>to the Board for Tourism Professionals which shall be composed of representatives from the public and private sectors including the academia and other relevant tourism stakeholders, to be determined by the respective ASEAN NTOs;</w:t>
      </w:r>
    </w:p>
    <w:p w:rsidR="00344AA7" w:rsidRDefault="00344AA7" w:rsidP="00227340">
      <w:pPr>
        <w:numPr>
          <w:ilvl w:val="0"/>
          <w:numId w:val="26"/>
        </w:numPr>
        <w:ind w:left="567" w:hanging="567"/>
      </w:pPr>
      <w:r w:rsidRPr="00344AA7">
        <w:rPr>
          <w:b/>
        </w:rPr>
        <w:t>Recognition</w:t>
      </w:r>
      <w:r w:rsidRPr="00344AA7">
        <w:t xml:space="preserve"> refers to acceptance by the TPCB of a</w:t>
      </w:r>
      <w:r>
        <w:t xml:space="preserve"> </w:t>
      </w:r>
      <w:r w:rsidRPr="00344AA7">
        <w:t>demonstration of compliance with requirements set out in the ACCSTP;</w:t>
      </w:r>
    </w:p>
    <w:p w:rsidR="00344AA7" w:rsidRDefault="00344AA7" w:rsidP="00227340">
      <w:pPr>
        <w:numPr>
          <w:ilvl w:val="0"/>
          <w:numId w:val="26"/>
        </w:numPr>
        <w:ind w:left="567" w:hanging="567"/>
      </w:pPr>
      <w:r w:rsidRPr="00344AA7">
        <w:rPr>
          <w:b/>
        </w:rPr>
        <w:t>Tourism Job Title</w:t>
      </w:r>
      <w:r w:rsidRPr="00344AA7">
        <w:t xml:space="preserve"> refers to a specific job position in the</w:t>
      </w:r>
      <w:r>
        <w:t xml:space="preserve"> </w:t>
      </w:r>
      <w:r w:rsidRPr="00344AA7">
        <w:t>tourism sector as specified in the ACCSTP;</w:t>
      </w:r>
    </w:p>
    <w:p w:rsidR="00344AA7" w:rsidRDefault="00344AA7" w:rsidP="00227340">
      <w:pPr>
        <w:numPr>
          <w:ilvl w:val="0"/>
          <w:numId w:val="26"/>
        </w:numPr>
        <w:ind w:left="567" w:hanging="567"/>
      </w:pPr>
      <w:r w:rsidRPr="00344AA7">
        <w:rPr>
          <w:b/>
        </w:rPr>
        <w:t>Tourism Professional</w:t>
      </w:r>
      <w:r w:rsidRPr="00344AA7">
        <w:t xml:space="preserve"> refers to a natural person who</w:t>
      </w:r>
      <w:r>
        <w:t xml:space="preserve"> </w:t>
      </w:r>
      <w:r w:rsidRPr="00344AA7">
        <w:t>holds the nationality of an ASEAN Member State certified by the Tourism Professional Certification Board; and</w:t>
      </w:r>
    </w:p>
    <w:p w:rsidR="00344AA7" w:rsidRDefault="00344AA7" w:rsidP="00227340">
      <w:pPr>
        <w:numPr>
          <w:ilvl w:val="0"/>
          <w:numId w:val="26"/>
        </w:numPr>
        <w:ind w:left="567" w:hanging="567"/>
      </w:pPr>
      <w:r w:rsidRPr="00344AA7">
        <w:rPr>
          <w:b/>
        </w:rPr>
        <w:t>Tourism Professional Certification Board (TPCB)</w:t>
      </w:r>
      <w:r>
        <w:rPr>
          <w:b/>
        </w:rPr>
        <w:t xml:space="preserve"> </w:t>
      </w:r>
      <w:r w:rsidRPr="00344AA7">
        <w:t>refers to the government board and/or agency authorized by the government of each ASEAN Member State primarily responsible for the assessment and certification of Tourism Professionals.</w:t>
      </w:r>
    </w:p>
    <w:p w:rsidR="00A7090C" w:rsidRDefault="001404D3" w:rsidP="0005776D">
      <w:pPr>
        <w:pStyle w:val="Heading1"/>
      </w:pPr>
      <w:bookmarkStart w:id="3" w:name="_Toc482805729"/>
      <w:r>
        <w:t>ARTICLE III</w:t>
      </w:r>
      <w:r w:rsidR="00227340">
        <w:br/>
      </w:r>
      <w:r w:rsidR="00A7090C">
        <w:t>RECOGNITION AND ELIGIBILITY OF FOREIGN TOURISM PROFESSIONALS</w:t>
      </w:r>
      <w:bookmarkEnd w:id="3"/>
    </w:p>
    <w:p w:rsidR="00A7090C" w:rsidRDefault="00A7090C" w:rsidP="0005776D">
      <w:r w:rsidRPr="00A7090C">
        <w:t>The qualification of a Foreign Tourism Professional may be recognized by other ASEAN Member States, and if such qualification is recognized, he/she may be eligible to work in a host country provided that he/she possesses a valid tourism competency certificate in a specific tourism job title as specified in the ACCSTP, issued by the TPCB in an ASEAN Member State. The eligibility to work in a host country will be subjected to prevailing domestic laws and regulations of the host country.</w:t>
      </w:r>
    </w:p>
    <w:p w:rsidR="00A7090C" w:rsidRPr="00A7090C" w:rsidRDefault="00A7090C" w:rsidP="008621CB">
      <w:pPr>
        <w:pStyle w:val="Heading1"/>
      </w:pPr>
      <w:bookmarkStart w:id="4" w:name="_Toc482805730"/>
      <w:r>
        <w:t xml:space="preserve">ARTICLE IV </w:t>
      </w:r>
      <w:r w:rsidR="00227340">
        <w:br/>
      </w:r>
      <w:r>
        <w:t>BASIS OF RECOGNITION AND QUALIFICATIONS</w:t>
      </w:r>
      <w:bookmarkEnd w:id="4"/>
    </w:p>
    <w:p w:rsidR="00805AF0" w:rsidRDefault="00314BA5" w:rsidP="0005776D">
      <w:pPr>
        <w:numPr>
          <w:ilvl w:val="0"/>
          <w:numId w:val="28"/>
        </w:numPr>
        <w:rPr>
          <w:lang w:eastAsia="en-SG"/>
        </w:rPr>
      </w:pPr>
      <w:r w:rsidRPr="00314BA5">
        <w:rPr>
          <w:lang w:eastAsia="en-SG"/>
        </w:rPr>
        <w:t>The ASEAN Member States recognize that</w:t>
      </w:r>
      <w:r>
        <w:rPr>
          <w:lang w:eastAsia="en-SG"/>
        </w:rPr>
        <w:t xml:space="preserve"> </w:t>
      </w:r>
      <w:r w:rsidRPr="00314BA5">
        <w:rPr>
          <w:lang w:eastAsia="en-SG"/>
        </w:rPr>
        <w:t>competencies based on qualification, education, training and/or experiences shall be the principal elements considered in granting mutual recognition of Foreign Tourism Professional; and</w:t>
      </w:r>
    </w:p>
    <w:p w:rsidR="00314BA5" w:rsidRDefault="00314BA5" w:rsidP="0005776D">
      <w:pPr>
        <w:numPr>
          <w:ilvl w:val="0"/>
          <w:numId w:val="28"/>
        </w:numPr>
        <w:rPr>
          <w:lang w:eastAsia="en-SG"/>
        </w:rPr>
      </w:pPr>
      <w:r w:rsidRPr="00314BA5">
        <w:rPr>
          <w:lang w:eastAsia="en-SG"/>
        </w:rPr>
        <w:t>The ASEAN Member States are encouraged to apply</w:t>
      </w:r>
      <w:r>
        <w:rPr>
          <w:lang w:eastAsia="en-SG"/>
        </w:rPr>
        <w:t xml:space="preserve"> </w:t>
      </w:r>
      <w:r w:rsidRPr="00314BA5">
        <w:rPr>
          <w:lang w:eastAsia="en-SG"/>
        </w:rPr>
        <w:t>the ACCSTP and CATC.</w:t>
      </w:r>
    </w:p>
    <w:p w:rsidR="00314BA5" w:rsidRDefault="00314BA5" w:rsidP="008621CB">
      <w:pPr>
        <w:pStyle w:val="Heading1"/>
        <w:rPr>
          <w:lang w:eastAsia="en-SG"/>
        </w:rPr>
      </w:pPr>
      <w:bookmarkStart w:id="5" w:name="_Toc482805731"/>
      <w:r>
        <w:rPr>
          <w:lang w:eastAsia="en-SG"/>
        </w:rPr>
        <w:t xml:space="preserve">ARTICLE V </w:t>
      </w:r>
      <w:r w:rsidR="00227340">
        <w:rPr>
          <w:lang w:eastAsia="en-SG"/>
        </w:rPr>
        <w:br/>
      </w:r>
      <w:r>
        <w:rPr>
          <w:lang w:eastAsia="en-SG"/>
        </w:rPr>
        <w:t>RESPONSIBILITIES</w:t>
      </w:r>
      <w:bookmarkEnd w:id="5"/>
    </w:p>
    <w:p w:rsidR="00314BA5" w:rsidRPr="00314BA5" w:rsidRDefault="00314BA5" w:rsidP="0005776D">
      <w:pPr>
        <w:numPr>
          <w:ilvl w:val="0"/>
          <w:numId w:val="29"/>
        </w:numPr>
        <w:rPr>
          <w:b/>
          <w:lang w:eastAsia="en-SG"/>
        </w:rPr>
      </w:pPr>
      <w:r w:rsidRPr="00314BA5">
        <w:rPr>
          <w:b/>
          <w:lang w:eastAsia="en-SG"/>
        </w:rPr>
        <w:t xml:space="preserve">National Tourism Professional Board (NTPB) </w:t>
      </w:r>
    </w:p>
    <w:p w:rsidR="00314BA5" w:rsidRDefault="00314BA5" w:rsidP="0005776D">
      <w:pPr>
        <w:rPr>
          <w:lang w:eastAsia="en-SG"/>
        </w:rPr>
      </w:pPr>
      <w:r>
        <w:rPr>
          <w:lang w:eastAsia="en-SG"/>
        </w:rPr>
        <w:t>The NTPB of each ASEAN Member State shall have the following responsibilities:</w:t>
      </w:r>
    </w:p>
    <w:p w:rsidR="003D383C" w:rsidRDefault="003D383C" w:rsidP="00227340">
      <w:pPr>
        <w:numPr>
          <w:ilvl w:val="0"/>
          <w:numId w:val="30"/>
        </w:numPr>
        <w:ind w:left="1418" w:hanging="567"/>
        <w:rPr>
          <w:lang w:eastAsia="en-SG"/>
        </w:rPr>
      </w:pPr>
      <w:r w:rsidRPr="003D383C">
        <w:rPr>
          <w:lang w:eastAsia="en-SG"/>
        </w:rPr>
        <w:t>Create awareness and disseminate information</w:t>
      </w:r>
      <w:r>
        <w:rPr>
          <w:lang w:eastAsia="en-SG"/>
        </w:rPr>
        <w:t xml:space="preserve"> </w:t>
      </w:r>
      <w:r w:rsidRPr="003D383C">
        <w:rPr>
          <w:lang w:eastAsia="en-SG"/>
        </w:rPr>
        <w:t>about this Arrangement;</w:t>
      </w:r>
    </w:p>
    <w:p w:rsidR="003D383C" w:rsidRDefault="003D383C" w:rsidP="00227340">
      <w:pPr>
        <w:numPr>
          <w:ilvl w:val="0"/>
          <w:numId w:val="30"/>
        </w:numPr>
        <w:ind w:left="1418" w:hanging="567"/>
        <w:rPr>
          <w:lang w:eastAsia="en-SG"/>
        </w:rPr>
      </w:pPr>
      <w:r w:rsidRPr="003D383C">
        <w:rPr>
          <w:lang w:eastAsia="en-SG"/>
        </w:rPr>
        <w:t>Promote, update, maintain, and monitor the</w:t>
      </w:r>
      <w:r>
        <w:rPr>
          <w:lang w:eastAsia="en-SG"/>
        </w:rPr>
        <w:t xml:space="preserve"> </w:t>
      </w:r>
      <w:r w:rsidRPr="003D383C">
        <w:rPr>
          <w:lang w:eastAsia="en-SG"/>
        </w:rPr>
        <w:t>ACCSTP and the CATC;</w:t>
      </w:r>
    </w:p>
    <w:p w:rsidR="003D383C" w:rsidRDefault="003D383C" w:rsidP="00227340">
      <w:pPr>
        <w:numPr>
          <w:ilvl w:val="0"/>
          <w:numId w:val="30"/>
        </w:numPr>
        <w:ind w:left="1418" w:hanging="567"/>
        <w:rPr>
          <w:lang w:eastAsia="en-SG"/>
        </w:rPr>
      </w:pPr>
      <w:r w:rsidRPr="003D383C">
        <w:rPr>
          <w:lang w:eastAsia="en-SG"/>
        </w:rPr>
        <w:lastRenderedPageBreak/>
        <w:t>Facilitate the exchange of information concerning</w:t>
      </w:r>
      <w:r>
        <w:rPr>
          <w:lang w:eastAsia="en-SG"/>
        </w:rPr>
        <w:t xml:space="preserve"> </w:t>
      </w:r>
      <w:r w:rsidRPr="003D383C">
        <w:rPr>
          <w:lang w:eastAsia="en-SG"/>
        </w:rPr>
        <w:t>assessment procedures, criteria, systems, manuals and publications relating to this Arrangement;</w:t>
      </w:r>
    </w:p>
    <w:p w:rsidR="003D383C" w:rsidRDefault="003D383C" w:rsidP="00227340">
      <w:pPr>
        <w:numPr>
          <w:ilvl w:val="0"/>
          <w:numId w:val="30"/>
        </w:numPr>
        <w:ind w:left="1418" w:hanging="567"/>
        <w:rPr>
          <w:lang w:eastAsia="en-SG"/>
        </w:rPr>
      </w:pPr>
      <w:r w:rsidRPr="003D383C">
        <w:rPr>
          <w:lang w:eastAsia="en-SG"/>
        </w:rPr>
        <w:t>Report its work progress to the ASEAN NTOs,</w:t>
      </w:r>
      <w:r>
        <w:rPr>
          <w:lang w:eastAsia="en-SG"/>
        </w:rPr>
        <w:t xml:space="preserve"> </w:t>
      </w:r>
      <w:r w:rsidRPr="003D383C">
        <w:rPr>
          <w:lang w:eastAsia="en-SG"/>
        </w:rPr>
        <w:t>including actions taken on cases referred to it by the TPCB and/or ATPMC;</w:t>
      </w:r>
    </w:p>
    <w:p w:rsidR="003D383C" w:rsidRDefault="003D383C" w:rsidP="00227340">
      <w:pPr>
        <w:numPr>
          <w:ilvl w:val="0"/>
          <w:numId w:val="30"/>
        </w:numPr>
        <w:ind w:left="1418" w:hanging="567"/>
        <w:rPr>
          <w:lang w:eastAsia="en-SG"/>
        </w:rPr>
      </w:pPr>
      <w:r w:rsidRPr="003D383C">
        <w:rPr>
          <w:lang w:eastAsia="en-SG"/>
        </w:rPr>
        <w:t>Formulate and update necessary mechanisms to enable implementation of this Arrangement</w:t>
      </w:r>
      <w:r>
        <w:rPr>
          <w:lang w:eastAsia="en-SG"/>
        </w:rPr>
        <w:t>;</w:t>
      </w:r>
    </w:p>
    <w:p w:rsidR="003D383C" w:rsidRDefault="003D383C" w:rsidP="00227340">
      <w:pPr>
        <w:numPr>
          <w:ilvl w:val="0"/>
          <w:numId w:val="30"/>
        </w:numPr>
        <w:ind w:left="1418" w:hanging="567"/>
        <w:rPr>
          <w:lang w:eastAsia="en-SG"/>
        </w:rPr>
      </w:pPr>
      <w:r w:rsidRPr="003D383C">
        <w:rPr>
          <w:lang w:eastAsia="en-SG"/>
        </w:rPr>
        <w:t>Facilitate the exchange of best practices and</w:t>
      </w:r>
      <w:r>
        <w:rPr>
          <w:lang w:eastAsia="en-SG"/>
        </w:rPr>
        <w:t xml:space="preserve"> </w:t>
      </w:r>
      <w:r w:rsidRPr="003D383C">
        <w:rPr>
          <w:lang w:eastAsia="en-SG"/>
        </w:rPr>
        <w:t>prevailing developments in tourism sector with the view to harmonizing and updating regional and/or international tourism competencies and curricula; and</w:t>
      </w:r>
    </w:p>
    <w:p w:rsidR="003D383C" w:rsidRDefault="003D383C" w:rsidP="00227340">
      <w:pPr>
        <w:numPr>
          <w:ilvl w:val="0"/>
          <w:numId w:val="30"/>
        </w:numPr>
        <w:ind w:left="1418" w:hanging="567"/>
        <w:rPr>
          <w:lang w:eastAsia="en-SG"/>
        </w:rPr>
      </w:pPr>
      <w:r w:rsidRPr="003D383C">
        <w:rPr>
          <w:lang w:eastAsia="en-SG"/>
        </w:rPr>
        <w:t>Such other functions and responsibilities that</w:t>
      </w:r>
      <w:r>
        <w:rPr>
          <w:lang w:eastAsia="en-SG"/>
        </w:rPr>
        <w:t xml:space="preserve"> </w:t>
      </w:r>
      <w:r w:rsidRPr="003D383C">
        <w:rPr>
          <w:lang w:eastAsia="en-SG"/>
        </w:rPr>
        <w:t xml:space="preserve">may be assigned to it </w:t>
      </w:r>
      <w:r>
        <w:rPr>
          <w:lang w:eastAsia="en-SG"/>
        </w:rPr>
        <w:t>by the ASEAN NTOs in the future.</w:t>
      </w:r>
    </w:p>
    <w:p w:rsidR="003D383C" w:rsidRDefault="003D383C" w:rsidP="0005776D">
      <w:pPr>
        <w:numPr>
          <w:ilvl w:val="0"/>
          <w:numId w:val="33"/>
        </w:numPr>
        <w:rPr>
          <w:b/>
          <w:lang w:eastAsia="en-SG"/>
        </w:rPr>
      </w:pPr>
      <w:r w:rsidRPr="003D383C">
        <w:rPr>
          <w:b/>
          <w:lang w:eastAsia="en-SG"/>
        </w:rPr>
        <w:t>The Tourism Professional Certification Board (TPCB)</w:t>
      </w:r>
    </w:p>
    <w:p w:rsidR="003D383C" w:rsidRDefault="003D383C" w:rsidP="0005776D">
      <w:pPr>
        <w:rPr>
          <w:lang w:eastAsia="en-SG"/>
        </w:rPr>
      </w:pPr>
      <w:r w:rsidRPr="003D383C">
        <w:rPr>
          <w:lang w:eastAsia="en-SG"/>
        </w:rPr>
        <w:t>The TPCB of each ASEAN Member State shall have the following responsibilities:</w:t>
      </w:r>
    </w:p>
    <w:p w:rsidR="003D383C" w:rsidRDefault="001404D3" w:rsidP="00227340">
      <w:pPr>
        <w:numPr>
          <w:ilvl w:val="0"/>
          <w:numId w:val="36"/>
        </w:numPr>
        <w:ind w:left="1418" w:hanging="568"/>
        <w:rPr>
          <w:lang w:eastAsia="en-SG"/>
        </w:rPr>
      </w:pPr>
      <w:r w:rsidRPr="001404D3">
        <w:rPr>
          <w:lang w:eastAsia="en-SG"/>
        </w:rPr>
        <w:t>Assess qualifications and/or competencies of</w:t>
      </w:r>
      <w:r>
        <w:rPr>
          <w:lang w:eastAsia="en-SG"/>
        </w:rPr>
        <w:t xml:space="preserve"> </w:t>
      </w:r>
      <w:r w:rsidRPr="001404D3">
        <w:rPr>
          <w:lang w:eastAsia="en-SG"/>
        </w:rPr>
        <w:t>Tourism Professionals as specified in ACCSTP;</w:t>
      </w:r>
    </w:p>
    <w:p w:rsidR="001404D3" w:rsidRDefault="001404D3" w:rsidP="00227340">
      <w:pPr>
        <w:numPr>
          <w:ilvl w:val="0"/>
          <w:numId w:val="36"/>
        </w:numPr>
        <w:ind w:left="1418" w:hanging="568"/>
        <w:rPr>
          <w:lang w:eastAsia="en-SG"/>
        </w:rPr>
      </w:pPr>
      <w:r w:rsidRPr="001404D3">
        <w:rPr>
          <w:lang w:eastAsia="en-SG"/>
        </w:rPr>
        <w:t>Issue certificates to Tourism Professionals whose</w:t>
      </w:r>
      <w:r>
        <w:rPr>
          <w:lang w:eastAsia="en-SG"/>
        </w:rPr>
        <w:t xml:space="preserve"> </w:t>
      </w:r>
      <w:r w:rsidRPr="001404D3">
        <w:rPr>
          <w:lang w:eastAsia="en-SG"/>
        </w:rPr>
        <w:t>qualifications and/or competencies have met the standards specified in ACCSTP;</w:t>
      </w:r>
    </w:p>
    <w:p w:rsidR="001404D3" w:rsidRDefault="001404D3" w:rsidP="00227340">
      <w:pPr>
        <w:numPr>
          <w:ilvl w:val="0"/>
          <w:numId w:val="36"/>
        </w:numPr>
        <w:ind w:left="1418" w:hanging="568"/>
        <w:rPr>
          <w:lang w:eastAsia="en-SG"/>
        </w:rPr>
      </w:pPr>
      <w:r w:rsidRPr="001404D3">
        <w:rPr>
          <w:lang w:eastAsia="en-SG"/>
        </w:rPr>
        <w:t>Develop, process and maintain a</w:t>
      </w:r>
      <w:r>
        <w:rPr>
          <w:lang w:eastAsia="en-SG"/>
        </w:rPr>
        <w:t xml:space="preserve"> registry of c</w:t>
      </w:r>
      <w:r w:rsidRPr="001404D3">
        <w:rPr>
          <w:lang w:eastAsia="en-SG"/>
        </w:rPr>
        <w:t>ertified Tourism Professionals</w:t>
      </w:r>
      <w:r>
        <w:rPr>
          <w:lang w:eastAsia="en-SG"/>
        </w:rPr>
        <w:t xml:space="preserve"> and job opportunities on the ATPRS; and</w:t>
      </w:r>
    </w:p>
    <w:p w:rsidR="001404D3" w:rsidRDefault="001404D3" w:rsidP="00227340">
      <w:pPr>
        <w:numPr>
          <w:ilvl w:val="0"/>
          <w:numId w:val="36"/>
        </w:numPr>
        <w:ind w:left="1418" w:hanging="568"/>
        <w:rPr>
          <w:lang w:eastAsia="en-SG"/>
        </w:rPr>
      </w:pPr>
      <w:r w:rsidRPr="001404D3">
        <w:rPr>
          <w:lang w:eastAsia="en-SG"/>
        </w:rPr>
        <w:t>Notify the NTPB promptly in the event that</w:t>
      </w:r>
      <w:r>
        <w:rPr>
          <w:lang w:eastAsia="en-SG"/>
        </w:rPr>
        <w:t xml:space="preserve"> </w:t>
      </w:r>
      <w:r w:rsidRPr="001404D3">
        <w:rPr>
          <w:lang w:eastAsia="en-SG"/>
        </w:rPr>
        <w:t>foreign Tourism Professionals are no longer qualified to provide a particular service or have violated technical, professional or ethical standards;</w:t>
      </w:r>
    </w:p>
    <w:p w:rsidR="001404D3" w:rsidRPr="001404D3" w:rsidRDefault="001404D3" w:rsidP="0005776D">
      <w:pPr>
        <w:numPr>
          <w:ilvl w:val="0"/>
          <w:numId w:val="38"/>
        </w:numPr>
        <w:rPr>
          <w:lang w:eastAsia="en-SG"/>
        </w:rPr>
      </w:pPr>
      <w:r>
        <w:rPr>
          <w:b/>
          <w:lang w:eastAsia="en-SG"/>
        </w:rPr>
        <w:t>ASEAN Tourism Professional Monitoring Committee (ATPMC)</w:t>
      </w:r>
    </w:p>
    <w:p w:rsidR="001404D3" w:rsidRDefault="001404D3" w:rsidP="0005776D">
      <w:pPr>
        <w:rPr>
          <w:lang w:eastAsia="en-SG"/>
        </w:rPr>
      </w:pPr>
      <w:r w:rsidRPr="001404D3">
        <w:rPr>
          <w:lang w:eastAsia="en-SG"/>
        </w:rPr>
        <w:t>The ATPMC shall have the following responsibilities:</w:t>
      </w:r>
    </w:p>
    <w:p w:rsidR="001404D3" w:rsidRDefault="001404D3" w:rsidP="00227340">
      <w:pPr>
        <w:numPr>
          <w:ilvl w:val="0"/>
          <w:numId w:val="40"/>
        </w:numPr>
        <w:ind w:left="1418" w:hanging="568"/>
        <w:rPr>
          <w:lang w:eastAsia="en-SG"/>
        </w:rPr>
      </w:pPr>
      <w:r w:rsidRPr="001404D3">
        <w:rPr>
          <w:lang w:eastAsia="en-SG"/>
        </w:rPr>
        <w:t>Create awareness and disseminate</w:t>
      </w:r>
      <w:r>
        <w:rPr>
          <w:lang w:eastAsia="en-SG"/>
        </w:rPr>
        <w:t xml:space="preserve"> information about this Arrangement on Tourism Professionals within ASEAN</w:t>
      </w:r>
    </w:p>
    <w:p w:rsidR="001404D3" w:rsidRDefault="001404D3" w:rsidP="00227340">
      <w:pPr>
        <w:numPr>
          <w:ilvl w:val="0"/>
          <w:numId w:val="40"/>
        </w:numPr>
        <w:ind w:left="1418" w:hanging="568"/>
        <w:rPr>
          <w:lang w:eastAsia="en-SG"/>
        </w:rPr>
      </w:pPr>
      <w:r w:rsidRPr="001404D3">
        <w:rPr>
          <w:lang w:eastAsia="en-SG"/>
        </w:rPr>
        <w:t>Promote, update, maintain and monitor the</w:t>
      </w:r>
      <w:r>
        <w:rPr>
          <w:lang w:eastAsia="en-SG"/>
        </w:rPr>
        <w:t xml:space="preserve"> </w:t>
      </w:r>
      <w:r w:rsidRPr="001404D3">
        <w:rPr>
          <w:lang w:eastAsia="en-SG"/>
        </w:rPr>
        <w:t>ACCSTP and the CATC;</w:t>
      </w:r>
    </w:p>
    <w:p w:rsidR="001404D3" w:rsidRDefault="001404D3" w:rsidP="00227340">
      <w:pPr>
        <w:numPr>
          <w:ilvl w:val="0"/>
          <w:numId w:val="40"/>
        </w:numPr>
        <w:ind w:left="1418" w:hanging="568"/>
        <w:rPr>
          <w:lang w:eastAsia="en-SG"/>
        </w:rPr>
      </w:pPr>
      <w:r w:rsidRPr="001404D3">
        <w:rPr>
          <w:lang w:eastAsia="en-SG"/>
        </w:rPr>
        <w:t>Notify promptly the concerned TPCB upon</w:t>
      </w:r>
      <w:r>
        <w:rPr>
          <w:lang w:eastAsia="en-SG"/>
        </w:rPr>
        <w:t xml:space="preserve"> </w:t>
      </w:r>
      <w:r w:rsidRPr="001404D3">
        <w:rPr>
          <w:lang w:eastAsia="en-SG"/>
        </w:rPr>
        <w:t>receipt of feedback from. NTPBs, in case a foreign Tourism Professional is no longer recognized by the host country;</w:t>
      </w:r>
    </w:p>
    <w:p w:rsidR="001404D3" w:rsidRDefault="001404D3" w:rsidP="00227340">
      <w:pPr>
        <w:numPr>
          <w:ilvl w:val="0"/>
          <w:numId w:val="40"/>
        </w:numPr>
        <w:ind w:left="1418" w:hanging="568"/>
        <w:rPr>
          <w:lang w:eastAsia="en-SG"/>
        </w:rPr>
      </w:pPr>
      <w:r w:rsidRPr="001404D3">
        <w:rPr>
          <w:lang w:eastAsia="en-SG"/>
        </w:rPr>
        <w:t>Facilitate the exchange of information concerning</w:t>
      </w:r>
      <w:r>
        <w:rPr>
          <w:lang w:eastAsia="en-SG"/>
        </w:rPr>
        <w:t xml:space="preserve"> </w:t>
      </w:r>
      <w:r w:rsidRPr="001404D3">
        <w:rPr>
          <w:lang w:eastAsia="en-SG"/>
        </w:rPr>
        <w:t>assessment procedures, criteria, systems, manuals and publications relating to this Arrangement;</w:t>
      </w:r>
    </w:p>
    <w:p w:rsidR="001404D3" w:rsidRDefault="001404D3" w:rsidP="00227340">
      <w:pPr>
        <w:numPr>
          <w:ilvl w:val="0"/>
          <w:numId w:val="40"/>
        </w:numPr>
        <w:ind w:left="1418" w:hanging="568"/>
        <w:rPr>
          <w:lang w:eastAsia="en-SG"/>
        </w:rPr>
      </w:pPr>
      <w:r w:rsidRPr="001404D3">
        <w:rPr>
          <w:lang w:eastAsia="en-SG"/>
        </w:rPr>
        <w:t>Report its work progress to the ASEAN NTOs;</w:t>
      </w:r>
    </w:p>
    <w:p w:rsidR="001404D3" w:rsidRDefault="001404D3" w:rsidP="00227340">
      <w:pPr>
        <w:numPr>
          <w:ilvl w:val="0"/>
          <w:numId w:val="40"/>
        </w:numPr>
        <w:ind w:left="1418" w:hanging="568"/>
        <w:rPr>
          <w:lang w:eastAsia="en-SG"/>
        </w:rPr>
      </w:pPr>
      <w:r w:rsidRPr="001404D3">
        <w:rPr>
          <w:lang w:eastAsia="en-SG"/>
        </w:rPr>
        <w:t>Formulate and update necessary mechanisms to</w:t>
      </w:r>
      <w:r>
        <w:rPr>
          <w:lang w:eastAsia="en-SG"/>
        </w:rPr>
        <w:t xml:space="preserve"> </w:t>
      </w:r>
      <w:r w:rsidR="0024032B" w:rsidRPr="0024032B">
        <w:rPr>
          <w:lang w:eastAsia="en-SG"/>
        </w:rPr>
        <w:t>enable the implementation of this Arrangement; and</w:t>
      </w:r>
    </w:p>
    <w:p w:rsidR="0024032B" w:rsidRDefault="0024032B" w:rsidP="00227340">
      <w:pPr>
        <w:numPr>
          <w:ilvl w:val="0"/>
          <w:numId w:val="40"/>
        </w:numPr>
        <w:ind w:left="1418" w:hanging="568"/>
        <w:rPr>
          <w:lang w:eastAsia="en-SG"/>
        </w:rPr>
      </w:pPr>
      <w:r w:rsidRPr="0024032B">
        <w:rPr>
          <w:lang w:eastAsia="en-SG"/>
        </w:rPr>
        <w:lastRenderedPageBreak/>
        <w:t>Such other functions and responsibilities that</w:t>
      </w:r>
      <w:r>
        <w:rPr>
          <w:lang w:eastAsia="en-SG"/>
        </w:rPr>
        <w:t xml:space="preserve"> </w:t>
      </w:r>
      <w:r w:rsidRPr="0024032B">
        <w:rPr>
          <w:lang w:eastAsia="en-SG"/>
        </w:rPr>
        <w:t>may be assigned to it by the ASEAN NTOs in the future.</w:t>
      </w:r>
    </w:p>
    <w:p w:rsidR="0024032B" w:rsidRPr="001404D3" w:rsidRDefault="0024032B" w:rsidP="0005776D">
      <w:pPr>
        <w:pStyle w:val="Heading1"/>
        <w:rPr>
          <w:lang w:eastAsia="en-SG"/>
        </w:rPr>
      </w:pPr>
      <w:bookmarkStart w:id="6" w:name="_Toc482805732"/>
      <w:r>
        <w:rPr>
          <w:lang w:eastAsia="en-SG"/>
        </w:rPr>
        <w:t xml:space="preserve">ARTICLE VI </w:t>
      </w:r>
      <w:r w:rsidR="00227340">
        <w:rPr>
          <w:lang w:eastAsia="en-SG"/>
        </w:rPr>
        <w:br/>
      </w:r>
      <w:r>
        <w:rPr>
          <w:lang w:eastAsia="en-SG"/>
        </w:rPr>
        <w:t>RIGHT TO REGULATE</w:t>
      </w:r>
      <w:bookmarkEnd w:id="6"/>
    </w:p>
    <w:p w:rsidR="00805AF0" w:rsidRDefault="0024032B" w:rsidP="0005776D">
      <w:pPr>
        <w:rPr>
          <w:lang w:eastAsia="en-SG"/>
        </w:rPr>
      </w:pPr>
      <w:r w:rsidRPr="0024032B">
        <w:rPr>
          <w:lang w:eastAsia="en-SG"/>
        </w:rPr>
        <w:t>This Arrangement shall not reduce, eliminate or modify the rights, powers and authority of each ASEAN Member State. ASEAN Member States, however, shall undertake to exercise their regulatory powers responsibly and in good faith without creating any unnecessary barriers towards each other.</w:t>
      </w:r>
    </w:p>
    <w:p w:rsidR="0024032B" w:rsidRDefault="0024032B" w:rsidP="0005776D">
      <w:pPr>
        <w:pStyle w:val="Heading1"/>
        <w:rPr>
          <w:lang w:eastAsia="en-SG"/>
        </w:rPr>
      </w:pPr>
      <w:bookmarkStart w:id="7" w:name="_Toc482805733"/>
      <w:r>
        <w:rPr>
          <w:lang w:eastAsia="en-SG"/>
        </w:rPr>
        <w:t xml:space="preserve">ARTICLE VII </w:t>
      </w:r>
      <w:r w:rsidR="00227340">
        <w:rPr>
          <w:lang w:eastAsia="en-SG"/>
        </w:rPr>
        <w:br/>
      </w:r>
      <w:r>
        <w:rPr>
          <w:lang w:eastAsia="en-SG"/>
        </w:rPr>
        <w:t>DISPUTE SETTLEMENT</w:t>
      </w:r>
      <w:bookmarkEnd w:id="7"/>
    </w:p>
    <w:p w:rsidR="0024032B" w:rsidRDefault="0024032B" w:rsidP="0005776D">
      <w:pPr>
        <w:numPr>
          <w:ilvl w:val="0"/>
          <w:numId w:val="41"/>
        </w:numPr>
        <w:rPr>
          <w:lang w:eastAsia="en-SG"/>
        </w:rPr>
      </w:pPr>
      <w:r w:rsidRPr="0024032B">
        <w:rPr>
          <w:lang w:eastAsia="en-SG"/>
        </w:rPr>
        <w:t>ASEAN Member States shall at all times endeavor to</w:t>
      </w:r>
      <w:r>
        <w:rPr>
          <w:lang w:eastAsia="en-SG"/>
        </w:rPr>
        <w:t xml:space="preserve"> </w:t>
      </w:r>
      <w:r w:rsidRPr="0024032B">
        <w:rPr>
          <w:lang w:eastAsia="en-SG"/>
        </w:rPr>
        <w:t>agree on the interpretation and application of this Arrangement and shall make every attempt through communication, dialogue, consultation and cooperation to arrive at a mutually satisfactory resolution of any matter that might affect the implementation of this Arrangement.</w:t>
      </w:r>
    </w:p>
    <w:p w:rsidR="0024032B" w:rsidRDefault="0024032B" w:rsidP="0005776D">
      <w:pPr>
        <w:numPr>
          <w:ilvl w:val="0"/>
          <w:numId w:val="41"/>
        </w:numPr>
        <w:rPr>
          <w:lang w:eastAsia="en-SG"/>
        </w:rPr>
      </w:pPr>
      <w:r w:rsidRPr="0024032B">
        <w:rPr>
          <w:lang w:eastAsia="en-SG"/>
        </w:rPr>
        <w:t>The provision of the ASEAN Protocol on Enhanced Dispute Settlement Mechanism, done at Vientiane, Lao</w:t>
      </w:r>
      <w:r>
        <w:rPr>
          <w:lang w:eastAsia="en-SG"/>
        </w:rPr>
        <w:t xml:space="preserve"> </w:t>
      </w:r>
      <w:r w:rsidRPr="0024032B">
        <w:rPr>
          <w:lang w:eastAsia="en-SG"/>
        </w:rPr>
        <w:t>PDR on 29 November 2004, shall apply to disputes concerning the interpretation, implementation, and/or application of any of the provisions under this Arrangement.</w:t>
      </w:r>
    </w:p>
    <w:p w:rsidR="0024032B" w:rsidRDefault="0024032B" w:rsidP="0005776D">
      <w:pPr>
        <w:pStyle w:val="Heading1"/>
        <w:rPr>
          <w:lang w:eastAsia="en-SG"/>
        </w:rPr>
      </w:pPr>
      <w:bookmarkStart w:id="8" w:name="_Toc482805734"/>
      <w:r w:rsidRPr="0024032B">
        <w:rPr>
          <w:lang w:eastAsia="en-SG"/>
        </w:rPr>
        <w:t xml:space="preserve">ARTICLE VIII </w:t>
      </w:r>
      <w:r w:rsidR="00227340">
        <w:rPr>
          <w:lang w:eastAsia="en-SG"/>
        </w:rPr>
        <w:br/>
      </w:r>
      <w:r w:rsidRPr="0024032B">
        <w:rPr>
          <w:lang w:eastAsia="en-SG"/>
        </w:rPr>
        <w:t>AMENDMENT</w:t>
      </w:r>
      <w:bookmarkEnd w:id="8"/>
    </w:p>
    <w:p w:rsidR="0024032B" w:rsidRDefault="0024032B" w:rsidP="0005776D">
      <w:pPr>
        <w:numPr>
          <w:ilvl w:val="0"/>
          <w:numId w:val="42"/>
        </w:numPr>
        <w:rPr>
          <w:lang w:eastAsia="en-SG"/>
        </w:rPr>
      </w:pPr>
      <w:r w:rsidRPr="0024032B">
        <w:rPr>
          <w:lang w:eastAsia="en-SG"/>
        </w:rPr>
        <w:t>The provisions of this Arrangement may only be modified through amendments mutually agreed upon in writing by all ASEAN Member States.</w:t>
      </w:r>
    </w:p>
    <w:p w:rsidR="0024032B" w:rsidRDefault="0024032B" w:rsidP="0005776D">
      <w:pPr>
        <w:numPr>
          <w:ilvl w:val="0"/>
          <w:numId w:val="42"/>
        </w:numPr>
        <w:rPr>
          <w:lang w:eastAsia="en-SG"/>
        </w:rPr>
      </w:pPr>
      <w:r w:rsidRPr="0024032B">
        <w:rPr>
          <w:lang w:eastAsia="en-SG"/>
        </w:rPr>
        <w:t>Any revision, modification or amendments agreed to by the ASEAN Member States shall be reduced · into writing and shall form part of this Arrangement.</w:t>
      </w:r>
    </w:p>
    <w:p w:rsidR="0024032B" w:rsidRDefault="0024032B" w:rsidP="0005776D">
      <w:pPr>
        <w:numPr>
          <w:ilvl w:val="0"/>
          <w:numId w:val="42"/>
        </w:numPr>
        <w:rPr>
          <w:lang w:eastAsia="en-SG"/>
        </w:rPr>
      </w:pPr>
      <w:r w:rsidRPr="0024032B">
        <w:rPr>
          <w:lang w:eastAsia="en-SG"/>
        </w:rPr>
        <w:t>Notwithstanding Article 8.1 above, the APPENDIX may be amended administratively by the ASEAN Secretary General upon notification by ATPMC.</w:t>
      </w:r>
    </w:p>
    <w:p w:rsidR="0024032B" w:rsidRDefault="0024032B" w:rsidP="0005776D">
      <w:pPr>
        <w:numPr>
          <w:ilvl w:val="0"/>
          <w:numId w:val="42"/>
        </w:numPr>
        <w:rPr>
          <w:lang w:eastAsia="en-SG"/>
        </w:rPr>
      </w:pPr>
      <w:r w:rsidRPr="0024032B">
        <w:rPr>
          <w:lang w:eastAsia="en-SG"/>
        </w:rPr>
        <w:t>Such revision, modification or amendment shall come into force on such date as may be determined by the ASEAN Member States.</w:t>
      </w:r>
    </w:p>
    <w:p w:rsidR="0024032B" w:rsidRDefault="0024032B" w:rsidP="0005776D">
      <w:pPr>
        <w:numPr>
          <w:ilvl w:val="0"/>
          <w:numId w:val="42"/>
        </w:numPr>
        <w:rPr>
          <w:lang w:eastAsia="en-SG"/>
        </w:rPr>
      </w:pPr>
      <w:r w:rsidRPr="0024032B">
        <w:rPr>
          <w:lang w:eastAsia="en-SG"/>
        </w:rPr>
        <w:t>Any revision, modification, or amendment shall not prejudice the rights and obligations arising from or based on this Arrangement prior or up to the date of such revision, modification, or amendment.</w:t>
      </w:r>
    </w:p>
    <w:p w:rsidR="0024032B" w:rsidRDefault="0024032B" w:rsidP="0005776D">
      <w:pPr>
        <w:pStyle w:val="Heading1"/>
        <w:rPr>
          <w:lang w:eastAsia="en-SG"/>
        </w:rPr>
      </w:pPr>
      <w:bookmarkStart w:id="9" w:name="_Toc482805735"/>
      <w:r>
        <w:rPr>
          <w:lang w:eastAsia="en-SG"/>
        </w:rPr>
        <w:t xml:space="preserve">ARTICLE IX </w:t>
      </w:r>
      <w:r w:rsidR="00227340">
        <w:rPr>
          <w:lang w:eastAsia="en-SG"/>
        </w:rPr>
        <w:br/>
      </w:r>
      <w:r>
        <w:rPr>
          <w:lang w:eastAsia="en-SG"/>
        </w:rPr>
        <w:t>FINAL PROVISIONS</w:t>
      </w:r>
      <w:bookmarkEnd w:id="9"/>
    </w:p>
    <w:p w:rsidR="0024032B" w:rsidRDefault="0024032B" w:rsidP="0005776D">
      <w:pPr>
        <w:numPr>
          <w:ilvl w:val="0"/>
          <w:numId w:val="43"/>
        </w:numPr>
        <w:rPr>
          <w:lang w:eastAsia="en-SG"/>
        </w:rPr>
      </w:pPr>
      <w:r w:rsidRPr="0024032B">
        <w:rPr>
          <w:lang w:eastAsia="en-SG"/>
        </w:rPr>
        <w:t>Subject to Article 9.2, this Arrangement shall enter into</w:t>
      </w:r>
      <w:r>
        <w:rPr>
          <w:lang w:eastAsia="en-SG"/>
        </w:rPr>
        <w:t xml:space="preserve"> </w:t>
      </w:r>
      <w:r w:rsidRPr="0024032B">
        <w:rPr>
          <w:lang w:eastAsia="en-SG"/>
        </w:rPr>
        <w:t>force after all ASEAN Member States have completed and established the TPCB and NTPB or their equivalent bodies and notified the Secretary-General of ASEAN within one hundred and eighty (180) days from the date of its signing.</w:t>
      </w:r>
    </w:p>
    <w:p w:rsidR="0024032B" w:rsidRDefault="00227340" w:rsidP="0005776D">
      <w:pPr>
        <w:numPr>
          <w:ilvl w:val="0"/>
          <w:numId w:val="43"/>
        </w:numPr>
        <w:rPr>
          <w:lang w:eastAsia="en-SG"/>
        </w:rPr>
      </w:pPr>
      <w:r>
        <w:rPr>
          <w:lang w:eastAsia="en-SG"/>
        </w:rPr>
        <w:br w:type="page"/>
      </w:r>
      <w:r w:rsidR="0024032B" w:rsidRPr="0024032B">
        <w:rPr>
          <w:lang w:eastAsia="en-SG"/>
        </w:rPr>
        <w:lastRenderedPageBreak/>
        <w:t>In the event that any ASEAN Member State has not completed and established the TPCB and NTPB or their equivalent bodies within one hundred and eighty</w:t>
      </w:r>
      <w:r w:rsidR="0024032B">
        <w:rPr>
          <w:lang w:eastAsia="en-SG"/>
        </w:rPr>
        <w:t xml:space="preserve"> </w:t>
      </w:r>
      <w:r w:rsidR="0024032B" w:rsidRPr="0024032B">
        <w:rPr>
          <w:lang w:eastAsia="en-SG"/>
        </w:rPr>
        <w:t>(180)</w:t>
      </w:r>
      <w:r w:rsidR="0024032B">
        <w:rPr>
          <w:lang w:eastAsia="en-SG"/>
        </w:rPr>
        <w:t xml:space="preserve"> </w:t>
      </w:r>
      <w:r w:rsidR="0024032B" w:rsidRPr="0024032B">
        <w:rPr>
          <w:lang w:eastAsia="en-SG"/>
        </w:rPr>
        <w:t>days from the date of signing, this Arrangement shall enter into force for that ASEAN Member State upon the date of notification in writing to the Secretary General of ASEAN of the completion and establishment of the TPCB and NTPB or their equivalent bodies.</w:t>
      </w:r>
    </w:p>
    <w:p w:rsidR="0024032B" w:rsidRDefault="0024032B" w:rsidP="0005776D">
      <w:pPr>
        <w:numPr>
          <w:ilvl w:val="0"/>
          <w:numId w:val="43"/>
        </w:numPr>
        <w:rPr>
          <w:lang w:eastAsia="en-SG"/>
        </w:rPr>
      </w:pPr>
      <w:r w:rsidRPr="0024032B">
        <w:rPr>
          <w:lang w:eastAsia="en-SG"/>
        </w:rPr>
        <w:t>This Arrangement shall be deposited with the</w:t>
      </w:r>
      <w:r>
        <w:rPr>
          <w:lang w:eastAsia="en-SG"/>
        </w:rPr>
        <w:t xml:space="preserve"> </w:t>
      </w:r>
      <w:r w:rsidRPr="0024032B">
        <w:rPr>
          <w:lang w:eastAsia="en-SG"/>
        </w:rPr>
        <w:t>Secretary-General of ASEAN, who shall promptly furnish a certified copy thereof to each ASEAN Member State.</w:t>
      </w:r>
    </w:p>
    <w:p w:rsidR="0024032B" w:rsidRDefault="0024032B" w:rsidP="0005776D">
      <w:pPr>
        <w:numPr>
          <w:ilvl w:val="0"/>
          <w:numId w:val="43"/>
        </w:numPr>
        <w:rPr>
          <w:lang w:eastAsia="en-SG"/>
        </w:rPr>
      </w:pPr>
      <w:r w:rsidRPr="0024032B">
        <w:rPr>
          <w:lang w:eastAsia="en-SG"/>
        </w:rPr>
        <w:t>This Arrangement or any part thereof shall only be</w:t>
      </w:r>
      <w:r>
        <w:rPr>
          <w:lang w:eastAsia="en-SG"/>
        </w:rPr>
        <w:t xml:space="preserve"> </w:t>
      </w:r>
      <w:r w:rsidRPr="0024032B">
        <w:rPr>
          <w:lang w:eastAsia="en-SG"/>
        </w:rPr>
        <w:t>terminated upon mutual agreement of the ASEAN Tourism Ministers upon recommendation of the ASEAN NTOs.</w:t>
      </w:r>
    </w:p>
    <w:p w:rsidR="0024032B" w:rsidRDefault="0024032B" w:rsidP="0005776D">
      <w:pPr>
        <w:rPr>
          <w:lang w:eastAsia="en-SG"/>
        </w:rPr>
      </w:pPr>
      <w:r w:rsidRPr="0024032B">
        <w:rPr>
          <w:b/>
          <w:lang w:eastAsia="en-SG"/>
        </w:rPr>
        <w:t>IN WITNESS WHEREOF</w:t>
      </w:r>
      <w:r>
        <w:rPr>
          <w:lang w:eastAsia="en-SG"/>
        </w:rPr>
        <w:t xml:space="preserve">, the undersigned, being duly authorized by their respective governments, have signed the ASEAN Mutual Recognition Arrangement on Tourism Professionals. </w:t>
      </w:r>
    </w:p>
    <w:p w:rsidR="003843C7" w:rsidRDefault="0024032B" w:rsidP="0005776D">
      <w:pPr>
        <w:rPr>
          <w:lang w:eastAsia="en-SG"/>
        </w:rPr>
      </w:pPr>
      <w:r w:rsidRPr="0024032B">
        <w:rPr>
          <w:b/>
          <w:lang w:eastAsia="en-SG"/>
        </w:rPr>
        <w:t>DONE</w:t>
      </w:r>
      <w:r>
        <w:rPr>
          <w:lang w:eastAsia="en-SG"/>
        </w:rPr>
        <w:t xml:space="preserve"> at Bangkok, Thailand, this Ninth day of November in the Year Two Thousand and Twelve, in a singl</w:t>
      </w:r>
      <w:r w:rsidR="003843C7">
        <w:rPr>
          <w:lang w:eastAsia="en-SG"/>
        </w:rPr>
        <w:t>e copy in the English Language.</w:t>
      </w:r>
    </w:p>
    <w:p w:rsidR="003843C7" w:rsidRDefault="003843C7" w:rsidP="0005776D">
      <w:pPr>
        <w:rPr>
          <w:lang w:eastAsia="en-SG"/>
        </w:rPr>
      </w:pPr>
    </w:p>
    <w:p w:rsidR="003843C7" w:rsidRDefault="003843C7" w:rsidP="0005776D">
      <w:pPr>
        <w:rPr>
          <w:lang w:eastAsia="en-SG"/>
        </w:rPr>
      </w:pPr>
    </w:p>
    <w:p w:rsidR="003843C7" w:rsidRDefault="003843C7" w:rsidP="0005776D">
      <w:pPr>
        <w:rPr>
          <w:lang w:eastAsia="en-SG"/>
        </w:rPr>
      </w:pPr>
    </w:p>
    <w:p w:rsidR="009F6601" w:rsidRDefault="009F6601" w:rsidP="003843C7">
      <w:pPr>
        <w:spacing w:before="0" w:after="0"/>
        <w:jc w:val="center"/>
        <w:rPr>
          <w:lang w:eastAsia="en-SG"/>
        </w:rPr>
      </w:pPr>
      <w:r w:rsidRPr="009F6601">
        <w:rPr>
          <w:lang w:eastAsia="en-SG"/>
        </w:rPr>
        <w:t>For Brunei Darussalam:</w:t>
      </w:r>
    </w:p>
    <w:p w:rsidR="003843C7" w:rsidRDefault="003843C7" w:rsidP="003843C7">
      <w:pPr>
        <w:spacing w:before="0" w:after="0"/>
        <w:jc w:val="center"/>
        <w:rPr>
          <w:lang w:eastAsia="en-SG"/>
        </w:rPr>
      </w:pPr>
    </w:p>
    <w:p w:rsidR="009F6601" w:rsidRPr="009F6601" w:rsidRDefault="009F6601" w:rsidP="003843C7">
      <w:pPr>
        <w:spacing w:before="0" w:after="0"/>
        <w:jc w:val="center"/>
        <w:rPr>
          <w:b/>
          <w:lang w:eastAsia="en-SG"/>
        </w:rPr>
      </w:pPr>
      <w:r w:rsidRPr="009F6601">
        <w:rPr>
          <w:b/>
          <w:lang w:eastAsia="en-SG"/>
        </w:rPr>
        <w:t>PEHIN DATO YAHYA</w:t>
      </w:r>
    </w:p>
    <w:p w:rsidR="009F6601" w:rsidRDefault="009F6601" w:rsidP="003843C7">
      <w:pPr>
        <w:spacing w:before="0" w:after="0"/>
        <w:jc w:val="center"/>
        <w:rPr>
          <w:lang w:eastAsia="en-SG"/>
        </w:rPr>
      </w:pPr>
      <w:r>
        <w:rPr>
          <w:lang w:eastAsia="en-SG"/>
        </w:rPr>
        <w:t>Minister of Industry and Primary Resources</w:t>
      </w:r>
    </w:p>
    <w:p w:rsidR="00227340" w:rsidRDefault="00227340" w:rsidP="003843C7">
      <w:pPr>
        <w:spacing w:before="0" w:after="0"/>
        <w:jc w:val="center"/>
        <w:rPr>
          <w:lang w:eastAsia="en-SG"/>
        </w:rPr>
      </w:pPr>
    </w:p>
    <w:p w:rsidR="003843C7" w:rsidRDefault="003843C7" w:rsidP="003843C7">
      <w:pPr>
        <w:spacing w:before="0" w:after="0"/>
        <w:jc w:val="center"/>
        <w:rPr>
          <w:lang w:eastAsia="en-SG"/>
        </w:rPr>
      </w:pPr>
    </w:p>
    <w:p w:rsidR="009F6601" w:rsidRDefault="009F6601" w:rsidP="003843C7">
      <w:pPr>
        <w:spacing w:before="0" w:after="0"/>
        <w:jc w:val="center"/>
        <w:rPr>
          <w:lang w:eastAsia="en-SG"/>
        </w:rPr>
      </w:pPr>
      <w:r>
        <w:rPr>
          <w:lang w:eastAsia="en-SG"/>
        </w:rPr>
        <w:t>For the Kingdom of Cambodia:</w:t>
      </w:r>
    </w:p>
    <w:p w:rsidR="003843C7" w:rsidRDefault="003843C7" w:rsidP="003843C7">
      <w:pPr>
        <w:spacing w:before="0" w:after="0"/>
        <w:jc w:val="center"/>
        <w:rPr>
          <w:lang w:eastAsia="en-SG"/>
        </w:rPr>
      </w:pPr>
    </w:p>
    <w:p w:rsidR="009F6601" w:rsidRPr="009F6601" w:rsidRDefault="009F6601" w:rsidP="003843C7">
      <w:pPr>
        <w:spacing w:before="0" w:after="0"/>
        <w:jc w:val="center"/>
        <w:rPr>
          <w:b/>
          <w:lang w:eastAsia="en-SG"/>
        </w:rPr>
      </w:pPr>
      <w:r w:rsidRPr="009F6601">
        <w:rPr>
          <w:b/>
          <w:lang w:eastAsia="en-SG"/>
        </w:rPr>
        <w:t>DR. THONG KHON</w:t>
      </w:r>
    </w:p>
    <w:p w:rsidR="009F6601" w:rsidRDefault="009F6601" w:rsidP="003843C7">
      <w:pPr>
        <w:spacing w:before="0" w:after="0"/>
        <w:jc w:val="center"/>
        <w:rPr>
          <w:lang w:eastAsia="en-SG"/>
        </w:rPr>
      </w:pPr>
      <w:r>
        <w:rPr>
          <w:lang w:eastAsia="en-SG"/>
        </w:rPr>
        <w:t>Minister of Tourism</w:t>
      </w:r>
    </w:p>
    <w:p w:rsidR="00227340" w:rsidRDefault="00227340" w:rsidP="003843C7">
      <w:pPr>
        <w:spacing w:before="0" w:after="0"/>
        <w:jc w:val="center"/>
        <w:rPr>
          <w:lang w:eastAsia="en-SG"/>
        </w:rPr>
      </w:pPr>
    </w:p>
    <w:p w:rsidR="003843C7" w:rsidRDefault="003843C7" w:rsidP="003843C7">
      <w:pPr>
        <w:spacing w:before="0" w:after="0"/>
        <w:jc w:val="center"/>
        <w:rPr>
          <w:lang w:eastAsia="en-SG"/>
        </w:rPr>
      </w:pPr>
    </w:p>
    <w:p w:rsidR="009F6601" w:rsidRDefault="009F6601" w:rsidP="003843C7">
      <w:pPr>
        <w:spacing w:before="0" w:after="0"/>
        <w:jc w:val="center"/>
        <w:rPr>
          <w:lang w:eastAsia="en-SG"/>
        </w:rPr>
      </w:pPr>
      <w:r w:rsidRPr="009F6601">
        <w:rPr>
          <w:lang w:eastAsia="en-SG"/>
        </w:rPr>
        <w:t>For the Republic of Indonesia:</w:t>
      </w:r>
    </w:p>
    <w:p w:rsidR="003843C7" w:rsidRDefault="003843C7" w:rsidP="003843C7">
      <w:pPr>
        <w:spacing w:before="0" w:after="0"/>
        <w:jc w:val="center"/>
      </w:pPr>
    </w:p>
    <w:p w:rsidR="009F6601" w:rsidRPr="009F6601" w:rsidRDefault="009F6601" w:rsidP="003843C7">
      <w:pPr>
        <w:spacing w:before="0" w:after="0"/>
        <w:jc w:val="center"/>
        <w:rPr>
          <w:b/>
          <w:lang w:eastAsia="en-SG"/>
        </w:rPr>
      </w:pPr>
      <w:r w:rsidRPr="009F6601">
        <w:rPr>
          <w:b/>
          <w:lang w:eastAsia="en-SG"/>
        </w:rPr>
        <w:t>JERO WACIK</w:t>
      </w:r>
    </w:p>
    <w:p w:rsidR="009F6601" w:rsidRDefault="009F6601" w:rsidP="003843C7">
      <w:pPr>
        <w:spacing w:before="0" w:after="0"/>
        <w:jc w:val="center"/>
        <w:rPr>
          <w:lang w:eastAsia="en-SG"/>
        </w:rPr>
      </w:pPr>
      <w:r>
        <w:rPr>
          <w:lang w:eastAsia="en-SG"/>
        </w:rPr>
        <w:t>Minister of Culture and Tourism</w:t>
      </w:r>
    </w:p>
    <w:p w:rsidR="00227340" w:rsidRDefault="00227340" w:rsidP="003843C7">
      <w:pPr>
        <w:spacing w:before="0" w:after="0"/>
        <w:jc w:val="center"/>
        <w:rPr>
          <w:lang w:eastAsia="en-SG"/>
        </w:rPr>
      </w:pPr>
    </w:p>
    <w:p w:rsidR="003843C7" w:rsidRDefault="003843C7" w:rsidP="003843C7">
      <w:pPr>
        <w:spacing w:before="0" w:after="0"/>
        <w:jc w:val="center"/>
        <w:rPr>
          <w:lang w:eastAsia="en-SG"/>
        </w:rPr>
      </w:pPr>
    </w:p>
    <w:p w:rsidR="009F6601" w:rsidRDefault="009F6601" w:rsidP="003843C7">
      <w:pPr>
        <w:spacing w:before="0" w:after="0"/>
        <w:jc w:val="center"/>
        <w:rPr>
          <w:rFonts w:cs="Arial"/>
          <w:lang w:eastAsia="en-SG"/>
        </w:rPr>
      </w:pPr>
      <w:r w:rsidRPr="009F6601">
        <w:rPr>
          <w:lang w:eastAsia="en-SG"/>
        </w:rPr>
        <w:t>For Lao People's Democra</w:t>
      </w:r>
      <w:r>
        <w:rPr>
          <w:rFonts w:cs="Arial"/>
          <w:lang w:eastAsia="en-SG"/>
        </w:rPr>
        <w:t>tic Republic:</w:t>
      </w:r>
    </w:p>
    <w:p w:rsidR="003843C7" w:rsidRDefault="003843C7" w:rsidP="003843C7">
      <w:pPr>
        <w:spacing w:before="0" w:after="0"/>
        <w:jc w:val="center"/>
        <w:rPr>
          <w:rFonts w:cs="Arial"/>
          <w:lang w:eastAsia="en-SG"/>
        </w:rPr>
      </w:pPr>
    </w:p>
    <w:p w:rsidR="009F6601" w:rsidRPr="009F6601" w:rsidRDefault="009F6601" w:rsidP="003843C7">
      <w:pPr>
        <w:spacing w:before="0" w:after="0"/>
        <w:jc w:val="center"/>
        <w:rPr>
          <w:b/>
          <w:lang w:eastAsia="en-SG"/>
        </w:rPr>
      </w:pPr>
      <w:r w:rsidRPr="009F6601">
        <w:rPr>
          <w:b/>
          <w:lang w:eastAsia="en-SG"/>
        </w:rPr>
        <w:t>SOMPHONG MONGKHONVILAY</w:t>
      </w:r>
    </w:p>
    <w:p w:rsidR="009F6601" w:rsidRDefault="009F6601" w:rsidP="003843C7">
      <w:pPr>
        <w:spacing w:before="0" w:after="0"/>
        <w:jc w:val="center"/>
        <w:rPr>
          <w:lang w:eastAsia="en-SG"/>
        </w:rPr>
      </w:pPr>
      <w:r>
        <w:rPr>
          <w:lang w:eastAsia="en-SG"/>
        </w:rPr>
        <w:t>Minister, Chairman of Lao National Tourism Administration</w:t>
      </w:r>
    </w:p>
    <w:p w:rsidR="00227340" w:rsidRDefault="00227340" w:rsidP="003843C7">
      <w:pPr>
        <w:spacing w:before="0" w:after="0"/>
        <w:jc w:val="center"/>
        <w:rPr>
          <w:lang w:eastAsia="en-SG"/>
        </w:rPr>
      </w:pPr>
    </w:p>
    <w:p w:rsidR="003843C7" w:rsidRDefault="003843C7" w:rsidP="003843C7">
      <w:pPr>
        <w:spacing w:before="0" w:after="0"/>
        <w:jc w:val="center"/>
        <w:rPr>
          <w:lang w:eastAsia="en-SG"/>
        </w:rPr>
      </w:pPr>
    </w:p>
    <w:p w:rsidR="009F6601" w:rsidRDefault="009F6601" w:rsidP="003843C7">
      <w:pPr>
        <w:spacing w:before="0" w:after="0"/>
        <w:jc w:val="center"/>
        <w:rPr>
          <w:lang w:eastAsia="en-SG"/>
        </w:rPr>
      </w:pPr>
      <w:r w:rsidRPr="009F6601">
        <w:rPr>
          <w:lang w:eastAsia="en-SG"/>
        </w:rPr>
        <w:t>For Malaysia:</w:t>
      </w:r>
    </w:p>
    <w:p w:rsidR="003843C7" w:rsidRDefault="003843C7" w:rsidP="003843C7">
      <w:pPr>
        <w:spacing w:before="0" w:after="0"/>
        <w:jc w:val="center"/>
        <w:rPr>
          <w:lang w:eastAsia="en-SG"/>
        </w:rPr>
      </w:pPr>
    </w:p>
    <w:p w:rsidR="009F6601" w:rsidRPr="009F6601" w:rsidRDefault="009F6601" w:rsidP="003843C7">
      <w:pPr>
        <w:spacing w:before="0" w:after="0"/>
        <w:jc w:val="center"/>
        <w:rPr>
          <w:b/>
          <w:lang w:eastAsia="en-SG"/>
        </w:rPr>
      </w:pPr>
      <w:r w:rsidRPr="009F6601">
        <w:rPr>
          <w:b/>
          <w:lang w:eastAsia="en-SG"/>
        </w:rPr>
        <w:t>DATO' SRI AZALINA DATO' OTHMAN SAID</w:t>
      </w:r>
    </w:p>
    <w:p w:rsidR="009F6601" w:rsidRDefault="009F6601" w:rsidP="003843C7">
      <w:pPr>
        <w:spacing w:before="0" w:after="0"/>
        <w:jc w:val="center"/>
        <w:rPr>
          <w:lang w:eastAsia="en-SG"/>
        </w:rPr>
      </w:pPr>
      <w:r>
        <w:rPr>
          <w:lang w:eastAsia="en-SG"/>
        </w:rPr>
        <w:t>Minister of Tourism</w:t>
      </w:r>
    </w:p>
    <w:p w:rsidR="003843C7" w:rsidRDefault="003843C7" w:rsidP="003843C7">
      <w:pPr>
        <w:spacing w:before="0" w:after="0"/>
        <w:jc w:val="center"/>
        <w:rPr>
          <w:lang w:eastAsia="en-SG"/>
        </w:rPr>
      </w:pPr>
    </w:p>
    <w:p w:rsidR="00227340" w:rsidRDefault="00227340" w:rsidP="003843C7">
      <w:pPr>
        <w:spacing w:before="0" w:after="0"/>
        <w:jc w:val="center"/>
        <w:rPr>
          <w:lang w:eastAsia="en-SG"/>
        </w:rPr>
      </w:pPr>
    </w:p>
    <w:p w:rsidR="009F6601" w:rsidRDefault="009F6601" w:rsidP="003843C7">
      <w:pPr>
        <w:spacing w:before="0" w:after="0"/>
        <w:jc w:val="center"/>
        <w:rPr>
          <w:lang w:eastAsia="en-SG"/>
        </w:rPr>
      </w:pPr>
      <w:r>
        <w:rPr>
          <w:lang w:eastAsia="en-SG"/>
        </w:rPr>
        <w:lastRenderedPageBreak/>
        <w:t>For Union of Myanmar:</w:t>
      </w:r>
    </w:p>
    <w:p w:rsidR="003843C7" w:rsidRDefault="003843C7" w:rsidP="003843C7">
      <w:pPr>
        <w:spacing w:before="0" w:after="0"/>
        <w:jc w:val="center"/>
        <w:rPr>
          <w:lang w:eastAsia="en-SG"/>
        </w:rPr>
      </w:pPr>
    </w:p>
    <w:p w:rsidR="009F6601" w:rsidRPr="009F6601" w:rsidRDefault="009F6601" w:rsidP="003843C7">
      <w:pPr>
        <w:spacing w:before="0" w:after="0"/>
        <w:jc w:val="center"/>
        <w:rPr>
          <w:b/>
          <w:lang w:eastAsia="en-SG"/>
        </w:rPr>
      </w:pPr>
      <w:r w:rsidRPr="009F6601">
        <w:rPr>
          <w:b/>
          <w:lang w:eastAsia="en-SG"/>
        </w:rPr>
        <w:t>BRIG GENERAL AYE MYINT KYU</w:t>
      </w:r>
    </w:p>
    <w:p w:rsidR="009F6601" w:rsidRDefault="009F6601" w:rsidP="003843C7">
      <w:pPr>
        <w:spacing w:before="0" w:after="0"/>
        <w:jc w:val="center"/>
        <w:rPr>
          <w:lang w:eastAsia="en-SG"/>
        </w:rPr>
      </w:pPr>
      <w:r>
        <w:rPr>
          <w:lang w:eastAsia="en-SG"/>
        </w:rPr>
        <w:t>Deputy Minister, Ministry of Hotels and Tourism</w:t>
      </w:r>
    </w:p>
    <w:p w:rsidR="003843C7" w:rsidRDefault="003843C7" w:rsidP="003843C7">
      <w:pPr>
        <w:spacing w:before="0" w:after="0"/>
        <w:jc w:val="center"/>
        <w:rPr>
          <w:lang w:eastAsia="en-SG"/>
        </w:rPr>
      </w:pPr>
    </w:p>
    <w:p w:rsidR="00227340" w:rsidRDefault="00227340" w:rsidP="003843C7">
      <w:pPr>
        <w:spacing w:before="0" w:after="0"/>
        <w:jc w:val="center"/>
        <w:rPr>
          <w:lang w:eastAsia="en-SG"/>
        </w:rPr>
      </w:pPr>
    </w:p>
    <w:p w:rsidR="009F6601" w:rsidRDefault="009F6601" w:rsidP="003843C7">
      <w:pPr>
        <w:spacing w:before="0" w:after="0"/>
        <w:jc w:val="center"/>
        <w:rPr>
          <w:lang w:eastAsia="en-SG"/>
        </w:rPr>
      </w:pPr>
      <w:r w:rsidRPr="009F6601">
        <w:rPr>
          <w:lang w:eastAsia="en-SG"/>
        </w:rPr>
        <w:t>For the Republic of the Philippines:</w:t>
      </w:r>
    </w:p>
    <w:p w:rsidR="003843C7" w:rsidRDefault="003843C7" w:rsidP="003843C7">
      <w:pPr>
        <w:spacing w:before="0" w:after="0"/>
        <w:jc w:val="center"/>
        <w:rPr>
          <w:lang w:eastAsia="en-SG"/>
        </w:rPr>
      </w:pPr>
    </w:p>
    <w:p w:rsidR="009F6601" w:rsidRDefault="009F6601" w:rsidP="003843C7">
      <w:pPr>
        <w:spacing w:before="0" w:after="0"/>
        <w:jc w:val="center"/>
        <w:rPr>
          <w:b/>
          <w:lang w:eastAsia="en-SG"/>
        </w:rPr>
      </w:pPr>
      <w:r w:rsidRPr="009F6601">
        <w:rPr>
          <w:b/>
          <w:lang w:eastAsia="en-SG"/>
        </w:rPr>
        <w:t>JOSEPH H. DURANO</w:t>
      </w:r>
    </w:p>
    <w:p w:rsidR="009F6601" w:rsidRDefault="009F6601" w:rsidP="003843C7">
      <w:pPr>
        <w:spacing w:before="0" w:after="0"/>
        <w:jc w:val="center"/>
        <w:rPr>
          <w:lang w:eastAsia="en-SG"/>
        </w:rPr>
      </w:pPr>
      <w:r w:rsidRPr="009F6601">
        <w:rPr>
          <w:lang w:eastAsia="en-SG"/>
        </w:rPr>
        <w:t>Secretary, Department of Tourism</w:t>
      </w:r>
    </w:p>
    <w:p w:rsidR="003843C7" w:rsidRDefault="003843C7" w:rsidP="003843C7">
      <w:pPr>
        <w:spacing w:before="0" w:after="0"/>
        <w:jc w:val="center"/>
        <w:rPr>
          <w:lang w:eastAsia="en-SG"/>
        </w:rPr>
      </w:pPr>
    </w:p>
    <w:p w:rsidR="00227340" w:rsidRDefault="00227340" w:rsidP="003843C7">
      <w:pPr>
        <w:spacing w:before="0" w:after="0"/>
        <w:jc w:val="center"/>
        <w:rPr>
          <w:lang w:eastAsia="en-SG"/>
        </w:rPr>
      </w:pPr>
    </w:p>
    <w:p w:rsidR="009F6601" w:rsidRDefault="009F6601" w:rsidP="003843C7">
      <w:pPr>
        <w:spacing w:before="0" w:after="0"/>
        <w:jc w:val="center"/>
        <w:rPr>
          <w:lang w:eastAsia="en-SG"/>
        </w:rPr>
      </w:pPr>
      <w:r>
        <w:rPr>
          <w:lang w:eastAsia="en-SG"/>
        </w:rPr>
        <w:t>For the Republic of Singapore:</w:t>
      </w:r>
    </w:p>
    <w:p w:rsidR="003843C7" w:rsidRDefault="003843C7" w:rsidP="003843C7">
      <w:pPr>
        <w:spacing w:before="0" w:after="0"/>
        <w:jc w:val="center"/>
        <w:rPr>
          <w:lang w:eastAsia="en-SG"/>
        </w:rPr>
      </w:pPr>
    </w:p>
    <w:p w:rsidR="009F6601" w:rsidRDefault="009F6601" w:rsidP="003843C7">
      <w:pPr>
        <w:spacing w:before="0" w:after="0"/>
        <w:jc w:val="center"/>
        <w:rPr>
          <w:b/>
          <w:lang w:eastAsia="en-SG"/>
        </w:rPr>
      </w:pPr>
      <w:r>
        <w:rPr>
          <w:b/>
          <w:lang w:eastAsia="en-SG"/>
        </w:rPr>
        <w:t>S. ISWARAN</w:t>
      </w:r>
    </w:p>
    <w:p w:rsidR="009F6601" w:rsidRDefault="009F6601" w:rsidP="003843C7">
      <w:pPr>
        <w:spacing w:before="0" w:after="0"/>
        <w:jc w:val="center"/>
        <w:rPr>
          <w:lang w:eastAsia="en-SG"/>
        </w:rPr>
      </w:pPr>
      <w:r>
        <w:rPr>
          <w:lang w:eastAsia="en-SG"/>
        </w:rPr>
        <w:t>Senior Minister of State for Trade and Industry</w:t>
      </w:r>
    </w:p>
    <w:p w:rsidR="003843C7" w:rsidRDefault="003843C7" w:rsidP="003843C7">
      <w:pPr>
        <w:spacing w:before="0" w:after="0"/>
        <w:jc w:val="center"/>
        <w:rPr>
          <w:lang w:eastAsia="en-SG"/>
        </w:rPr>
      </w:pPr>
    </w:p>
    <w:p w:rsidR="00227340" w:rsidRDefault="00227340" w:rsidP="003843C7">
      <w:pPr>
        <w:spacing w:before="0" w:after="0"/>
        <w:jc w:val="center"/>
        <w:rPr>
          <w:lang w:eastAsia="en-SG"/>
        </w:rPr>
      </w:pPr>
    </w:p>
    <w:p w:rsidR="009F6601" w:rsidRDefault="00C50A2B" w:rsidP="003843C7">
      <w:pPr>
        <w:spacing w:before="0" w:after="0"/>
        <w:jc w:val="center"/>
        <w:rPr>
          <w:lang w:eastAsia="en-SG"/>
        </w:rPr>
      </w:pPr>
      <w:r>
        <w:rPr>
          <w:lang w:eastAsia="en-SG"/>
        </w:rPr>
        <w:t>For the Kingdom of Thailand:</w:t>
      </w:r>
    </w:p>
    <w:p w:rsidR="003843C7" w:rsidRDefault="003843C7" w:rsidP="003843C7">
      <w:pPr>
        <w:spacing w:before="0" w:after="0"/>
        <w:jc w:val="center"/>
        <w:rPr>
          <w:lang w:eastAsia="en-SG"/>
        </w:rPr>
      </w:pPr>
    </w:p>
    <w:p w:rsidR="00C50A2B" w:rsidRDefault="00C50A2B" w:rsidP="003843C7">
      <w:pPr>
        <w:spacing w:before="0" w:after="0"/>
        <w:jc w:val="center"/>
        <w:rPr>
          <w:b/>
          <w:lang w:eastAsia="en-SG"/>
        </w:rPr>
      </w:pPr>
      <w:r>
        <w:rPr>
          <w:b/>
          <w:lang w:eastAsia="en-SG"/>
        </w:rPr>
        <w:t>CHUMPOL SILAPA-ARCHA</w:t>
      </w:r>
    </w:p>
    <w:p w:rsidR="00C50A2B" w:rsidRDefault="00C50A2B" w:rsidP="003843C7">
      <w:pPr>
        <w:spacing w:before="0" w:after="0"/>
        <w:jc w:val="center"/>
        <w:rPr>
          <w:lang w:eastAsia="en-SG"/>
        </w:rPr>
      </w:pPr>
      <w:r>
        <w:rPr>
          <w:lang w:eastAsia="en-SG"/>
        </w:rPr>
        <w:t>Minister of Tourism and Sports</w:t>
      </w:r>
    </w:p>
    <w:p w:rsidR="003843C7" w:rsidRDefault="003843C7" w:rsidP="003843C7">
      <w:pPr>
        <w:spacing w:before="0" w:after="0"/>
        <w:jc w:val="center"/>
        <w:rPr>
          <w:lang w:eastAsia="en-SG"/>
        </w:rPr>
      </w:pPr>
    </w:p>
    <w:p w:rsidR="00227340" w:rsidRDefault="00227340" w:rsidP="003843C7">
      <w:pPr>
        <w:spacing w:before="0" w:after="0"/>
        <w:jc w:val="center"/>
        <w:rPr>
          <w:lang w:eastAsia="en-SG"/>
        </w:rPr>
      </w:pPr>
    </w:p>
    <w:p w:rsidR="00C50A2B" w:rsidRDefault="00C50A2B" w:rsidP="003843C7">
      <w:pPr>
        <w:spacing w:before="0" w:after="0"/>
        <w:jc w:val="center"/>
        <w:rPr>
          <w:lang w:eastAsia="en-SG"/>
        </w:rPr>
      </w:pPr>
      <w:r>
        <w:rPr>
          <w:lang w:eastAsia="en-SG"/>
        </w:rPr>
        <w:t>For the Socialist Republic of Viet Nam:</w:t>
      </w:r>
    </w:p>
    <w:p w:rsidR="003843C7" w:rsidRDefault="003843C7" w:rsidP="003843C7">
      <w:pPr>
        <w:spacing w:before="0" w:after="0"/>
        <w:jc w:val="center"/>
        <w:rPr>
          <w:lang w:eastAsia="en-SG"/>
        </w:rPr>
      </w:pPr>
      <w:bookmarkStart w:id="10" w:name="_GoBack"/>
      <w:bookmarkEnd w:id="10"/>
    </w:p>
    <w:p w:rsidR="00C50A2B" w:rsidRDefault="00C50A2B" w:rsidP="003843C7">
      <w:pPr>
        <w:spacing w:before="0" w:after="0"/>
        <w:jc w:val="center"/>
        <w:rPr>
          <w:b/>
          <w:lang w:eastAsia="en-SG"/>
        </w:rPr>
      </w:pPr>
      <w:r>
        <w:rPr>
          <w:b/>
          <w:lang w:eastAsia="en-SG"/>
        </w:rPr>
        <w:t>HOANG TUAN ANH</w:t>
      </w:r>
    </w:p>
    <w:p w:rsidR="00C50A2B" w:rsidRDefault="00C50A2B" w:rsidP="003843C7">
      <w:pPr>
        <w:spacing w:before="0" w:after="0"/>
        <w:jc w:val="center"/>
        <w:rPr>
          <w:lang w:eastAsia="en-SG"/>
        </w:rPr>
      </w:pPr>
      <w:r>
        <w:rPr>
          <w:lang w:eastAsia="en-SG"/>
        </w:rPr>
        <w:t>Minister of Culture, Sports and Tourism</w:t>
      </w:r>
    </w:p>
    <w:p w:rsidR="00C50A2B" w:rsidRPr="00C50A2B" w:rsidRDefault="00C50A2B" w:rsidP="003843C7">
      <w:pPr>
        <w:jc w:val="center"/>
        <w:rPr>
          <w:lang w:eastAsia="en-SG"/>
        </w:rPr>
      </w:pPr>
    </w:p>
    <w:sectPr w:rsidR="00C50A2B" w:rsidRPr="00C50A2B" w:rsidSect="006D7819">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D7" w:rsidRDefault="00FB68D7">
      <w:pPr>
        <w:spacing w:before="0" w:after="0" w:line="240" w:lineRule="auto"/>
      </w:pPr>
      <w:r>
        <w:separator/>
      </w:r>
    </w:p>
  </w:endnote>
  <w:endnote w:type="continuationSeparator" w:id="0">
    <w:p w:rsidR="00FB68D7" w:rsidRDefault="00FB68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45F5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45F5F">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0F" w:rsidRDefault="00BA7E0F" w:rsidP="006D7819">
    <w:pPr>
      <w:pStyle w:val="Footer"/>
      <w:tabs>
        <w:tab w:val="clear" w:pos="9360"/>
        <w:tab w:val="right" w:pos="8931"/>
      </w:tabs>
      <w:jc w:val="right"/>
    </w:pPr>
  </w:p>
  <w:p w:rsidR="00BA7E0F" w:rsidRPr="00F61B4F" w:rsidRDefault="00BA7E0F"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D7" w:rsidRDefault="00FB68D7">
      <w:pPr>
        <w:spacing w:before="0" w:after="0" w:line="240" w:lineRule="auto"/>
      </w:pPr>
      <w:r>
        <w:separator/>
      </w:r>
    </w:p>
  </w:footnote>
  <w:footnote w:type="continuationSeparator" w:id="0">
    <w:p w:rsidR="00FB68D7" w:rsidRDefault="00FB68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9E" w:rsidRPr="002F2845" w:rsidRDefault="0007749E" w:rsidP="0007749E">
    <w:pPr>
      <w:pStyle w:val="Header"/>
      <w:pBdr>
        <w:bottom w:val="single" w:sz="4" w:space="1" w:color="auto"/>
      </w:pBdr>
      <w:rPr>
        <w:rFonts w:cs="Arial"/>
        <w:bCs/>
        <w:caps/>
        <w:color w:val="808080"/>
        <w:sz w:val="16"/>
        <w:szCs w:val="16"/>
        <w:lang w:val="en-GB"/>
      </w:rPr>
    </w:pPr>
    <w:r w:rsidRPr="002F2845">
      <w:rPr>
        <w:rFonts w:cs="Arial"/>
        <w:bCs/>
        <w:caps/>
        <w:color w:val="808080"/>
        <w:sz w:val="16"/>
        <w:szCs w:val="16"/>
        <w:lang w:val="en-GB"/>
      </w:rPr>
      <w:t xml:space="preserve">2012 </w:t>
    </w:r>
    <w:r w:rsidR="00805AF0" w:rsidRPr="002F2845">
      <w:rPr>
        <w:rFonts w:cs="Arial"/>
        <w:bCs/>
        <w:caps/>
        <w:color w:val="808080"/>
        <w:sz w:val="16"/>
        <w:szCs w:val="16"/>
        <w:lang w:val="en-GB"/>
      </w:rPr>
      <w:t>ASEAN MUTUAL RECOGNITION ARRANGEMENT ON TOURISM PROFESSIONALS</w:t>
    </w:r>
  </w:p>
  <w:p w:rsidR="00BA7E0F" w:rsidRPr="00C46BDA" w:rsidRDefault="00BA7E0F" w:rsidP="006D781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66"/>
    <w:multiLevelType w:val="hybridMultilevel"/>
    <w:tmpl w:val="966654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662D1C"/>
    <w:multiLevelType w:val="hybridMultilevel"/>
    <w:tmpl w:val="977CDF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7717C5"/>
    <w:multiLevelType w:val="hybridMultilevel"/>
    <w:tmpl w:val="35BCD51A"/>
    <w:lvl w:ilvl="0" w:tplc="029C96D6">
      <w:start w:val="1"/>
      <w:numFmt w:val="decimal"/>
      <w:lvlText w:val="7.%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0F41C6"/>
    <w:multiLevelType w:val="hybridMultilevel"/>
    <w:tmpl w:val="2DDE2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54663B"/>
    <w:multiLevelType w:val="hybridMultilevel"/>
    <w:tmpl w:val="85CC74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A580247"/>
    <w:multiLevelType w:val="hybridMultilevel"/>
    <w:tmpl w:val="0A163CD4"/>
    <w:lvl w:ilvl="0" w:tplc="F16C6B34">
      <w:start w:val="1"/>
      <w:numFmt w:val="decimal"/>
      <w:lvlText w:val="5.%1"/>
      <w:lvlJc w:val="left"/>
      <w:pPr>
        <w:ind w:left="360" w:hanging="360"/>
      </w:pPr>
      <w:rPr>
        <w:rFonts w:hint="default"/>
      </w:rPr>
    </w:lvl>
    <w:lvl w:ilvl="1" w:tplc="48090019" w:tentative="1">
      <w:start w:val="1"/>
      <w:numFmt w:val="lowerLetter"/>
      <w:lvlText w:val="%2."/>
      <w:lvlJc w:val="left"/>
      <w:pPr>
        <w:ind w:left="590" w:hanging="360"/>
      </w:pPr>
    </w:lvl>
    <w:lvl w:ilvl="2" w:tplc="4809001B" w:tentative="1">
      <w:start w:val="1"/>
      <w:numFmt w:val="lowerRoman"/>
      <w:lvlText w:val="%3."/>
      <w:lvlJc w:val="right"/>
      <w:pPr>
        <w:ind w:left="1310" w:hanging="180"/>
      </w:pPr>
    </w:lvl>
    <w:lvl w:ilvl="3" w:tplc="4809000F" w:tentative="1">
      <w:start w:val="1"/>
      <w:numFmt w:val="decimal"/>
      <w:lvlText w:val="%4."/>
      <w:lvlJc w:val="left"/>
      <w:pPr>
        <w:ind w:left="2030" w:hanging="360"/>
      </w:pPr>
    </w:lvl>
    <w:lvl w:ilvl="4" w:tplc="48090019" w:tentative="1">
      <w:start w:val="1"/>
      <w:numFmt w:val="lowerLetter"/>
      <w:lvlText w:val="%5."/>
      <w:lvlJc w:val="left"/>
      <w:pPr>
        <w:ind w:left="2750" w:hanging="360"/>
      </w:pPr>
    </w:lvl>
    <w:lvl w:ilvl="5" w:tplc="4809001B" w:tentative="1">
      <w:start w:val="1"/>
      <w:numFmt w:val="lowerRoman"/>
      <w:lvlText w:val="%6."/>
      <w:lvlJc w:val="right"/>
      <w:pPr>
        <w:ind w:left="3470" w:hanging="180"/>
      </w:pPr>
    </w:lvl>
    <w:lvl w:ilvl="6" w:tplc="4809000F" w:tentative="1">
      <w:start w:val="1"/>
      <w:numFmt w:val="decimal"/>
      <w:lvlText w:val="%7."/>
      <w:lvlJc w:val="left"/>
      <w:pPr>
        <w:ind w:left="4190" w:hanging="360"/>
      </w:pPr>
    </w:lvl>
    <w:lvl w:ilvl="7" w:tplc="48090019" w:tentative="1">
      <w:start w:val="1"/>
      <w:numFmt w:val="lowerLetter"/>
      <w:lvlText w:val="%8."/>
      <w:lvlJc w:val="left"/>
      <w:pPr>
        <w:ind w:left="4910" w:hanging="360"/>
      </w:pPr>
    </w:lvl>
    <w:lvl w:ilvl="8" w:tplc="4809001B" w:tentative="1">
      <w:start w:val="1"/>
      <w:numFmt w:val="lowerRoman"/>
      <w:lvlText w:val="%9."/>
      <w:lvlJc w:val="right"/>
      <w:pPr>
        <w:ind w:left="5630" w:hanging="180"/>
      </w:pPr>
    </w:lvl>
  </w:abstractNum>
  <w:abstractNum w:abstractNumId="6" w15:restartNumberingAfterBreak="0">
    <w:nsid w:val="0AA20A6A"/>
    <w:multiLevelType w:val="hybridMultilevel"/>
    <w:tmpl w:val="660680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D7F5548"/>
    <w:multiLevelType w:val="hybridMultilevel"/>
    <w:tmpl w:val="D250C6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F826CF3"/>
    <w:multiLevelType w:val="hybridMultilevel"/>
    <w:tmpl w:val="FB6CE1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E21246"/>
    <w:multiLevelType w:val="multilevel"/>
    <w:tmpl w:val="DAEC3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103228"/>
    <w:multiLevelType w:val="hybridMultilevel"/>
    <w:tmpl w:val="AD4241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49417E"/>
    <w:multiLevelType w:val="hybridMultilevel"/>
    <w:tmpl w:val="94527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8DF3AE0"/>
    <w:multiLevelType w:val="hybridMultilevel"/>
    <w:tmpl w:val="A9CA3F20"/>
    <w:lvl w:ilvl="0" w:tplc="648484C8">
      <w:start w:val="2"/>
      <w:numFmt w:val="upperRoman"/>
      <w:lvlText w:val="5.2.%1"/>
      <w:lvlJc w:val="left"/>
      <w:pPr>
        <w:ind w:left="121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076BE0"/>
    <w:multiLevelType w:val="hybridMultilevel"/>
    <w:tmpl w:val="48E28FCA"/>
    <w:lvl w:ilvl="0" w:tplc="94C245DC">
      <w:start w:val="1"/>
      <w:numFmt w:val="decimal"/>
      <w:lvlText w:val="5.%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B616289"/>
    <w:multiLevelType w:val="hybridMultilevel"/>
    <w:tmpl w:val="71CAE05A"/>
    <w:lvl w:ilvl="0" w:tplc="CE16CFA8">
      <w:start w:val="1"/>
      <w:numFmt w:val="decimal"/>
      <w:lvlText w:val="5.1.%1"/>
      <w:lvlJc w:val="left"/>
      <w:pPr>
        <w:ind w:left="1210" w:hanging="360"/>
      </w:pPr>
      <w:rPr>
        <w:rFonts w:hint="default"/>
      </w:rPr>
    </w:lvl>
    <w:lvl w:ilvl="1" w:tplc="48090019" w:tentative="1">
      <w:start w:val="1"/>
      <w:numFmt w:val="lowerLetter"/>
      <w:lvlText w:val="%2."/>
      <w:lvlJc w:val="left"/>
      <w:pPr>
        <w:ind w:left="2290" w:hanging="360"/>
      </w:pPr>
    </w:lvl>
    <w:lvl w:ilvl="2" w:tplc="4809001B" w:tentative="1">
      <w:start w:val="1"/>
      <w:numFmt w:val="lowerRoman"/>
      <w:lvlText w:val="%3."/>
      <w:lvlJc w:val="right"/>
      <w:pPr>
        <w:ind w:left="3010" w:hanging="180"/>
      </w:pPr>
    </w:lvl>
    <w:lvl w:ilvl="3" w:tplc="4809000F" w:tentative="1">
      <w:start w:val="1"/>
      <w:numFmt w:val="decimal"/>
      <w:lvlText w:val="%4."/>
      <w:lvlJc w:val="left"/>
      <w:pPr>
        <w:ind w:left="3730" w:hanging="360"/>
      </w:pPr>
    </w:lvl>
    <w:lvl w:ilvl="4" w:tplc="48090019" w:tentative="1">
      <w:start w:val="1"/>
      <w:numFmt w:val="lowerLetter"/>
      <w:lvlText w:val="%5."/>
      <w:lvlJc w:val="left"/>
      <w:pPr>
        <w:ind w:left="4450" w:hanging="360"/>
      </w:pPr>
    </w:lvl>
    <w:lvl w:ilvl="5" w:tplc="4809001B" w:tentative="1">
      <w:start w:val="1"/>
      <w:numFmt w:val="lowerRoman"/>
      <w:lvlText w:val="%6."/>
      <w:lvlJc w:val="right"/>
      <w:pPr>
        <w:ind w:left="5170" w:hanging="180"/>
      </w:pPr>
    </w:lvl>
    <w:lvl w:ilvl="6" w:tplc="4809000F" w:tentative="1">
      <w:start w:val="1"/>
      <w:numFmt w:val="decimal"/>
      <w:lvlText w:val="%7."/>
      <w:lvlJc w:val="left"/>
      <w:pPr>
        <w:ind w:left="5890" w:hanging="360"/>
      </w:pPr>
    </w:lvl>
    <w:lvl w:ilvl="7" w:tplc="48090019" w:tentative="1">
      <w:start w:val="1"/>
      <w:numFmt w:val="lowerLetter"/>
      <w:lvlText w:val="%8."/>
      <w:lvlJc w:val="left"/>
      <w:pPr>
        <w:ind w:left="6610" w:hanging="360"/>
      </w:pPr>
    </w:lvl>
    <w:lvl w:ilvl="8" w:tplc="4809001B" w:tentative="1">
      <w:start w:val="1"/>
      <w:numFmt w:val="lowerRoman"/>
      <w:lvlText w:val="%9."/>
      <w:lvlJc w:val="right"/>
      <w:pPr>
        <w:ind w:left="7330" w:hanging="180"/>
      </w:pPr>
    </w:lvl>
  </w:abstractNum>
  <w:abstractNum w:abstractNumId="15" w15:restartNumberingAfterBreak="0">
    <w:nsid w:val="2F4D6582"/>
    <w:multiLevelType w:val="hybridMultilevel"/>
    <w:tmpl w:val="0A7E0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FFF183E"/>
    <w:multiLevelType w:val="hybridMultilevel"/>
    <w:tmpl w:val="6838A876"/>
    <w:lvl w:ilvl="0" w:tplc="609818C4">
      <w:start w:val="3"/>
      <w:numFmt w:val="decimal"/>
      <w:lvlText w:val="5.3.%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416727E"/>
    <w:multiLevelType w:val="hybridMultilevel"/>
    <w:tmpl w:val="1E7CD5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DDB4721"/>
    <w:multiLevelType w:val="hybridMultilevel"/>
    <w:tmpl w:val="CF5C8D20"/>
    <w:lvl w:ilvl="0" w:tplc="A5E4B84C">
      <w:start w:val="2"/>
      <w:numFmt w:val="decimal"/>
      <w:lvlText w:val="5.%1"/>
      <w:lvlJc w:val="left"/>
      <w:pPr>
        <w:ind w:left="360" w:hanging="360"/>
      </w:pPr>
      <w:rPr>
        <w:rFonts w:hint="default"/>
        <w:b w:val="0"/>
      </w:rPr>
    </w:lvl>
    <w:lvl w:ilvl="1" w:tplc="48090019" w:tentative="1">
      <w:start w:val="1"/>
      <w:numFmt w:val="lowerLetter"/>
      <w:lvlText w:val="%2."/>
      <w:lvlJc w:val="left"/>
      <w:pPr>
        <w:ind w:left="590" w:hanging="360"/>
      </w:pPr>
    </w:lvl>
    <w:lvl w:ilvl="2" w:tplc="4809001B" w:tentative="1">
      <w:start w:val="1"/>
      <w:numFmt w:val="lowerRoman"/>
      <w:lvlText w:val="%3."/>
      <w:lvlJc w:val="right"/>
      <w:pPr>
        <w:ind w:left="1310" w:hanging="180"/>
      </w:pPr>
    </w:lvl>
    <w:lvl w:ilvl="3" w:tplc="4809000F" w:tentative="1">
      <w:start w:val="1"/>
      <w:numFmt w:val="decimal"/>
      <w:lvlText w:val="%4."/>
      <w:lvlJc w:val="left"/>
      <w:pPr>
        <w:ind w:left="2030" w:hanging="360"/>
      </w:pPr>
    </w:lvl>
    <w:lvl w:ilvl="4" w:tplc="48090019" w:tentative="1">
      <w:start w:val="1"/>
      <w:numFmt w:val="lowerLetter"/>
      <w:lvlText w:val="%5."/>
      <w:lvlJc w:val="left"/>
      <w:pPr>
        <w:ind w:left="2750" w:hanging="360"/>
      </w:pPr>
    </w:lvl>
    <w:lvl w:ilvl="5" w:tplc="4809001B" w:tentative="1">
      <w:start w:val="1"/>
      <w:numFmt w:val="lowerRoman"/>
      <w:lvlText w:val="%6."/>
      <w:lvlJc w:val="right"/>
      <w:pPr>
        <w:ind w:left="3470" w:hanging="180"/>
      </w:pPr>
    </w:lvl>
    <w:lvl w:ilvl="6" w:tplc="4809000F" w:tentative="1">
      <w:start w:val="1"/>
      <w:numFmt w:val="decimal"/>
      <w:lvlText w:val="%7."/>
      <w:lvlJc w:val="left"/>
      <w:pPr>
        <w:ind w:left="4190" w:hanging="360"/>
      </w:pPr>
    </w:lvl>
    <w:lvl w:ilvl="7" w:tplc="48090019" w:tentative="1">
      <w:start w:val="1"/>
      <w:numFmt w:val="lowerLetter"/>
      <w:lvlText w:val="%8."/>
      <w:lvlJc w:val="left"/>
      <w:pPr>
        <w:ind w:left="4910" w:hanging="360"/>
      </w:pPr>
    </w:lvl>
    <w:lvl w:ilvl="8" w:tplc="4809001B" w:tentative="1">
      <w:start w:val="1"/>
      <w:numFmt w:val="lowerRoman"/>
      <w:lvlText w:val="%9."/>
      <w:lvlJc w:val="right"/>
      <w:pPr>
        <w:ind w:left="5630" w:hanging="180"/>
      </w:pPr>
    </w:lvl>
  </w:abstractNum>
  <w:abstractNum w:abstractNumId="19" w15:restartNumberingAfterBreak="0">
    <w:nsid w:val="3F612D75"/>
    <w:multiLevelType w:val="multilevel"/>
    <w:tmpl w:val="DAEC3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850446"/>
    <w:multiLevelType w:val="multilevel"/>
    <w:tmpl w:val="DAEC3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7F6325"/>
    <w:multiLevelType w:val="hybridMultilevel"/>
    <w:tmpl w:val="9F54F5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9811BAA"/>
    <w:multiLevelType w:val="hybridMultilevel"/>
    <w:tmpl w:val="DA18665C"/>
    <w:lvl w:ilvl="0" w:tplc="CB46F8CE">
      <w:start w:val="1"/>
      <w:numFmt w:val="decimal"/>
      <w:lvlText w:val="9.%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074330A"/>
    <w:multiLevelType w:val="multilevel"/>
    <w:tmpl w:val="BB88EBD2"/>
    <w:lvl w:ilvl="0">
      <w:start w:val="1"/>
      <w:numFmt w:val="decimal"/>
      <w:lvlText w:val="4.%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24" w15:restartNumberingAfterBreak="0">
    <w:nsid w:val="509C33E8"/>
    <w:multiLevelType w:val="hybridMultilevel"/>
    <w:tmpl w:val="E4FC3DC4"/>
    <w:lvl w:ilvl="0" w:tplc="CE16CFA8">
      <w:start w:val="1"/>
      <w:numFmt w:val="decimal"/>
      <w:lvlText w:val="5.1.%1"/>
      <w:lvlJc w:val="left"/>
      <w:pPr>
        <w:ind w:left="1210" w:hanging="360"/>
      </w:pPr>
      <w:rPr>
        <w:rFonts w:hint="default"/>
      </w:rPr>
    </w:lvl>
    <w:lvl w:ilvl="1" w:tplc="48090019" w:tentative="1">
      <w:start w:val="1"/>
      <w:numFmt w:val="lowerLetter"/>
      <w:lvlText w:val="%2."/>
      <w:lvlJc w:val="left"/>
      <w:pPr>
        <w:ind w:left="2290" w:hanging="360"/>
      </w:pPr>
    </w:lvl>
    <w:lvl w:ilvl="2" w:tplc="4809001B" w:tentative="1">
      <w:start w:val="1"/>
      <w:numFmt w:val="lowerRoman"/>
      <w:lvlText w:val="%3."/>
      <w:lvlJc w:val="right"/>
      <w:pPr>
        <w:ind w:left="3010" w:hanging="180"/>
      </w:pPr>
    </w:lvl>
    <w:lvl w:ilvl="3" w:tplc="4809000F" w:tentative="1">
      <w:start w:val="1"/>
      <w:numFmt w:val="decimal"/>
      <w:lvlText w:val="%4."/>
      <w:lvlJc w:val="left"/>
      <w:pPr>
        <w:ind w:left="3730" w:hanging="360"/>
      </w:pPr>
    </w:lvl>
    <w:lvl w:ilvl="4" w:tplc="48090019" w:tentative="1">
      <w:start w:val="1"/>
      <w:numFmt w:val="lowerLetter"/>
      <w:lvlText w:val="%5."/>
      <w:lvlJc w:val="left"/>
      <w:pPr>
        <w:ind w:left="4450" w:hanging="360"/>
      </w:pPr>
    </w:lvl>
    <w:lvl w:ilvl="5" w:tplc="4809001B" w:tentative="1">
      <w:start w:val="1"/>
      <w:numFmt w:val="lowerRoman"/>
      <w:lvlText w:val="%6."/>
      <w:lvlJc w:val="right"/>
      <w:pPr>
        <w:ind w:left="5170" w:hanging="180"/>
      </w:pPr>
    </w:lvl>
    <w:lvl w:ilvl="6" w:tplc="4809000F" w:tentative="1">
      <w:start w:val="1"/>
      <w:numFmt w:val="decimal"/>
      <w:lvlText w:val="%7."/>
      <w:lvlJc w:val="left"/>
      <w:pPr>
        <w:ind w:left="5890" w:hanging="360"/>
      </w:pPr>
    </w:lvl>
    <w:lvl w:ilvl="7" w:tplc="48090019" w:tentative="1">
      <w:start w:val="1"/>
      <w:numFmt w:val="lowerLetter"/>
      <w:lvlText w:val="%8."/>
      <w:lvlJc w:val="left"/>
      <w:pPr>
        <w:ind w:left="6610" w:hanging="360"/>
      </w:pPr>
    </w:lvl>
    <w:lvl w:ilvl="8" w:tplc="4809001B" w:tentative="1">
      <w:start w:val="1"/>
      <w:numFmt w:val="lowerRoman"/>
      <w:lvlText w:val="%9."/>
      <w:lvlJc w:val="right"/>
      <w:pPr>
        <w:ind w:left="7330" w:hanging="180"/>
      </w:pPr>
    </w:lvl>
  </w:abstractNum>
  <w:abstractNum w:abstractNumId="25" w15:restartNumberingAfterBreak="0">
    <w:nsid w:val="52CA55AC"/>
    <w:multiLevelType w:val="multilevel"/>
    <w:tmpl w:val="D892DB4E"/>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D62278"/>
    <w:multiLevelType w:val="hybridMultilevel"/>
    <w:tmpl w:val="1CEA89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3175CA5"/>
    <w:multiLevelType w:val="multilevel"/>
    <w:tmpl w:val="DAEC3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CB6B31"/>
    <w:multiLevelType w:val="hybridMultilevel"/>
    <w:tmpl w:val="0F26A8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74C472A"/>
    <w:multiLevelType w:val="hybridMultilevel"/>
    <w:tmpl w:val="D736B516"/>
    <w:lvl w:ilvl="0" w:tplc="E31C4698">
      <w:start w:val="1"/>
      <w:numFmt w:val="decimal"/>
      <w:lvlText w:val="5.2.%1"/>
      <w:lvlJc w:val="left"/>
      <w:pPr>
        <w:ind w:left="1210" w:hanging="360"/>
      </w:pPr>
      <w:rPr>
        <w:rFonts w:hint="default"/>
      </w:rPr>
    </w:lvl>
    <w:lvl w:ilvl="1" w:tplc="48090019" w:tentative="1">
      <w:start w:val="1"/>
      <w:numFmt w:val="lowerLetter"/>
      <w:lvlText w:val="%2."/>
      <w:lvlJc w:val="left"/>
      <w:pPr>
        <w:ind w:left="2290" w:hanging="360"/>
      </w:pPr>
    </w:lvl>
    <w:lvl w:ilvl="2" w:tplc="4809001B" w:tentative="1">
      <w:start w:val="1"/>
      <w:numFmt w:val="lowerRoman"/>
      <w:lvlText w:val="%3."/>
      <w:lvlJc w:val="right"/>
      <w:pPr>
        <w:ind w:left="3010" w:hanging="180"/>
      </w:pPr>
    </w:lvl>
    <w:lvl w:ilvl="3" w:tplc="4809000F" w:tentative="1">
      <w:start w:val="1"/>
      <w:numFmt w:val="decimal"/>
      <w:lvlText w:val="%4."/>
      <w:lvlJc w:val="left"/>
      <w:pPr>
        <w:ind w:left="3730" w:hanging="360"/>
      </w:pPr>
    </w:lvl>
    <w:lvl w:ilvl="4" w:tplc="48090019" w:tentative="1">
      <w:start w:val="1"/>
      <w:numFmt w:val="lowerLetter"/>
      <w:lvlText w:val="%5."/>
      <w:lvlJc w:val="left"/>
      <w:pPr>
        <w:ind w:left="4450" w:hanging="360"/>
      </w:pPr>
    </w:lvl>
    <w:lvl w:ilvl="5" w:tplc="4809001B" w:tentative="1">
      <w:start w:val="1"/>
      <w:numFmt w:val="lowerRoman"/>
      <w:lvlText w:val="%6."/>
      <w:lvlJc w:val="right"/>
      <w:pPr>
        <w:ind w:left="5170" w:hanging="180"/>
      </w:pPr>
    </w:lvl>
    <w:lvl w:ilvl="6" w:tplc="4809000F" w:tentative="1">
      <w:start w:val="1"/>
      <w:numFmt w:val="decimal"/>
      <w:lvlText w:val="%7."/>
      <w:lvlJc w:val="left"/>
      <w:pPr>
        <w:ind w:left="5890" w:hanging="360"/>
      </w:pPr>
    </w:lvl>
    <w:lvl w:ilvl="7" w:tplc="48090019" w:tentative="1">
      <w:start w:val="1"/>
      <w:numFmt w:val="lowerLetter"/>
      <w:lvlText w:val="%8."/>
      <w:lvlJc w:val="left"/>
      <w:pPr>
        <w:ind w:left="6610" w:hanging="360"/>
      </w:pPr>
    </w:lvl>
    <w:lvl w:ilvl="8" w:tplc="4809001B" w:tentative="1">
      <w:start w:val="1"/>
      <w:numFmt w:val="lowerRoman"/>
      <w:lvlText w:val="%9."/>
      <w:lvlJc w:val="right"/>
      <w:pPr>
        <w:ind w:left="7330" w:hanging="180"/>
      </w:pPr>
    </w:lvl>
  </w:abstractNum>
  <w:abstractNum w:abstractNumId="30" w15:restartNumberingAfterBreak="0">
    <w:nsid w:val="5805067C"/>
    <w:multiLevelType w:val="hybridMultilevel"/>
    <w:tmpl w:val="CD723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1C8739B"/>
    <w:multiLevelType w:val="multilevel"/>
    <w:tmpl w:val="DAEC3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950500"/>
    <w:multiLevelType w:val="multilevel"/>
    <w:tmpl w:val="C5F494CE"/>
    <w:lvl w:ilvl="0">
      <w:start w:val="1"/>
      <w:numFmt w:val="decimal"/>
      <w:lvlText w:val="2.%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33" w15:restartNumberingAfterBreak="0">
    <w:nsid w:val="69C61FF3"/>
    <w:multiLevelType w:val="hybridMultilevel"/>
    <w:tmpl w:val="DA9C4042"/>
    <w:lvl w:ilvl="0" w:tplc="36803A44">
      <w:start w:val="1"/>
      <w:numFmt w:val="decimal"/>
      <w:lvlText w:val="5.%1"/>
      <w:lvlJc w:val="left"/>
      <w:pPr>
        <w:ind w:left="360" w:hanging="360"/>
      </w:pPr>
      <w:rPr>
        <w:rFonts w:hint="default"/>
      </w:rPr>
    </w:lvl>
    <w:lvl w:ilvl="1" w:tplc="48090019" w:tentative="1">
      <w:start w:val="1"/>
      <w:numFmt w:val="lowerLetter"/>
      <w:lvlText w:val="%2."/>
      <w:lvlJc w:val="left"/>
      <w:pPr>
        <w:ind w:left="590" w:hanging="360"/>
      </w:pPr>
    </w:lvl>
    <w:lvl w:ilvl="2" w:tplc="4809001B" w:tentative="1">
      <w:start w:val="1"/>
      <w:numFmt w:val="lowerRoman"/>
      <w:lvlText w:val="%3."/>
      <w:lvlJc w:val="right"/>
      <w:pPr>
        <w:ind w:left="1310" w:hanging="180"/>
      </w:pPr>
    </w:lvl>
    <w:lvl w:ilvl="3" w:tplc="4809000F" w:tentative="1">
      <w:start w:val="1"/>
      <w:numFmt w:val="decimal"/>
      <w:lvlText w:val="%4."/>
      <w:lvlJc w:val="left"/>
      <w:pPr>
        <w:ind w:left="2030" w:hanging="360"/>
      </w:pPr>
    </w:lvl>
    <w:lvl w:ilvl="4" w:tplc="48090019" w:tentative="1">
      <w:start w:val="1"/>
      <w:numFmt w:val="lowerLetter"/>
      <w:lvlText w:val="%5."/>
      <w:lvlJc w:val="left"/>
      <w:pPr>
        <w:ind w:left="2750" w:hanging="360"/>
      </w:pPr>
    </w:lvl>
    <w:lvl w:ilvl="5" w:tplc="4809001B" w:tentative="1">
      <w:start w:val="1"/>
      <w:numFmt w:val="lowerRoman"/>
      <w:lvlText w:val="%6."/>
      <w:lvlJc w:val="right"/>
      <w:pPr>
        <w:ind w:left="3470" w:hanging="180"/>
      </w:pPr>
    </w:lvl>
    <w:lvl w:ilvl="6" w:tplc="4809000F" w:tentative="1">
      <w:start w:val="1"/>
      <w:numFmt w:val="decimal"/>
      <w:lvlText w:val="%7."/>
      <w:lvlJc w:val="left"/>
      <w:pPr>
        <w:ind w:left="4190" w:hanging="360"/>
      </w:pPr>
    </w:lvl>
    <w:lvl w:ilvl="7" w:tplc="48090019" w:tentative="1">
      <w:start w:val="1"/>
      <w:numFmt w:val="lowerLetter"/>
      <w:lvlText w:val="%8."/>
      <w:lvlJc w:val="left"/>
      <w:pPr>
        <w:ind w:left="4910" w:hanging="360"/>
      </w:pPr>
    </w:lvl>
    <w:lvl w:ilvl="8" w:tplc="4809001B" w:tentative="1">
      <w:start w:val="1"/>
      <w:numFmt w:val="lowerRoman"/>
      <w:lvlText w:val="%9."/>
      <w:lvlJc w:val="right"/>
      <w:pPr>
        <w:ind w:left="5630" w:hanging="180"/>
      </w:pPr>
    </w:lvl>
  </w:abstractNum>
  <w:abstractNum w:abstractNumId="34" w15:restartNumberingAfterBreak="0">
    <w:nsid w:val="700549E4"/>
    <w:multiLevelType w:val="hybridMultilevel"/>
    <w:tmpl w:val="DD8869D4"/>
    <w:lvl w:ilvl="0" w:tplc="B73E7D14">
      <w:start w:val="1"/>
      <w:numFmt w:val="decimal"/>
      <w:lvlText w:val="5.3.%1"/>
      <w:lvlJc w:val="left"/>
      <w:pPr>
        <w:ind w:left="1210" w:hanging="360"/>
      </w:pPr>
      <w:rPr>
        <w:rFonts w:hint="default"/>
      </w:rPr>
    </w:lvl>
    <w:lvl w:ilvl="1" w:tplc="48090019" w:tentative="1">
      <w:start w:val="1"/>
      <w:numFmt w:val="lowerLetter"/>
      <w:lvlText w:val="%2."/>
      <w:lvlJc w:val="left"/>
      <w:pPr>
        <w:ind w:left="2290" w:hanging="360"/>
      </w:pPr>
    </w:lvl>
    <w:lvl w:ilvl="2" w:tplc="4809001B" w:tentative="1">
      <w:start w:val="1"/>
      <w:numFmt w:val="lowerRoman"/>
      <w:lvlText w:val="%3."/>
      <w:lvlJc w:val="right"/>
      <w:pPr>
        <w:ind w:left="3010" w:hanging="180"/>
      </w:pPr>
    </w:lvl>
    <w:lvl w:ilvl="3" w:tplc="4809000F" w:tentative="1">
      <w:start w:val="1"/>
      <w:numFmt w:val="decimal"/>
      <w:lvlText w:val="%4."/>
      <w:lvlJc w:val="left"/>
      <w:pPr>
        <w:ind w:left="3730" w:hanging="360"/>
      </w:pPr>
    </w:lvl>
    <w:lvl w:ilvl="4" w:tplc="48090019" w:tentative="1">
      <w:start w:val="1"/>
      <w:numFmt w:val="lowerLetter"/>
      <w:lvlText w:val="%5."/>
      <w:lvlJc w:val="left"/>
      <w:pPr>
        <w:ind w:left="4450" w:hanging="360"/>
      </w:pPr>
    </w:lvl>
    <w:lvl w:ilvl="5" w:tplc="4809001B" w:tentative="1">
      <w:start w:val="1"/>
      <w:numFmt w:val="lowerRoman"/>
      <w:lvlText w:val="%6."/>
      <w:lvlJc w:val="right"/>
      <w:pPr>
        <w:ind w:left="5170" w:hanging="180"/>
      </w:pPr>
    </w:lvl>
    <w:lvl w:ilvl="6" w:tplc="4809000F" w:tentative="1">
      <w:start w:val="1"/>
      <w:numFmt w:val="decimal"/>
      <w:lvlText w:val="%7."/>
      <w:lvlJc w:val="left"/>
      <w:pPr>
        <w:ind w:left="5890" w:hanging="360"/>
      </w:pPr>
    </w:lvl>
    <w:lvl w:ilvl="7" w:tplc="48090019" w:tentative="1">
      <w:start w:val="1"/>
      <w:numFmt w:val="lowerLetter"/>
      <w:lvlText w:val="%8."/>
      <w:lvlJc w:val="left"/>
      <w:pPr>
        <w:ind w:left="6610" w:hanging="360"/>
      </w:pPr>
    </w:lvl>
    <w:lvl w:ilvl="8" w:tplc="4809001B" w:tentative="1">
      <w:start w:val="1"/>
      <w:numFmt w:val="lowerRoman"/>
      <w:lvlText w:val="%9."/>
      <w:lvlJc w:val="right"/>
      <w:pPr>
        <w:ind w:left="7330" w:hanging="180"/>
      </w:pPr>
    </w:lvl>
  </w:abstractNum>
  <w:abstractNum w:abstractNumId="35" w15:restartNumberingAfterBreak="0">
    <w:nsid w:val="71465701"/>
    <w:multiLevelType w:val="hybridMultilevel"/>
    <w:tmpl w:val="02B8A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3D17927"/>
    <w:multiLevelType w:val="hybridMultilevel"/>
    <w:tmpl w:val="3716AF2E"/>
    <w:lvl w:ilvl="0" w:tplc="00505B2A">
      <w:start w:val="1"/>
      <w:numFmt w:val="decimal"/>
      <w:lvlText w:val="8.%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5771E8D"/>
    <w:multiLevelType w:val="hybridMultilevel"/>
    <w:tmpl w:val="8F70479C"/>
    <w:lvl w:ilvl="0" w:tplc="D7CADC0A">
      <w:start w:val="3"/>
      <w:numFmt w:val="decimal"/>
      <w:lvlText w:val="5.%1"/>
      <w:lvlJc w:val="left"/>
      <w:pPr>
        <w:ind w:left="360" w:hanging="360"/>
      </w:pPr>
      <w:rPr>
        <w:rFonts w:hint="default"/>
      </w:rPr>
    </w:lvl>
    <w:lvl w:ilvl="1" w:tplc="48090019" w:tentative="1">
      <w:start w:val="1"/>
      <w:numFmt w:val="lowerLetter"/>
      <w:lvlText w:val="%2."/>
      <w:lvlJc w:val="left"/>
      <w:pPr>
        <w:ind w:left="590" w:hanging="360"/>
      </w:pPr>
    </w:lvl>
    <w:lvl w:ilvl="2" w:tplc="4809001B" w:tentative="1">
      <w:start w:val="1"/>
      <w:numFmt w:val="lowerRoman"/>
      <w:lvlText w:val="%3."/>
      <w:lvlJc w:val="right"/>
      <w:pPr>
        <w:ind w:left="1310" w:hanging="180"/>
      </w:pPr>
    </w:lvl>
    <w:lvl w:ilvl="3" w:tplc="4809000F" w:tentative="1">
      <w:start w:val="1"/>
      <w:numFmt w:val="decimal"/>
      <w:lvlText w:val="%4."/>
      <w:lvlJc w:val="left"/>
      <w:pPr>
        <w:ind w:left="2030" w:hanging="360"/>
      </w:pPr>
    </w:lvl>
    <w:lvl w:ilvl="4" w:tplc="48090019" w:tentative="1">
      <w:start w:val="1"/>
      <w:numFmt w:val="lowerLetter"/>
      <w:lvlText w:val="%5."/>
      <w:lvlJc w:val="left"/>
      <w:pPr>
        <w:ind w:left="2750" w:hanging="360"/>
      </w:pPr>
    </w:lvl>
    <w:lvl w:ilvl="5" w:tplc="4809001B" w:tentative="1">
      <w:start w:val="1"/>
      <w:numFmt w:val="lowerRoman"/>
      <w:lvlText w:val="%6."/>
      <w:lvlJc w:val="right"/>
      <w:pPr>
        <w:ind w:left="3470" w:hanging="180"/>
      </w:pPr>
    </w:lvl>
    <w:lvl w:ilvl="6" w:tplc="4809000F" w:tentative="1">
      <w:start w:val="1"/>
      <w:numFmt w:val="decimal"/>
      <w:lvlText w:val="%7."/>
      <w:lvlJc w:val="left"/>
      <w:pPr>
        <w:ind w:left="4190" w:hanging="360"/>
      </w:pPr>
    </w:lvl>
    <w:lvl w:ilvl="7" w:tplc="48090019" w:tentative="1">
      <w:start w:val="1"/>
      <w:numFmt w:val="lowerLetter"/>
      <w:lvlText w:val="%8."/>
      <w:lvlJc w:val="left"/>
      <w:pPr>
        <w:ind w:left="4910" w:hanging="360"/>
      </w:pPr>
    </w:lvl>
    <w:lvl w:ilvl="8" w:tplc="4809001B" w:tentative="1">
      <w:start w:val="1"/>
      <w:numFmt w:val="lowerRoman"/>
      <w:lvlText w:val="%9."/>
      <w:lvlJc w:val="right"/>
      <w:pPr>
        <w:ind w:left="5630" w:hanging="180"/>
      </w:pPr>
    </w:lvl>
  </w:abstractNum>
  <w:abstractNum w:abstractNumId="38" w15:restartNumberingAfterBreak="0">
    <w:nsid w:val="7BFD7AC8"/>
    <w:multiLevelType w:val="hybridMultilevel"/>
    <w:tmpl w:val="5A4A2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D225322"/>
    <w:multiLevelType w:val="hybridMultilevel"/>
    <w:tmpl w:val="32AC7B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F0F2E03"/>
    <w:multiLevelType w:val="hybridMultilevel"/>
    <w:tmpl w:val="D92E6EF6"/>
    <w:lvl w:ilvl="0" w:tplc="438EF692">
      <w:start w:val="2"/>
      <w:numFmt w:val="decimal"/>
      <w:lvlText w:val="5.2.%1"/>
      <w:lvlJc w:val="left"/>
      <w:pPr>
        <w:ind w:left="121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F3433A1"/>
    <w:multiLevelType w:val="hybridMultilevel"/>
    <w:tmpl w:val="D0B431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F9558A1"/>
    <w:multiLevelType w:val="multilevel"/>
    <w:tmpl w:val="C5F494CE"/>
    <w:lvl w:ilvl="0">
      <w:start w:val="1"/>
      <w:numFmt w:val="decimal"/>
      <w:lvlText w:val="2.%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num w:numId="1">
    <w:abstractNumId w:val="41"/>
  </w:num>
  <w:num w:numId="2">
    <w:abstractNumId w:val="8"/>
  </w:num>
  <w:num w:numId="3">
    <w:abstractNumId w:val="1"/>
  </w:num>
  <w:num w:numId="4">
    <w:abstractNumId w:val="38"/>
  </w:num>
  <w:num w:numId="5">
    <w:abstractNumId w:val="10"/>
  </w:num>
  <w:num w:numId="6">
    <w:abstractNumId w:val="17"/>
  </w:num>
  <w:num w:numId="7">
    <w:abstractNumId w:val="39"/>
  </w:num>
  <w:num w:numId="8">
    <w:abstractNumId w:val="35"/>
  </w:num>
  <w:num w:numId="9">
    <w:abstractNumId w:val="15"/>
  </w:num>
  <w:num w:numId="10">
    <w:abstractNumId w:val="6"/>
  </w:num>
  <w:num w:numId="11">
    <w:abstractNumId w:val="3"/>
  </w:num>
  <w:num w:numId="12">
    <w:abstractNumId w:val="11"/>
  </w:num>
  <w:num w:numId="13">
    <w:abstractNumId w:val="4"/>
  </w:num>
  <w:num w:numId="14">
    <w:abstractNumId w:val="26"/>
  </w:num>
  <w:num w:numId="15">
    <w:abstractNumId w:val="30"/>
  </w:num>
  <w:num w:numId="16">
    <w:abstractNumId w:val="21"/>
  </w:num>
  <w:num w:numId="17">
    <w:abstractNumId w:val="28"/>
  </w:num>
  <w:num w:numId="18">
    <w:abstractNumId w:val="7"/>
  </w:num>
  <w:num w:numId="19">
    <w:abstractNumId w:val="0"/>
  </w:num>
  <w:num w:numId="20">
    <w:abstractNumId w:val="25"/>
  </w:num>
  <w:num w:numId="21">
    <w:abstractNumId w:val="27"/>
  </w:num>
  <w:num w:numId="22">
    <w:abstractNumId w:val="31"/>
  </w:num>
  <w:num w:numId="23">
    <w:abstractNumId w:val="19"/>
  </w:num>
  <w:num w:numId="24">
    <w:abstractNumId w:val="9"/>
  </w:num>
  <w:num w:numId="25">
    <w:abstractNumId w:val="20"/>
  </w:num>
  <w:num w:numId="26">
    <w:abstractNumId w:val="32"/>
  </w:num>
  <w:num w:numId="27">
    <w:abstractNumId w:val="42"/>
  </w:num>
  <w:num w:numId="28">
    <w:abstractNumId w:val="23"/>
  </w:num>
  <w:num w:numId="29">
    <w:abstractNumId w:val="13"/>
  </w:num>
  <w:num w:numId="30">
    <w:abstractNumId w:val="24"/>
  </w:num>
  <w:num w:numId="31">
    <w:abstractNumId w:val="14"/>
  </w:num>
  <w:num w:numId="32">
    <w:abstractNumId w:val="5"/>
  </w:num>
  <w:num w:numId="33">
    <w:abstractNumId w:val="18"/>
  </w:num>
  <w:num w:numId="34">
    <w:abstractNumId w:val="12"/>
  </w:num>
  <w:num w:numId="35">
    <w:abstractNumId w:val="40"/>
  </w:num>
  <w:num w:numId="36">
    <w:abstractNumId w:val="29"/>
  </w:num>
  <w:num w:numId="37">
    <w:abstractNumId w:val="33"/>
  </w:num>
  <w:num w:numId="38">
    <w:abstractNumId w:val="37"/>
  </w:num>
  <w:num w:numId="39">
    <w:abstractNumId w:val="16"/>
  </w:num>
  <w:num w:numId="40">
    <w:abstractNumId w:val="34"/>
  </w:num>
  <w:num w:numId="41">
    <w:abstractNumId w:val="2"/>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19"/>
    <w:rsid w:val="00003CD9"/>
    <w:rsid w:val="0005776D"/>
    <w:rsid w:val="00071865"/>
    <w:rsid w:val="0007749E"/>
    <w:rsid w:val="000C1BC3"/>
    <w:rsid w:val="001404D3"/>
    <w:rsid w:val="001542C8"/>
    <w:rsid w:val="001B74D0"/>
    <w:rsid w:val="00210AE6"/>
    <w:rsid w:val="00227340"/>
    <w:rsid w:val="0024032B"/>
    <w:rsid w:val="002445BF"/>
    <w:rsid w:val="002A696F"/>
    <w:rsid w:val="002F2845"/>
    <w:rsid w:val="00314BA5"/>
    <w:rsid w:val="003227B5"/>
    <w:rsid w:val="00344AA7"/>
    <w:rsid w:val="00372ADE"/>
    <w:rsid w:val="003843C7"/>
    <w:rsid w:val="003850FD"/>
    <w:rsid w:val="0039757E"/>
    <w:rsid w:val="003D383C"/>
    <w:rsid w:val="00431894"/>
    <w:rsid w:val="00515B2A"/>
    <w:rsid w:val="00694560"/>
    <w:rsid w:val="006D7819"/>
    <w:rsid w:val="007A7DB7"/>
    <w:rsid w:val="00805AF0"/>
    <w:rsid w:val="00860EBE"/>
    <w:rsid w:val="008621CB"/>
    <w:rsid w:val="008B320E"/>
    <w:rsid w:val="00904538"/>
    <w:rsid w:val="009533C6"/>
    <w:rsid w:val="009F6601"/>
    <w:rsid w:val="00A601CE"/>
    <w:rsid w:val="00A7090C"/>
    <w:rsid w:val="00A93551"/>
    <w:rsid w:val="00AD6AFF"/>
    <w:rsid w:val="00AF1489"/>
    <w:rsid w:val="00BA7E0F"/>
    <w:rsid w:val="00BC44D2"/>
    <w:rsid w:val="00C50A2B"/>
    <w:rsid w:val="00CB5256"/>
    <w:rsid w:val="00CF54C0"/>
    <w:rsid w:val="00D47C7F"/>
    <w:rsid w:val="00E80DB3"/>
    <w:rsid w:val="00EB4F08"/>
    <w:rsid w:val="00EF1702"/>
    <w:rsid w:val="00F2261F"/>
    <w:rsid w:val="00F45F5F"/>
    <w:rsid w:val="00F90642"/>
    <w:rsid w:val="00FB68D7"/>
    <w:rsid w:val="00FE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86A2"/>
  <w15:chartTrackingRefBased/>
  <w15:docId w15:val="{052DE932-5F00-4704-B69E-D1484737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1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805AF0"/>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D6AFF"/>
    <w:pPr>
      <w:jc w:val="left"/>
      <w:outlineLvl w:val="1"/>
    </w:pPr>
    <w:rPr>
      <w:b/>
      <w:bCs/>
      <w:caps/>
      <w:szCs w:val="26"/>
      <w:lang w:eastAsia="en-SG"/>
    </w:rPr>
  </w:style>
  <w:style w:type="paragraph" w:styleId="Heading3">
    <w:name w:val="heading 3"/>
    <w:basedOn w:val="Normal"/>
    <w:next w:val="Normal"/>
    <w:link w:val="Heading3Char"/>
    <w:autoRedefine/>
    <w:uiPriority w:val="9"/>
    <w:unhideWhenUsed/>
    <w:qFormat/>
    <w:rsid w:val="006D781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5AF0"/>
    <w:rPr>
      <w:rFonts w:ascii="Arial" w:eastAsia="Times New Roman" w:hAnsi="Arial"/>
      <w:b/>
      <w:bCs/>
      <w:caps/>
      <w:sz w:val="28"/>
      <w:szCs w:val="28"/>
      <w:lang w:val="en-US" w:eastAsia="en-US"/>
    </w:rPr>
  </w:style>
  <w:style w:type="character" w:customStyle="1" w:styleId="Heading2Char">
    <w:name w:val="Heading 2 Char"/>
    <w:link w:val="Heading2"/>
    <w:uiPriority w:val="9"/>
    <w:rsid w:val="00AD6AFF"/>
    <w:rPr>
      <w:rFonts w:ascii="Arial" w:hAnsi="Arial"/>
      <w:b/>
      <w:bCs/>
      <w:caps/>
      <w:szCs w:val="26"/>
      <w:lang w:val="en-US"/>
    </w:rPr>
  </w:style>
  <w:style w:type="character" w:customStyle="1" w:styleId="Heading3Char">
    <w:name w:val="Heading 3 Char"/>
    <w:link w:val="Heading3"/>
    <w:uiPriority w:val="9"/>
    <w:rsid w:val="006D7819"/>
    <w:rPr>
      <w:rFonts w:ascii="Arial" w:eastAsia="Calibri" w:hAnsi="Arial" w:cs="Times New Roman"/>
      <w:sz w:val="20"/>
      <w:szCs w:val="20"/>
      <w:u w:val="single"/>
      <w:lang w:val="en-US"/>
    </w:rPr>
  </w:style>
  <w:style w:type="paragraph" w:customStyle="1" w:styleId="CILSubtitle">
    <w:name w:val="CIL Subtitle"/>
    <w:basedOn w:val="Normal"/>
    <w:link w:val="CILSubtitleChar"/>
    <w:autoRedefine/>
    <w:qFormat/>
    <w:rsid w:val="006D7819"/>
    <w:pPr>
      <w:jc w:val="center"/>
    </w:pPr>
    <w:rPr>
      <w:rFonts w:eastAsia="Batang" w:cs="Arial"/>
      <w:i/>
      <w:szCs w:val="24"/>
      <w:lang w:val="en-GB" w:eastAsia="ko-KR"/>
    </w:rPr>
  </w:style>
  <w:style w:type="character" w:customStyle="1" w:styleId="CILSubtitleChar">
    <w:name w:val="CIL Subtitle Char"/>
    <w:link w:val="CILSubtitle"/>
    <w:rsid w:val="006D7819"/>
    <w:rPr>
      <w:rFonts w:ascii="Arial" w:eastAsia="Batang" w:hAnsi="Arial" w:cs="Arial"/>
      <w:i/>
      <w:sz w:val="20"/>
      <w:szCs w:val="24"/>
      <w:lang w:val="en-GB" w:eastAsia="ko-KR"/>
    </w:rPr>
  </w:style>
  <w:style w:type="paragraph" w:customStyle="1" w:styleId="CILTitle">
    <w:name w:val="CIL Title"/>
    <w:basedOn w:val="Normal"/>
    <w:autoRedefine/>
    <w:qFormat/>
    <w:rsid w:val="00EB4F08"/>
    <w:pPr>
      <w:jc w:val="center"/>
    </w:pPr>
    <w:rPr>
      <w:rFonts w:eastAsia="Batang" w:cs="Arial"/>
      <w:b/>
      <w:bCs/>
      <w:caps/>
      <w:kern w:val="32"/>
      <w:sz w:val="28"/>
      <w:szCs w:val="32"/>
      <w:lang w:val="en-GB" w:eastAsia="ko-KR"/>
    </w:rPr>
  </w:style>
  <w:style w:type="paragraph" w:styleId="Header">
    <w:name w:val="header"/>
    <w:basedOn w:val="Normal"/>
    <w:link w:val="HeaderChar"/>
    <w:uiPriority w:val="99"/>
    <w:unhideWhenUsed/>
    <w:rsid w:val="006D7819"/>
    <w:pPr>
      <w:tabs>
        <w:tab w:val="center" w:pos="4680"/>
        <w:tab w:val="right" w:pos="9360"/>
      </w:tabs>
      <w:spacing w:before="0" w:after="0" w:line="240" w:lineRule="auto"/>
    </w:pPr>
  </w:style>
  <w:style w:type="character" w:customStyle="1" w:styleId="HeaderChar">
    <w:name w:val="Header Char"/>
    <w:link w:val="Header"/>
    <w:uiPriority w:val="99"/>
    <w:rsid w:val="006D7819"/>
    <w:rPr>
      <w:rFonts w:ascii="Arial" w:eastAsia="Calibri" w:hAnsi="Arial" w:cs="Times New Roman"/>
      <w:sz w:val="20"/>
      <w:szCs w:val="20"/>
      <w:lang w:val="en-US"/>
    </w:rPr>
  </w:style>
  <w:style w:type="paragraph" w:styleId="Footer">
    <w:name w:val="footer"/>
    <w:basedOn w:val="Normal"/>
    <w:link w:val="FooterChar"/>
    <w:uiPriority w:val="99"/>
    <w:unhideWhenUsed/>
    <w:rsid w:val="006D7819"/>
    <w:pPr>
      <w:tabs>
        <w:tab w:val="center" w:pos="4680"/>
        <w:tab w:val="right" w:pos="9360"/>
      </w:tabs>
      <w:spacing w:before="0" w:after="0" w:line="240" w:lineRule="auto"/>
    </w:pPr>
  </w:style>
  <w:style w:type="character" w:customStyle="1" w:styleId="FooterChar">
    <w:name w:val="Footer Char"/>
    <w:link w:val="Footer"/>
    <w:uiPriority w:val="99"/>
    <w:rsid w:val="006D7819"/>
    <w:rPr>
      <w:rFonts w:ascii="Arial" w:eastAsia="Calibri" w:hAnsi="Arial" w:cs="Times New Roman"/>
      <w:sz w:val="20"/>
      <w:szCs w:val="20"/>
      <w:lang w:val="en-US"/>
    </w:rPr>
  </w:style>
  <w:style w:type="character" w:styleId="Hyperlink">
    <w:name w:val="Hyperlink"/>
    <w:uiPriority w:val="99"/>
    <w:unhideWhenUsed/>
    <w:rsid w:val="006D7819"/>
    <w:rPr>
      <w:color w:val="0000FF"/>
      <w:u w:val="single"/>
    </w:rPr>
  </w:style>
  <w:style w:type="character" w:styleId="CommentReference">
    <w:name w:val="annotation reference"/>
    <w:uiPriority w:val="99"/>
    <w:semiHidden/>
    <w:unhideWhenUsed/>
    <w:rsid w:val="00694560"/>
    <w:rPr>
      <w:sz w:val="16"/>
      <w:szCs w:val="16"/>
    </w:rPr>
  </w:style>
  <w:style w:type="paragraph" w:styleId="CommentText">
    <w:name w:val="annotation text"/>
    <w:basedOn w:val="Normal"/>
    <w:link w:val="CommentTextChar"/>
    <w:uiPriority w:val="99"/>
    <w:semiHidden/>
    <w:unhideWhenUsed/>
    <w:rsid w:val="00694560"/>
  </w:style>
  <w:style w:type="character" w:customStyle="1" w:styleId="CommentTextChar">
    <w:name w:val="Comment Text Char"/>
    <w:link w:val="CommentText"/>
    <w:uiPriority w:val="99"/>
    <w:semiHidden/>
    <w:rsid w:val="0069456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94560"/>
    <w:rPr>
      <w:b/>
      <w:bCs/>
    </w:rPr>
  </w:style>
  <w:style w:type="character" w:customStyle="1" w:styleId="CommentSubjectChar">
    <w:name w:val="Comment Subject Char"/>
    <w:link w:val="CommentSubject"/>
    <w:uiPriority w:val="99"/>
    <w:semiHidden/>
    <w:rsid w:val="00694560"/>
    <w:rPr>
      <w:rFonts w:ascii="Arial" w:hAnsi="Arial"/>
      <w:b/>
      <w:bCs/>
      <w:lang w:val="en-US" w:eastAsia="en-US"/>
    </w:rPr>
  </w:style>
  <w:style w:type="paragraph" w:styleId="BalloonText">
    <w:name w:val="Balloon Text"/>
    <w:basedOn w:val="Normal"/>
    <w:link w:val="BalloonTextChar"/>
    <w:uiPriority w:val="99"/>
    <w:semiHidden/>
    <w:unhideWhenUsed/>
    <w:rsid w:val="0069456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4560"/>
    <w:rPr>
      <w:rFonts w:ascii="Segoe UI" w:hAnsi="Segoe UI" w:cs="Segoe UI"/>
      <w:sz w:val="18"/>
      <w:szCs w:val="18"/>
      <w:lang w:val="en-US" w:eastAsia="en-US"/>
    </w:rPr>
  </w:style>
  <w:style w:type="paragraph" w:styleId="TOCHeading">
    <w:name w:val="TOC Heading"/>
    <w:basedOn w:val="Heading1"/>
    <w:next w:val="Normal"/>
    <w:uiPriority w:val="39"/>
    <w:unhideWhenUsed/>
    <w:qFormat/>
    <w:rsid w:val="00A601CE"/>
    <w:pPr>
      <w:spacing w:after="0" w:line="259" w:lineRule="auto"/>
      <w:jc w:val="left"/>
      <w:outlineLvl w:val="9"/>
    </w:pPr>
    <w:rPr>
      <w:rFonts w:ascii="Calibri Light" w:hAnsi="Calibri Light"/>
      <w:b w:val="0"/>
      <w:bCs w:val="0"/>
      <w:caps w:val="0"/>
      <w:color w:val="2E74B5"/>
      <w:sz w:val="32"/>
      <w:szCs w:val="32"/>
    </w:rPr>
  </w:style>
  <w:style w:type="paragraph" w:styleId="TOC1">
    <w:name w:val="toc 1"/>
    <w:basedOn w:val="Normal"/>
    <w:next w:val="Normal"/>
    <w:autoRedefine/>
    <w:uiPriority w:val="39"/>
    <w:unhideWhenUsed/>
    <w:rsid w:val="00A601CE"/>
  </w:style>
  <w:style w:type="paragraph" w:styleId="TOC2">
    <w:name w:val="toc 2"/>
    <w:basedOn w:val="Normal"/>
    <w:next w:val="Normal"/>
    <w:autoRedefine/>
    <w:uiPriority w:val="39"/>
    <w:unhideWhenUsed/>
    <w:rsid w:val="00A601CE"/>
    <w:pPr>
      <w:ind w:left="200"/>
    </w:pPr>
  </w:style>
  <w:style w:type="paragraph" w:styleId="TOC3">
    <w:name w:val="toc 3"/>
    <w:basedOn w:val="Normal"/>
    <w:next w:val="Normal"/>
    <w:autoRedefine/>
    <w:uiPriority w:val="39"/>
    <w:unhideWhenUsed/>
    <w:rsid w:val="00A601CE"/>
    <w:pPr>
      <w:ind w:left="400"/>
    </w:pPr>
  </w:style>
  <w:style w:type="paragraph" w:styleId="ListParagraph">
    <w:name w:val="List Paragraph"/>
    <w:basedOn w:val="Normal"/>
    <w:uiPriority w:val="34"/>
    <w:qFormat/>
    <w:rsid w:val="00805A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7B07-2C31-463E-98F9-979CDBB1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14908</CharactersWithSpaces>
  <SharedDoc>false</SharedDoc>
  <HLinks>
    <vt:vector size="72" baseType="variant">
      <vt:variant>
        <vt:i4>1114161</vt:i4>
      </vt:variant>
      <vt:variant>
        <vt:i4>56</vt:i4>
      </vt:variant>
      <vt:variant>
        <vt:i4>0</vt:i4>
      </vt:variant>
      <vt:variant>
        <vt:i4>5</vt:i4>
      </vt:variant>
      <vt:variant>
        <vt:lpwstr/>
      </vt:variant>
      <vt:variant>
        <vt:lpwstr>_Toc482805735</vt:lpwstr>
      </vt:variant>
      <vt:variant>
        <vt:i4>1114161</vt:i4>
      </vt:variant>
      <vt:variant>
        <vt:i4>50</vt:i4>
      </vt:variant>
      <vt:variant>
        <vt:i4>0</vt:i4>
      </vt:variant>
      <vt:variant>
        <vt:i4>5</vt:i4>
      </vt:variant>
      <vt:variant>
        <vt:lpwstr/>
      </vt:variant>
      <vt:variant>
        <vt:lpwstr>_Toc482805734</vt:lpwstr>
      </vt:variant>
      <vt:variant>
        <vt:i4>1114161</vt:i4>
      </vt:variant>
      <vt:variant>
        <vt:i4>44</vt:i4>
      </vt:variant>
      <vt:variant>
        <vt:i4>0</vt:i4>
      </vt:variant>
      <vt:variant>
        <vt:i4>5</vt:i4>
      </vt:variant>
      <vt:variant>
        <vt:lpwstr/>
      </vt:variant>
      <vt:variant>
        <vt:lpwstr>_Toc482805733</vt:lpwstr>
      </vt:variant>
      <vt:variant>
        <vt:i4>1114161</vt:i4>
      </vt:variant>
      <vt:variant>
        <vt:i4>38</vt:i4>
      </vt:variant>
      <vt:variant>
        <vt:i4>0</vt:i4>
      </vt:variant>
      <vt:variant>
        <vt:i4>5</vt:i4>
      </vt:variant>
      <vt:variant>
        <vt:lpwstr/>
      </vt:variant>
      <vt:variant>
        <vt:lpwstr>_Toc482805732</vt:lpwstr>
      </vt:variant>
      <vt:variant>
        <vt:i4>1114161</vt:i4>
      </vt:variant>
      <vt:variant>
        <vt:i4>32</vt:i4>
      </vt:variant>
      <vt:variant>
        <vt:i4>0</vt:i4>
      </vt:variant>
      <vt:variant>
        <vt:i4>5</vt:i4>
      </vt:variant>
      <vt:variant>
        <vt:lpwstr/>
      </vt:variant>
      <vt:variant>
        <vt:lpwstr>_Toc482805731</vt:lpwstr>
      </vt:variant>
      <vt:variant>
        <vt:i4>1114161</vt:i4>
      </vt:variant>
      <vt:variant>
        <vt:i4>26</vt:i4>
      </vt:variant>
      <vt:variant>
        <vt:i4>0</vt:i4>
      </vt:variant>
      <vt:variant>
        <vt:i4>5</vt:i4>
      </vt:variant>
      <vt:variant>
        <vt:lpwstr/>
      </vt:variant>
      <vt:variant>
        <vt:lpwstr>_Toc482805730</vt:lpwstr>
      </vt:variant>
      <vt:variant>
        <vt:i4>1048625</vt:i4>
      </vt:variant>
      <vt:variant>
        <vt:i4>20</vt:i4>
      </vt:variant>
      <vt:variant>
        <vt:i4>0</vt:i4>
      </vt:variant>
      <vt:variant>
        <vt:i4>5</vt:i4>
      </vt:variant>
      <vt:variant>
        <vt:lpwstr/>
      </vt:variant>
      <vt:variant>
        <vt:lpwstr>_Toc482805729</vt:lpwstr>
      </vt:variant>
      <vt:variant>
        <vt:i4>1048625</vt:i4>
      </vt:variant>
      <vt:variant>
        <vt:i4>14</vt:i4>
      </vt:variant>
      <vt:variant>
        <vt:i4>0</vt:i4>
      </vt:variant>
      <vt:variant>
        <vt:i4>5</vt:i4>
      </vt:variant>
      <vt:variant>
        <vt:lpwstr/>
      </vt:variant>
      <vt:variant>
        <vt:lpwstr>_Toc482805728</vt:lpwstr>
      </vt:variant>
      <vt:variant>
        <vt:i4>1048625</vt:i4>
      </vt:variant>
      <vt:variant>
        <vt:i4>8</vt:i4>
      </vt:variant>
      <vt:variant>
        <vt:i4>0</vt:i4>
      </vt:variant>
      <vt:variant>
        <vt:i4>5</vt:i4>
      </vt:variant>
      <vt:variant>
        <vt:lpwstr/>
      </vt:variant>
      <vt:variant>
        <vt:lpwstr>_Toc482805727</vt:lpwstr>
      </vt:variant>
      <vt:variant>
        <vt:i4>1048625</vt:i4>
      </vt:variant>
      <vt:variant>
        <vt:i4>2</vt:i4>
      </vt:variant>
      <vt:variant>
        <vt:i4>0</vt:i4>
      </vt:variant>
      <vt:variant>
        <vt:i4>5</vt:i4>
      </vt:variant>
      <vt:variant>
        <vt:lpwstr/>
      </vt:variant>
      <vt:variant>
        <vt:lpwstr>_Toc482805726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Lee Jie Yi, Gracia</cp:lastModifiedBy>
  <cp:revision>5</cp:revision>
  <cp:lastPrinted>2018-07-06T05:53:00Z</cp:lastPrinted>
  <dcterms:created xsi:type="dcterms:W3CDTF">2018-07-06T04:07:00Z</dcterms:created>
  <dcterms:modified xsi:type="dcterms:W3CDTF">2018-07-06T05:53:00Z</dcterms:modified>
</cp:coreProperties>
</file>