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25CC5" w:rsidP="002C526C">
      <w:pPr>
        <w:pStyle w:val="CILTitle"/>
      </w:pPr>
      <w:r>
        <w:t>2014</w:t>
      </w:r>
      <w:r w:rsidR="0022611E">
        <w:t>-2016</w:t>
      </w:r>
      <w:r>
        <w:t xml:space="preserve"> ASEAN Defence Ministers</w:t>
      </w:r>
      <w:r w:rsidR="00486F01">
        <w:t>’</w:t>
      </w:r>
      <w:r w:rsidR="00153419">
        <w:t xml:space="preserve"> Meeting Three-Year-</w:t>
      </w:r>
      <w:r>
        <w:t>Work P</w:t>
      </w:r>
      <w:r w:rsidR="00486F01">
        <w:t>ROGRAMME</w:t>
      </w:r>
    </w:p>
    <w:p w:rsidR="00F25CC5" w:rsidRDefault="00F25CC5" w:rsidP="002C526C">
      <w:pPr>
        <w:pStyle w:val="CILSubtitle"/>
      </w:pPr>
      <w:r>
        <w:t>Adopt</w:t>
      </w:r>
      <w:r w:rsidR="007D2479">
        <w:t xml:space="preserve">ed in Nay </w:t>
      </w:r>
      <w:proofErr w:type="spellStart"/>
      <w:r w:rsidR="007D2479">
        <w:t>Pyi</w:t>
      </w:r>
      <w:proofErr w:type="spellEnd"/>
      <w:r w:rsidR="007D2479">
        <w:t xml:space="preserve"> Taw, Myanmar on 21</w:t>
      </w:r>
      <w:bookmarkStart w:id="0" w:name="_GoBack"/>
      <w:bookmarkEnd w:id="0"/>
      <w:r>
        <w:t xml:space="preserve"> May 2014</w:t>
      </w:r>
    </w:p>
    <w:p w:rsidR="00E457A4" w:rsidRDefault="00E457A4" w:rsidP="002C526C">
      <w:pPr>
        <w:pStyle w:val="CILSubtitle"/>
        <w:jc w:val="both"/>
      </w:pPr>
    </w:p>
    <w:p w:rsidR="00E457A4" w:rsidRDefault="00E457A4" w:rsidP="002C526C">
      <w:pPr>
        <w:numPr>
          <w:ilvl w:val="0"/>
          <w:numId w:val="2"/>
        </w:numPr>
      </w:pPr>
      <w:r>
        <w:t xml:space="preserve">The "ASEAN </w:t>
      </w:r>
      <w:proofErr w:type="spellStart"/>
      <w:r>
        <w:t>Defence</w:t>
      </w:r>
      <w:proofErr w:type="spellEnd"/>
      <w:r>
        <w:t xml:space="preserve"> Ministers' Meeting (ADMM) Three-Year-Work </w:t>
      </w:r>
      <w:proofErr w:type="spellStart"/>
      <w:r>
        <w:t>Programme</w:t>
      </w:r>
      <w:proofErr w:type="spellEnd"/>
      <w:r>
        <w:t xml:space="preserve">" shall hold ASEAN's principles including the whole principles that are stipulated on ASEAN Political Security Community (APSC) Blueprint, the ADMM concept paper and the series of ADMM-Plus papers. </w:t>
      </w:r>
    </w:p>
    <w:p w:rsidR="00E457A4" w:rsidRDefault="00E457A4" w:rsidP="002C526C">
      <w:pPr>
        <w:numPr>
          <w:ilvl w:val="0"/>
          <w:numId w:val="2"/>
        </w:numPr>
      </w:pPr>
      <w:r>
        <w:t xml:space="preserve">Most of the programmes in this ADMM Three-Year Work </w:t>
      </w:r>
      <w:proofErr w:type="spellStart"/>
      <w:r>
        <w:t>Programme</w:t>
      </w:r>
      <w:proofErr w:type="spellEnd"/>
      <w:r>
        <w:t xml:space="preserve"> are the continuation of the previous Three-Year-Work </w:t>
      </w:r>
      <w:proofErr w:type="spellStart"/>
      <w:r>
        <w:t>Programme</w:t>
      </w:r>
      <w:proofErr w:type="spellEnd"/>
      <w:r>
        <w:t xml:space="preserve"> 2011-2013 with some new programmes and action lines added. There are a number of programmes that are similar to the previous ones. </w:t>
      </w:r>
    </w:p>
    <w:p w:rsidR="00E457A4" w:rsidRDefault="00E457A4" w:rsidP="002C526C">
      <w:pPr>
        <w:numPr>
          <w:ilvl w:val="0"/>
          <w:numId w:val="2"/>
        </w:numPr>
      </w:pPr>
      <w:r>
        <w:t xml:space="preserve">The main objectives of this Work </w:t>
      </w:r>
      <w:proofErr w:type="spellStart"/>
      <w:r>
        <w:t>Programme</w:t>
      </w:r>
      <w:proofErr w:type="spellEnd"/>
      <w:r>
        <w:t xml:space="preserve"> are to maintain the momentum and to consolidate the </w:t>
      </w:r>
      <w:proofErr w:type="spellStart"/>
      <w:r>
        <w:t>defence</w:t>
      </w:r>
      <w:proofErr w:type="spellEnd"/>
      <w:r>
        <w:t xml:space="preserve"> cooperation process that contributes to regional stabilities and effective humanitarian assistance and disaster relief (HADR) operations. </w:t>
      </w:r>
    </w:p>
    <w:p w:rsidR="00F25CC5" w:rsidRDefault="00E457A4" w:rsidP="002C526C">
      <w:pPr>
        <w:numPr>
          <w:ilvl w:val="0"/>
          <w:numId w:val="2"/>
        </w:numPr>
      </w:pPr>
      <w:r>
        <w:t xml:space="preserve">The </w:t>
      </w:r>
      <w:proofErr w:type="spellStart"/>
      <w:r>
        <w:t>Programme</w:t>
      </w:r>
      <w:proofErr w:type="spellEnd"/>
      <w:r>
        <w:t xml:space="preserve"> is as follow:</w:t>
      </w:r>
    </w:p>
    <w:p w:rsidR="00684886" w:rsidRDefault="00684886" w:rsidP="002C526C"/>
    <w:p w:rsidR="00E457A4" w:rsidRDefault="00E457A4" w:rsidP="002C526C">
      <w:pPr>
        <w:pStyle w:val="Heading1"/>
        <w:spacing w:after="120"/>
      </w:pPr>
      <w:r>
        <w:t>ASEAN Defence Ministers’ Meeting (ADMM) Three-Year Work Programme 2014-2016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64"/>
        <w:gridCol w:w="2271"/>
        <w:gridCol w:w="2251"/>
      </w:tblGrid>
      <w:tr w:rsidR="007A28FF" w:rsidTr="007A28FF">
        <w:tc>
          <w:tcPr>
            <w:tcW w:w="2310" w:type="dxa"/>
            <w:shd w:val="clear" w:color="auto" w:fill="auto"/>
          </w:tcPr>
          <w:p w:rsidR="00E457A4" w:rsidRDefault="00E457A4" w:rsidP="002C526C">
            <w:r>
              <w:t>Component</w:t>
            </w:r>
          </w:p>
        </w:tc>
        <w:tc>
          <w:tcPr>
            <w:tcW w:w="2311" w:type="dxa"/>
            <w:shd w:val="clear" w:color="auto" w:fill="auto"/>
          </w:tcPr>
          <w:p w:rsidR="00E457A4" w:rsidRDefault="00E457A4" w:rsidP="002C526C">
            <w:r>
              <w:t>Program</w:t>
            </w:r>
          </w:p>
        </w:tc>
        <w:tc>
          <w:tcPr>
            <w:tcW w:w="2311" w:type="dxa"/>
            <w:shd w:val="clear" w:color="auto" w:fill="auto"/>
          </w:tcPr>
          <w:p w:rsidR="00E457A4" w:rsidRDefault="00E457A4" w:rsidP="002C526C">
            <w:r>
              <w:t>Action Line</w:t>
            </w:r>
          </w:p>
        </w:tc>
        <w:tc>
          <w:tcPr>
            <w:tcW w:w="2311" w:type="dxa"/>
            <w:shd w:val="clear" w:color="auto" w:fill="auto"/>
          </w:tcPr>
          <w:p w:rsidR="00E457A4" w:rsidRDefault="00E457A4" w:rsidP="002C526C">
            <w:r>
              <w:t>Desired Outcomes</w:t>
            </w:r>
          </w:p>
        </w:tc>
      </w:tr>
      <w:tr w:rsidR="007A28FF" w:rsidTr="007A28FF">
        <w:trPr>
          <w:trHeight w:val="3075"/>
        </w:trPr>
        <w:tc>
          <w:tcPr>
            <w:tcW w:w="2310" w:type="dxa"/>
            <w:vMerge w:val="restart"/>
            <w:shd w:val="clear" w:color="auto" w:fill="auto"/>
          </w:tcPr>
          <w:p w:rsidR="002F197A" w:rsidRDefault="002F197A" w:rsidP="002C526C">
            <w:r>
              <w:t xml:space="preserve">1. Strengthen Regional </w:t>
            </w:r>
            <w:proofErr w:type="spellStart"/>
            <w:r>
              <w:t>Defence</w:t>
            </w:r>
            <w:proofErr w:type="spellEnd"/>
            <w:r>
              <w:t xml:space="preserve"> and Security Cooperation</w:t>
            </w:r>
          </w:p>
        </w:tc>
        <w:tc>
          <w:tcPr>
            <w:tcW w:w="2311" w:type="dxa"/>
            <w:vMerge w:val="restart"/>
            <w:shd w:val="clear" w:color="auto" w:fill="auto"/>
          </w:tcPr>
          <w:p w:rsidR="002F197A" w:rsidRDefault="002F197A" w:rsidP="002C526C">
            <w:r>
              <w:t xml:space="preserve">1.1 Improve the understanding of national </w:t>
            </w:r>
            <w:proofErr w:type="spellStart"/>
            <w:r>
              <w:t>defence</w:t>
            </w:r>
            <w:proofErr w:type="spellEnd"/>
            <w:r>
              <w:t xml:space="preserve"> and security policies and their development</w:t>
            </w:r>
          </w:p>
        </w:tc>
        <w:tc>
          <w:tcPr>
            <w:tcW w:w="2311" w:type="dxa"/>
            <w:shd w:val="clear" w:color="auto" w:fill="auto"/>
          </w:tcPr>
          <w:p w:rsidR="002F197A" w:rsidRDefault="002F197A" w:rsidP="002C526C">
            <w:r>
              <w:t xml:space="preserve">1.1.1 Share information through voluntary briefings or exchanges of national </w:t>
            </w:r>
            <w:proofErr w:type="spellStart"/>
            <w:r>
              <w:t>defence</w:t>
            </w:r>
            <w:proofErr w:type="spellEnd"/>
            <w:r>
              <w:t xml:space="preserve"> and security policies and developments, including dissemination of such information to </w:t>
            </w:r>
            <w:proofErr w:type="spellStart"/>
            <w:r>
              <w:t>defence</w:t>
            </w:r>
            <w:proofErr w:type="spellEnd"/>
            <w:r>
              <w:t xml:space="preserve"> universities, military academies, staff colleges, think tanks and similar institutions </w:t>
            </w:r>
          </w:p>
        </w:tc>
        <w:tc>
          <w:tcPr>
            <w:tcW w:w="2311" w:type="dxa"/>
            <w:shd w:val="clear" w:color="auto" w:fill="auto"/>
          </w:tcPr>
          <w:p w:rsidR="002F197A" w:rsidRDefault="002F197A" w:rsidP="002C526C">
            <w:r>
              <w:t xml:space="preserve">- Greater transparency and understating of the </w:t>
            </w:r>
            <w:proofErr w:type="spellStart"/>
            <w:r>
              <w:t>defence</w:t>
            </w:r>
            <w:proofErr w:type="spellEnd"/>
            <w:r>
              <w:t xml:space="preserve"> policies and security perceptions.</w:t>
            </w:r>
          </w:p>
          <w:p w:rsidR="002F197A" w:rsidRDefault="002F197A" w:rsidP="002C526C">
            <w:r>
              <w:t>- Inputs for the ASEAN Security Outlook (ASO)</w:t>
            </w:r>
          </w:p>
          <w:p w:rsidR="002F197A" w:rsidRDefault="002F197A" w:rsidP="002C526C">
            <w:r>
              <w:t>- Active participation in the ASEA Maritime Forum (AMF) and the Expanded AMF.</w:t>
            </w:r>
          </w:p>
          <w:p w:rsidR="002F197A" w:rsidRDefault="002F197A" w:rsidP="002C526C"/>
        </w:tc>
      </w:tr>
      <w:tr w:rsidR="007A28FF" w:rsidTr="007A28FF">
        <w:trPr>
          <w:trHeight w:val="3075"/>
        </w:trPr>
        <w:tc>
          <w:tcPr>
            <w:tcW w:w="2310" w:type="dxa"/>
            <w:vMerge/>
            <w:shd w:val="clear" w:color="auto" w:fill="auto"/>
          </w:tcPr>
          <w:p w:rsidR="002F197A" w:rsidRDefault="002F197A" w:rsidP="002C526C"/>
        </w:tc>
        <w:tc>
          <w:tcPr>
            <w:tcW w:w="2311" w:type="dxa"/>
            <w:vMerge/>
            <w:shd w:val="clear" w:color="auto" w:fill="auto"/>
          </w:tcPr>
          <w:p w:rsidR="002F197A" w:rsidRDefault="002F197A" w:rsidP="002C526C"/>
        </w:tc>
        <w:tc>
          <w:tcPr>
            <w:tcW w:w="2311" w:type="dxa"/>
            <w:shd w:val="clear" w:color="auto" w:fill="auto"/>
          </w:tcPr>
          <w:p w:rsidR="002F197A" w:rsidRDefault="002F197A" w:rsidP="002C526C">
            <w:r>
              <w:t xml:space="preserve">1.1.2 Hold civil-military relations’ events including </w:t>
            </w:r>
            <w:proofErr w:type="spellStart"/>
            <w:r>
              <w:t>organising</w:t>
            </w:r>
            <w:proofErr w:type="spellEnd"/>
            <w:r>
              <w:t xml:space="preserve"> of conferences, workshops and seminars on </w:t>
            </w:r>
            <w:proofErr w:type="spellStart"/>
            <w:r>
              <w:t>defence</w:t>
            </w:r>
            <w:proofErr w:type="spellEnd"/>
            <w:r>
              <w:t xml:space="preserve"> and security issues/challenges</w:t>
            </w:r>
          </w:p>
        </w:tc>
        <w:tc>
          <w:tcPr>
            <w:tcW w:w="2311" w:type="dxa"/>
            <w:shd w:val="clear" w:color="auto" w:fill="auto"/>
          </w:tcPr>
          <w:p w:rsidR="002F197A" w:rsidRDefault="002F197A" w:rsidP="002C526C">
            <w:r>
              <w:t xml:space="preserve">- Supporting and networking with other </w:t>
            </w:r>
            <w:proofErr w:type="spellStart"/>
            <w:r>
              <w:t>defence</w:t>
            </w:r>
            <w:proofErr w:type="spellEnd"/>
            <w:r>
              <w:t xml:space="preserve"> stakeholders</w:t>
            </w:r>
          </w:p>
        </w:tc>
      </w:tr>
      <w:tr w:rsidR="007A28FF" w:rsidTr="007A28FF">
        <w:tc>
          <w:tcPr>
            <w:tcW w:w="2310" w:type="dxa"/>
            <w:shd w:val="clear" w:color="auto" w:fill="auto"/>
          </w:tcPr>
          <w:p w:rsidR="00E457A4" w:rsidRDefault="00E457A4" w:rsidP="002C526C">
            <w:r>
              <w:lastRenderedPageBreak/>
              <w:br w:type="page"/>
            </w:r>
          </w:p>
        </w:tc>
        <w:tc>
          <w:tcPr>
            <w:tcW w:w="2311" w:type="dxa"/>
            <w:shd w:val="clear" w:color="auto" w:fill="auto"/>
          </w:tcPr>
          <w:p w:rsidR="00E457A4" w:rsidRDefault="00850616" w:rsidP="002C526C">
            <w:r>
              <w:t xml:space="preserve">1.2 Deepen the understanding of the role of </w:t>
            </w:r>
            <w:proofErr w:type="spellStart"/>
            <w:r>
              <w:t>defence</w:t>
            </w:r>
            <w:proofErr w:type="spellEnd"/>
            <w:r>
              <w:t xml:space="preserve"> institutions and the capabilities of individual ASEAN Member State.</w:t>
            </w:r>
          </w:p>
        </w:tc>
        <w:tc>
          <w:tcPr>
            <w:tcW w:w="2311" w:type="dxa"/>
            <w:shd w:val="clear" w:color="auto" w:fill="auto"/>
          </w:tcPr>
          <w:p w:rsidR="00E457A4" w:rsidRDefault="00850616" w:rsidP="002C526C">
            <w:r>
              <w:t xml:space="preserve">1.2.1 Hold track 1.5 </w:t>
            </w:r>
            <w:proofErr w:type="spellStart"/>
            <w:r>
              <w:t>defence</w:t>
            </w:r>
            <w:proofErr w:type="spellEnd"/>
            <w:r>
              <w:t xml:space="preserve"> forum on the role of </w:t>
            </w:r>
            <w:proofErr w:type="spellStart"/>
            <w:r>
              <w:t>defence</w:t>
            </w:r>
            <w:proofErr w:type="spellEnd"/>
            <w:r>
              <w:t xml:space="preserve"> forces/institutions through close engagement with track 2, especially that of the Network of ASEAN </w:t>
            </w:r>
            <w:proofErr w:type="spellStart"/>
            <w:r>
              <w:t>Defence</w:t>
            </w:r>
            <w:proofErr w:type="spellEnd"/>
            <w:r>
              <w:t xml:space="preserve"> and Security Institutions (NADI)</w:t>
            </w:r>
          </w:p>
        </w:tc>
        <w:tc>
          <w:tcPr>
            <w:tcW w:w="2311" w:type="dxa"/>
            <w:shd w:val="clear" w:color="auto" w:fill="auto"/>
          </w:tcPr>
          <w:p w:rsidR="00E457A4" w:rsidRDefault="00850616" w:rsidP="002C526C">
            <w:r>
              <w:t xml:space="preserve">- Formulating military to military venue to render material as well as moral supports while upholding the essence of the Treaty of Amity and Cooperation (TAC) and the ASEAN Charter. </w:t>
            </w:r>
          </w:p>
        </w:tc>
      </w:tr>
      <w:tr w:rsidR="007A28FF" w:rsidTr="007A28FF">
        <w:tc>
          <w:tcPr>
            <w:tcW w:w="2310" w:type="dxa"/>
            <w:shd w:val="clear" w:color="auto" w:fill="auto"/>
          </w:tcPr>
          <w:p w:rsidR="00E457A4" w:rsidRDefault="00E457A4" w:rsidP="002C526C"/>
        </w:tc>
        <w:tc>
          <w:tcPr>
            <w:tcW w:w="2311" w:type="dxa"/>
            <w:shd w:val="clear" w:color="auto" w:fill="auto"/>
          </w:tcPr>
          <w:p w:rsidR="00E457A4" w:rsidRDefault="00850616" w:rsidP="002C526C">
            <w:r>
              <w:t>1.3 Establish a Direct Communications Link (DCL) in the ADMM process.</w:t>
            </w:r>
          </w:p>
        </w:tc>
        <w:tc>
          <w:tcPr>
            <w:tcW w:w="2311" w:type="dxa"/>
            <w:shd w:val="clear" w:color="auto" w:fill="auto"/>
          </w:tcPr>
          <w:p w:rsidR="00E457A4" w:rsidRDefault="00850616" w:rsidP="002C526C">
            <w:r>
              <w:t>1.3.1 Implement the process of establishing a DCL in the ADMM process.</w:t>
            </w:r>
          </w:p>
          <w:p w:rsidR="00850616" w:rsidRDefault="00850616" w:rsidP="002C526C">
            <w:r>
              <w:t>1.3.2 Conduct Table-Top Exercise (TTX) to test the DCL.</w:t>
            </w:r>
          </w:p>
          <w:p w:rsidR="00850616" w:rsidRDefault="00850616" w:rsidP="002C526C">
            <w:r>
              <w:t>1.3.3 Work on the widening of the DCL with the Plus countries.</w:t>
            </w:r>
          </w:p>
        </w:tc>
        <w:tc>
          <w:tcPr>
            <w:tcW w:w="2311" w:type="dxa"/>
            <w:shd w:val="clear" w:color="auto" w:fill="auto"/>
          </w:tcPr>
          <w:p w:rsidR="00E457A4" w:rsidRDefault="00850616" w:rsidP="002C526C">
            <w:r>
              <w:t>- Promote and enhance confidence and security building within the ADMM process.</w:t>
            </w:r>
          </w:p>
        </w:tc>
      </w:tr>
      <w:tr w:rsidR="007A28FF" w:rsidTr="007A28FF">
        <w:trPr>
          <w:trHeight w:val="2664"/>
        </w:trPr>
        <w:tc>
          <w:tcPr>
            <w:tcW w:w="2310" w:type="dxa"/>
            <w:tcBorders>
              <w:bottom w:val="single" w:sz="4" w:space="0" w:color="auto"/>
            </w:tcBorders>
            <w:shd w:val="clear" w:color="auto" w:fill="auto"/>
          </w:tcPr>
          <w:p w:rsidR="00684886" w:rsidRDefault="00684886" w:rsidP="002C526C">
            <w:r>
              <w:t xml:space="preserve">2. Enhance existing practical cooperation and develop possible cooperation in </w:t>
            </w:r>
            <w:proofErr w:type="spellStart"/>
            <w:r>
              <w:t>defence</w:t>
            </w:r>
            <w:proofErr w:type="spellEnd"/>
            <w:r>
              <w:t xml:space="preserve"> and security</w:t>
            </w:r>
          </w:p>
        </w:tc>
        <w:tc>
          <w:tcPr>
            <w:tcW w:w="2311" w:type="dxa"/>
            <w:tcBorders>
              <w:bottom w:val="single" w:sz="4" w:space="0" w:color="auto"/>
            </w:tcBorders>
            <w:shd w:val="clear" w:color="auto" w:fill="auto"/>
          </w:tcPr>
          <w:p w:rsidR="00684886" w:rsidRDefault="00684886" w:rsidP="002C526C">
            <w:r>
              <w:t xml:space="preserve">2.1 Implement the existing practical cooperation programs in </w:t>
            </w:r>
            <w:proofErr w:type="spellStart"/>
            <w:r>
              <w:t>defence</w:t>
            </w:r>
            <w:proofErr w:type="spellEnd"/>
            <w:r>
              <w:t xml:space="preserve"> and security</w:t>
            </w:r>
          </w:p>
        </w:tc>
        <w:tc>
          <w:tcPr>
            <w:tcW w:w="2311" w:type="dxa"/>
            <w:tcBorders>
              <w:bottom w:val="single" w:sz="4" w:space="0" w:color="auto"/>
            </w:tcBorders>
            <w:shd w:val="clear" w:color="auto" w:fill="auto"/>
          </w:tcPr>
          <w:p w:rsidR="00684886" w:rsidRDefault="00684886" w:rsidP="002C526C">
            <w:r>
              <w:t xml:space="preserve">2.1.1 Develop further existing practical cooperation including on the issues of HADR, civil-military cooperation and </w:t>
            </w:r>
            <w:proofErr w:type="spellStart"/>
            <w:r>
              <w:t>defence</w:t>
            </w:r>
            <w:proofErr w:type="spellEnd"/>
            <w:r>
              <w:t xml:space="preserve"> industries through the ASEAN </w:t>
            </w:r>
            <w:proofErr w:type="spellStart"/>
            <w:r>
              <w:t>Defence</w:t>
            </w:r>
            <w:proofErr w:type="spellEnd"/>
            <w:r>
              <w:t xml:space="preserve"> Industry Collaboration (ADIC)</w:t>
            </w:r>
          </w:p>
          <w:p w:rsidR="00684886" w:rsidRDefault="00684886" w:rsidP="002C526C"/>
        </w:tc>
        <w:tc>
          <w:tcPr>
            <w:tcW w:w="2311" w:type="dxa"/>
            <w:tcBorders>
              <w:bottom w:val="single" w:sz="4" w:space="0" w:color="auto"/>
            </w:tcBorders>
            <w:shd w:val="clear" w:color="auto" w:fill="auto"/>
          </w:tcPr>
          <w:p w:rsidR="00684886" w:rsidRDefault="00684886" w:rsidP="002C526C">
            <w:r>
              <w:t>- Capacity building programs and technical cooperation.</w:t>
            </w:r>
          </w:p>
          <w:p w:rsidR="00684886" w:rsidRDefault="00684886" w:rsidP="002C526C"/>
        </w:tc>
      </w:tr>
      <w:tr w:rsidR="007A28FF" w:rsidTr="007A28FF">
        <w:trPr>
          <w:trHeight w:val="2662"/>
        </w:trPr>
        <w:tc>
          <w:tcPr>
            <w:tcW w:w="2310" w:type="dxa"/>
            <w:tcBorders>
              <w:bottom w:val="nil"/>
            </w:tcBorders>
            <w:shd w:val="clear" w:color="auto" w:fill="auto"/>
          </w:tcPr>
          <w:p w:rsidR="00684886" w:rsidRDefault="00684886" w:rsidP="002C526C"/>
        </w:tc>
        <w:tc>
          <w:tcPr>
            <w:tcW w:w="2311" w:type="dxa"/>
            <w:tcBorders>
              <w:bottom w:val="nil"/>
            </w:tcBorders>
            <w:shd w:val="clear" w:color="auto" w:fill="auto"/>
          </w:tcPr>
          <w:p w:rsidR="00684886" w:rsidRDefault="00684886" w:rsidP="002C526C"/>
        </w:tc>
        <w:tc>
          <w:tcPr>
            <w:tcW w:w="2311" w:type="dxa"/>
            <w:tcBorders>
              <w:bottom w:val="nil"/>
            </w:tcBorders>
            <w:shd w:val="clear" w:color="auto" w:fill="auto"/>
          </w:tcPr>
          <w:p w:rsidR="00684886" w:rsidRDefault="00684886" w:rsidP="002C526C">
            <w:r>
              <w:t xml:space="preserve">2.1.2 Develop possible exchange of military officials, consultation about various regional </w:t>
            </w:r>
            <w:proofErr w:type="spellStart"/>
            <w:r>
              <w:t>defence</w:t>
            </w:r>
            <w:proofErr w:type="spellEnd"/>
            <w:r>
              <w:t xml:space="preserve"> and security matters, as well as military visits between ASEAN Member States.</w:t>
            </w:r>
          </w:p>
          <w:p w:rsidR="00684886" w:rsidRDefault="00684886" w:rsidP="002C526C"/>
        </w:tc>
        <w:tc>
          <w:tcPr>
            <w:tcW w:w="2311" w:type="dxa"/>
            <w:tcBorders>
              <w:bottom w:val="nil"/>
            </w:tcBorders>
            <w:shd w:val="clear" w:color="auto" w:fill="auto"/>
          </w:tcPr>
          <w:p w:rsidR="00684886" w:rsidRDefault="00684886" w:rsidP="002C526C">
            <w:r>
              <w:t xml:space="preserve">-Closer cooperation and networks among </w:t>
            </w:r>
            <w:proofErr w:type="spellStart"/>
            <w:r>
              <w:t>defence</w:t>
            </w:r>
            <w:proofErr w:type="spellEnd"/>
            <w:r>
              <w:t xml:space="preserve"> and institutions</w:t>
            </w:r>
          </w:p>
          <w:p w:rsidR="00684886" w:rsidRDefault="00684886" w:rsidP="002C526C"/>
        </w:tc>
      </w:tr>
      <w:tr w:rsidR="007A28FF" w:rsidTr="007A28FF">
        <w:trPr>
          <w:trHeight w:val="2662"/>
        </w:trPr>
        <w:tc>
          <w:tcPr>
            <w:tcW w:w="2310" w:type="dxa"/>
            <w:tcBorders>
              <w:top w:val="nil"/>
              <w:bottom w:val="nil"/>
            </w:tcBorders>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r>
              <w:t xml:space="preserve">2.1.3 Contribute to possible cooperation in maritime safety and search and </w:t>
            </w:r>
            <w:proofErr w:type="spellStart"/>
            <w:r>
              <w:t>rescure</w:t>
            </w:r>
            <w:proofErr w:type="spellEnd"/>
            <w:r>
              <w:t xml:space="preserve"> (SAR).</w:t>
            </w:r>
          </w:p>
          <w:p w:rsidR="00684886" w:rsidRDefault="00684886" w:rsidP="002C526C"/>
        </w:tc>
        <w:tc>
          <w:tcPr>
            <w:tcW w:w="2311" w:type="dxa"/>
            <w:tcBorders>
              <w:top w:val="nil"/>
              <w:bottom w:val="nil"/>
            </w:tcBorders>
            <w:shd w:val="clear" w:color="auto" w:fill="auto"/>
          </w:tcPr>
          <w:p w:rsidR="00684886" w:rsidRDefault="00684886" w:rsidP="002C526C">
            <w:r>
              <w:t>-Concrete cooperation activities involving military in SAR.</w:t>
            </w:r>
          </w:p>
          <w:p w:rsidR="00684886" w:rsidRDefault="00684886" w:rsidP="002C526C"/>
        </w:tc>
      </w:tr>
      <w:tr w:rsidR="007A28FF" w:rsidTr="007A28FF">
        <w:trPr>
          <w:trHeight w:val="2662"/>
        </w:trPr>
        <w:tc>
          <w:tcPr>
            <w:tcW w:w="2310" w:type="dxa"/>
            <w:tcBorders>
              <w:top w:val="nil"/>
            </w:tcBorders>
            <w:shd w:val="clear" w:color="auto" w:fill="auto"/>
          </w:tcPr>
          <w:p w:rsidR="00684886" w:rsidRDefault="00684886" w:rsidP="002C526C"/>
        </w:tc>
        <w:tc>
          <w:tcPr>
            <w:tcW w:w="2311" w:type="dxa"/>
            <w:tcBorders>
              <w:top w:val="nil"/>
            </w:tcBorders>
            <w:shd w:val="clear" w:color="auto" w:fill="auto"/>
          </w:tcPr>
          <w:p w:rsidR="00684886" w:rsidRDefault="00684886" w:rsidP="002C526C"/>
        </w:tc>
        <w:tc>
          <w:tcPr>
            <w:tcW w:w="2311" w:type="dxa"/>
            <w:tcBorders>
              <w:top w:val="nil"/>
              <w:bottom w:val="single" w:sz="4" w:space="0" w:color="auto"/>
            </w:tcBorders>
            <w:shd w:val="clear" w:color="auto" w:fill="auto"/>
          </w:tcPr>
          <w:p w:rsidR="00684886" w:rsidRDefault="00684886" w:rsidP="002C526C">
            <w:r>
              <w:t>2.1.4 Develop coordination mechanisms for military participation and consider the conduct of training and exercises as well as the use of military assets and capabilities in disaster relief and emergency response operations.</w:t>
            </w:r>
          </w:p>
        </w:tc>
        <w:tc>
          <w:tcPr>
            <w:tcW w:w="2311" w:type="dxa"/>
            <w:tcBorders>
              <w:top w:val="nil"/>
              <w:bottom w:val="single" w:sz="4" w:space="0" w:color="auto"/>
            </w:tcBorders>
            <w:shd w:val="clear" w:color="auto" w:fill="auto"/>
          </w:tcPr>
          <w:p w:rsidR="00684886" w:rsidRDefault="00684886" w:rsidP="002C526C">
            <w:r>
              <w:t>-Standard Operating Procedure (SOP) on military involvement and capability in disaster relief and emergency response.</w:t>
            </w:r>
          </w:p>
        </w:tc>
      </w:tr>
      <w:tr w:rsidR="007A28FF" w:rsidTr="007A28FF">
        <w:trPr>
          <w:trHeight w:val="2305"/>
        </w:trPr>
        <w:tc>
          <w:tcPr>
            <w:tcW w:w="2310" w:type="dxa"/>
            <w:shd w:val="clear" w:color="auto" w:fill="auto"/>
          </w:tcPr>
          <w:p w:rsidR="00860882" w:rsidRDefault="00860882" w:rsidP="002C526C"/>
        </w:tc>
        <w:tc>
          <w:tcPr>
            <w:tcW w:w="2311" w:type="dxa"/>
            <w:shd w:val="clear" w:color="auto" w:fill="auto"/>
          </w:tcPr>
          <w:p w:rsidR="00860882" w:rsidRDefault="00860882" w:rsidP="002C526C"/>
        </w:tc>
        <w:tc>
          <w:tcPr>
            <w:tcW w:w="2311" w:type="dxa"/>
            <w:tcBorders>
              <w:bottom w:val="single" w:sz="4" w:space="0" w:color="auto"/>
            </w:tcBorders>
            <w:shd w:val="clear" w:color="auto" w:fill="auto"/>
          </w:tcPr>
          <w:p w:rsidR="00860882" w:rsidRDefault="00860882" w:rsidP="002C526C">
            <w:r>
              <w:t>2.1.5 Plan and conduct ASEAN Humanitarian Assistance and Disaster Relief Exercise (AHEX) based on the best practices learned from previous HADR- related exercises in the region</w:t>
            </w:r>
          </w:p>
        </w:tc>
        <w:tc>
          <w:tcPr>
            <w:tcW w:w="2311" w:type="dxa"/>
            <w:tcBorders>
              <w:bottom w:val="single" w:sz="4" w:space="0" w:color="auto"/>
            </w:tcBorders>
            <w:shd w:val="clear" w:color="auto" w:fill="auto"/>
          </w:tcPr>
          <w:p w:rsidR="00860882" w:rsidRDefault="00860882" w:rsidP="002C526C">
            <w:r>
              <w:t>-Inputs on the use of military capability in the framework of ASEAN Agreement on Disaster Management and Emergency Response (AADMER).</w:t>
            </w:r>
          </w:p>
        </w:tc>
      </w:tr>
      <w:tr w:rsidR="007A28FF" w:rsidTr="007A28FF">
        <w:trPr>
          <w:trHeight w:val="2302"/>
        </w:trPr>
        <w:tc>
          <w:tcPr>
            <w:tcW w:w="2310" w:type="dxa"/>
            <w:vMerge w:val="restart"/>
            <w:shd w:val="clear" w:color="auto" w:fill="auto"/>
          </w:tcPr>
          <w:p w:rsidR="00684886" w:rsidRDefault="00684886" w:rsidP="002C526C"/>
        </w:tc>
        <w:tc>
          <w:tcPr>
            <w:tcW w:w="2311" w:type="dxa"/>
            <w:vMerge w:val="restart"/>
            <w:shd w:val="clear" w:color="auto" w:fill="auto"/>
          </w:tcPr>
          <w:p w:rsidR="00684886" w:rsidRDefault="00684886" w:rsidP="002C526C"/>
        </w:tc>
        <w:tc>
          <w:tcPr>
            <w:tcW w:w="2311" w:type="dxa"/>
            <w:tcBorders>
              <w:top w:val="single" w:sz="4" w:space="0" w:color="auto"/>
              <w:bottom w:val="nil"/>
            </w:tcBorders>
            <w:shd w:val="clear" w:color="auto" w:fill="auto"/>
          </w:tcPr>
          <w:p w:rsidR="00684886" w:rsidRDefault="00684886" w:rsidP="002C526C">
            <w:r>
              <w:t xml:space="preserve">2.1.6 Implement the priority cooperation on non-traditional security issues and trans-boundary security challenges, such as through exchange of information and best practices as well as capacity building of front line </w:t>
            </w:r>
            <w:proofErr w:type="spellStart"/>
            <w:r>
              <w:t>defence</w:t>
            </w:r>
            <w:proofErr w:type="spellEnd"/>
            <w:r>
              <w:t xml:space="preserve"> officials.</w:t>
            </w:r>
          </w:p>
        </w:tc>
        <w:tc>
          <w:tcPr>
            <w:tcW w:w="2311" w:type="dxa"/>
            <w:tcBorders>
              <w:top w:val="single" w:sz="4" w:space="0" w:color="auto"/>
              <w:bottom w:val="nil"/>
            </w:tcBorders>
            <w:shd w:val="clear" w:color="auto" w:fill="auto"/>
          </w:tcPr>
          <w:p w:rsidR="00684886" w:rsidRDefault="00684886" w:rsidP="002C526C">
            <w:r>
              <w:t>-Cooperation on non-traditional security issues and trans-boundary security challenges.</w:t>
            </w:r>
          </w:p>
        </w:tc>
      </w:tr>
      <w:tr w:rsidR="007A28FF" w:rsidTr="007A28FF">
        <w:trPr>
          <w:trHeight w:val="2302"/>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r>
              <w:t>2.1.7 Review and update regional peacekeeping capacity profile.</w:t>
            </w:r>
          </w:p>
        </w:tc>
        <w:tc>
          <w:tcPr>
            <w:tcW w:w="2311" w:type="dxa"/>
            <w:tcBorders>
              <w:top w:val="nil"/>
              <w:bottom w:val="nil"/>
            </w:tcBorders>
            <w:shd w:val="clear" w:color="auto" w:fill="auto"/>
          </w:tcPr>
          <w:p w:rsidR="00684886" w:rsidRDefault="00684886" w:rsidP="002C526C">
            <w:r>
              <w:t>-Identification of ASEAN military capacity of the peacekeeping force.</w:t>
            </w:r>
          </w:p>
        </w:tc>
      </w:tr>
      <w:tr w:rsidR="007A28FF" w:rsidTr="007A28FF">
        <w:trPr>
          <w:trHeight w:val="2302"/>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r>
              <w:t>2.1.8 Promote cooperation under the established ASEAN Peacekeeping Centers Network in conducting joint planning, training and sharing of experiences.</w:t>
            </w:r>
          </w:p>
        </w:tc>
        <w:tc>
          <w:tcPr>
            <w:tcW w:w="2311" w:type="dxa"/>
            <w:tcBorders>
              <w:top w:val="nil"/>
              <w:bottom w:val="nil"/>
            </w:tcBorders>
            <w:shd w:val="clear" w:color="auto" w:fill="auto"/>
          </w:tcPr>
          <w:p w:rsidR="00684886" w:rsidRDefault="00684886" w:rsidP="002C526C">
            <w:r>
              <w:t>-Network of ASEAN peacekeeping centers to conduct joint planning, training, and sharing experiences.</w:t>
            </w:r>
          </w:p>
        </w:tc>
      </w:tr>
      <w:tr w:rsidR="007A28FF" w:rsidTr="007A28FF">
        <w:trPr>
          <w:trHeight w:val="2302"/>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r>
              <w:t>2.1.9 Maintain and enhance military interaction activities within ASEAN Member States</w:t>
            </w:r>
          </w:p>
        </w:tc>
        <w:tc>
          <w:tcPr>
            <w:tcW w:w="2311" w:type="dxa"/>
            <w:tcBorders>
              <w:top w:val="nil"/>
              <w:bottom w:val="nil"/>
            </w:tcBorders>
            <w:shd w:val="clear" w:color="auto" w:fill="auto"/>
          </w:tcPr>
          <w:p w:rsidR="00684886" w:rsidRDefault="00684886" w:rsidP="002C526C">
            <w:r>
              <w:t>-Practical activities and interaction among militaries of the ASEAN Member States.</w:t>
            </w:r>
          </w:p>
        </w:tc>
      </w:tr>
      <w:tr w:rsidR="007A28FF" w:rsidTr="007A28FF">
        <w:trPr>
          <w:trHeight w:val="2302"/>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tcBorders>
            <w:shd w:val="clear" w:color="auto" w:fill="auto"/>
          </w:tcPr>
          <w:p w:rsidR="00684886" w:rsidRDefault="00684886" w:rsidP="002C526C">
            <w:r>
              <w:t xml:space="preserve">2.1.10 Encourage more region-wide </w:t>
            </w:r>
            <w:proofErr w:type="spellStart"/>
            <w:r>
              <w:t>defence</w:t>
            </w:r>
            <w:proofErr w:type="spellEnd"/>
            <w:r>
              <w:t xml:space="preserve"> interaction programmes through ASEAN </w:t>
            </w:r>
            <w:proofErr w:type="spellStart"/>
            <w:r>
              <w:t>Defence</w:t>
            </w:r>
            <w:proofErr w:type="spellEnd"/>
            <w:r>
              <w:t xml:space="preserve"> Interaction </w:t>
            </w:r>
            <w:proofErr w:type="spellStart"/>
            <w:r>
              <w:t>Programme</w:t>
            </w:r>
            <w:proofErr w:type="spellEnd"/>
            <w:r>
              <w:t xml:space="preserve"> (ADIP).</w:t>
            </w:r>
          </w:p>
        </w:tc>
        <w:tc>
          <w:tcPr>
            <w:tcW w:w="2311" w:type="dxa"/>
            <w:tcBorders>
              <w:top w:val="nil"/>
            </w:tcBorders>
            <w:shd w:val="clear" w:color="auto" w:fill="auto"/>
          </w:tcPr>
          <w:p w:rsidR="00684886" w:rsidRDefault="00684886" w:rsidP="002C526C">
            <w:r>
              <w:t xml:space="preserve">-Strengthen regional unity and identify among ASEAN </w:t>
            </w:r>
            <w:proofErr w:type="spellStart"/>
            <w:r>
              <w:t>defence</w:t>
            </w:r>
            <w:proofErr w:type="spellEnd"/>
            <w:r>
              <w:t xml:space="preserve"> establishments through respect for diversity, equality and mutual understanding.</w:t>
            </w:r>
          </w:p>
        </w:tc>
      </w:tr>
    </w:tbl>
    <w:p w:rsidR="00860882" w:rsidRDefault="00860882" w:rsidP="002C52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62"/>
        <w:gridCol w:w="2261"/>
        <w:gridCol w:w="2263"/>
      </w:tblGrid>
      <w:tr w:rsidR="007A28FF" w:rsidTr="007A28FF">
        <w:trPr>
          <w:trHeight w:val="489"/>
        </w:trPr>
        <w:tc>
          <w:tcPr>
            <w:tcW w:w="2310" w:type="dxa"/>
            <w:vMerge w:val="restart"/>
            <w:shd w:val="clear" w:color="auto" w:fill="auto"/>
          </w:tcPr>
          <w:p w:rsidR="00860882" w:rsidRDefault="00860882" w:rsidP="002C526C"/>
        </w:tc>
        <w:tc>
          <w:tcPr>
            <w:tcW w:w="2311" w:type="dxa"/>
            <w:vMerge w:val="restart"/>
            <w:shd w:val="clear" w:color="auto" w:fill="auto"/>
          </w:tcPr>
          <w:p w:rsidR="00860882" w:rsidRDefault="00860882" w:rsidP="002C526C">
            <w:r>
              <w:t xml:space="preserve">2.2 Develop other possible practical cooperation in </w:t>
            </w:r>
            <w:proofErr w:type="spellStart"/>
            <w:r>
              <w:t>defence</w:t>
            </w:r>
            <w:proofErr w:type="spellEnd"/>
            <w:r>
              <w:t xml:space="preserve"> and security, which can significantly contribute to regional stability.</w:t>
            </w:r>
          </w:p>
        </w:tc>
        <w:tc>
          <w:tcPr>
            <w:tcW w:w="2311" w:type="dxa"/>
            <w:shd w:val="clear" w:color="auto" w:fill="auto"/>
          </w:tcPr>
          <w:p w:rsidR="00860882" w:rsidRDefault="00860882" w:rsidP="002C526C">
            <w:r>
              <w:t xml:space="preserve">2.2.1 Conduct Study and research to explore cooperative activities in order to improve the cooperation in </w:t>
            </w:r>
            <w:proofErr w:type="spellStart"/>
            <w:r>
              <w:t>defence</w:t>
            </w:r>
            <w:proofErr w:type="spellEnd"/>
            <w:r>
              <w:t xml:space="preserve"> and security.</w:t>
            </w:r>
          </w:p>
        </w:tc>
        <w:tc>
          <w:tcPr>
            <w:tcW w:w="2311" w:type="dxa"/>
            <w:shd w:val="clear" w:color="auto" w:fill="auto"/>
          </w:tcPr>
          <w:p w:rsidR="00860882" w:rsidRDefault="00860882" w:rsidP="002C526C">
            <w:r>
              <w:t xml:space="preserve">-Improve cooperation in </w:t>
            </w:r>
            <w:proofErr w:type="spellStart"/>
            <w:r>
              <w:t>defence</w:t>
            </w:r>
            <w:proofErr w:type="spellEnd"/>
            <w:r>
              <w:t xml:space="preserve"> and security among ASEAN Member States.</w:t>
            </w:r>
          </w:p>
        </w:tc>
      </w:tr>
      <w:tr w:rsidR="007A28FF" w:rsidTr="007A28FF">
        <w:trPr>
          <w:trHeight w:val="487"/>
        </w:trPr>
        <w:tc>
          <w:tcPr>
            <w:tcW w:w="2310" w:type="dxa"/>
            <w:vMerge/>
            <w:shd w:val="clear" w:color="auto" w:fill="auto"/>
          </w:tcPr>
          <w:p w:rsidR="00860882" w:rsidRDefault="00860882" w:rsidP="002C526C"/>
        </w:tc>
        <w:tc>
          <w:tcPr>
            <w:tcW w:w="2311" w:type="dxa"/>
            <w:vMerge/>
            <w:shd w:val="clear" w:color="auto" w:fill="auto"/>
          </w:tcPr>
          <w:p w:rsidR="00860882" w:rsidRDefault="00860882" w:rsidP="002C526C"/>
        </w:tc>
        <w:tc>
          <w:tcPr>
            <w:tcW w:w="2311" w:type="dxa"/>
            <w:shd w:val="clear" w:color="auto" w:fill="auto"/>
          </w:tcPr>
          <w:p w:rsidR="00860882" w:rsidRDefault="00860882" w:rsidP="002C526C">
            <w:r>
              <w:t>2.2.2 Conduct forums to share views on ASEAN security issues</w:t>
            </w:r>
          </w:p>
        </w:tc>
        <w:tc>
          <w:tcPr>
            <w:tcW w:w="2311" w:type="dxa"/>
            <w:shd w:val="clear" w:color="auto" w:fill="auto"/>
          </w:tcPr>
          <w:p w:rsidR="00860882" w:rsidRDefault="00860882" w:rsidP="002C526C">
            <w:r>
              <w:t>-Cooperative responses to contribute to regional security</w:t>
            </w:r>
          </w:p>
        </w:tc>
      </w:tr>
      <w:tr w:rsidR="007A28FF" w:rsidTr="007A28FF">
        <w:trPr>
          <w:trHeight w:val="487"/>
        </w:trPr>
        <w:tc>
          <w:tcPr>
            <w:tcW w:w="2310" w:type="dxa"/>
            <w:vMerge/>
            <w:shd w:val="clear" w:color="auto" w:fill="auto"/>
          </w:tcPr>
          <w:p w:rsidR="00860882" w:rsidRDefault="00860882" w:rsidP="002C526C"/>
        </w:tc>
        <w:tc>
          <w:tcPr>
            <w:tcW w:w="2311" w:type="dxa"/>
            <w:vMerge/>
            <w:shd w:val="clear" w:color="auto" w:fill="auto"/>
          </w:tcPr>
          <w:p w:rsidR="00860882" w:rsidRDefault="00860882" w:rsidP="002C526C"/>
        </w:tc>
        <w:tc>
          <w:tcPr>
            <w:tcW w:w="2311" w:type="dxa"/>
            <w:shd w:val="clear" w:color="auto" w:fill="auto"/>
          </w:tcPr>
          <w:p w:rsidR="00860882" w:rsidRDefault="00860882" w:rsidP="002C526C">
            <w:r>
              <w:t>2.2.3 Promote cooperation in maritime safety and search and rescue through activities such as exchange visits of authorities, information sharing and capacity building</w:t>
            </w:r>
          </w:p>
        </w:tc>
        <w:tc>
          <w:tcPr>
            <w:tcW w:w="2311" w:type="dxa"/>
            <w:shd w:val="clear" w:color="auto" w:fill="auto"/>
          </w:tcPr>
          <w:p w:rsidR="00860882" w:rsidRDefault="00860882" w:rsidP="002C526C">
            <w:r>
              <w:t>-Enhance practical cooperation and contribute to maritime safety.</w:t>
            </w:r>
          </w:p>
        </w:tc>
      </w:tr>
      <w:tr w:rsidR="007A28FF" w:rsidTr="007A28FF">
        <w:trPr>
          <w:trHeight w:val="487"/>
        </w:trPr>
        <w:tc>
          <w:tcPr>
            <w:tcW w:w="2310" w:type="dxa"/>
            <w:vMerge/>
            <w:shd w:val="clear" w:color="auto" w:fill="auto"/>
          </w:tcPr>
          <w:p w:rsidR="00860882" w:rsidRDefault="00860882" w:rsidP="002C526C"/>
        </w:tc>
        <w:tc>
          <w:tcPr>
            <w:tcW w:w="2311" w:type="dxa"/>
            <w:vMerge/>
            <w:shd w:val="clear" w:color="auto" w:fill="auto"/>
          </w:tcPr>
          <w:p w:rsidR="00860882" w:rsidRDefault="00860882" w:rsidP="002C526C"/>
        </w:tc>
        <w:tc>
          <w:tcPr>
            <w:tcW w:w="2311" w:type="dxa"/>
            <w:shd w:val="clear" w:color="auto" w:fill="auto"/>
          </w:tcPr>
          <w:p w:rsidR="00860882" w:rsidRDefault="00860882" w:rsidP="002C526C">
            <w:r>
              <w:t xml:space="preserve">2.2.4 Establish logistics support framework that is aimed at promoting and achieving effective cooperation among ASEAN </w:t>
            </w:r>
            <w:proofErr w:type="spellStart"/>
            <w:r>
              <w:t>defence</w:t>
            </w:r>
            <w:proofErr w:type="spellEnd"/>
            <w:r>
              <w:t xml:space="preserve"> and military establishments in areas of common interests.</w:t>
            </w:r>
          </w:p>
        </w:tc>
        <w:tc>
          <w:tcPr>
            <w:tcW w:w="2311" w:type="dxa"/>
            <w:shd w:val="clear" w:color="auto" w:fill="auto"/>
          </w:tcPr>
          <w:p w:rsidR="00860882" w:rsidRDefault="00860882" w:rsidP="002C526C">
            <w:r>
              <w:t>-Enhance ASEAN capacity, develop further capabilities, strengthen interoperability and contribute to operational effectiveness and efficiency in ASEAN military in addressing non-traditional security challenges.</w:t>
            </w:r>
          </w:p>
        </w:tc>
      </w:tr>
      <w:tr w:rsidR="007A28FF" w:rsidTr="007A28FF">
        <w:trPr>
          <w:trHeight w:val="487"/>
        </w:trPr>
        <w:tc>
          <w:tcPr>
            <w:tcW w:w="2310" w:type="dxa"/>
            <w:shd w:val="clear" w:color="auto" w:fill="auto"/>
          </w:tcPr>
          <w:p w:rsidR="00121B42" w:rsidRDefault="00121B42" w:rsidP="002C526C">
            <w:r>
              <w:t>3. Promote Enhanced Ties with Plus Countries</w:t>
            </w:r>
          </w:p>
        </w:tc>
        <w:tc>
          <w:tcPr>
            <w:tcW w:w="2311" w:type="dxa"/>
            <w:shd w:val="clear" w:color="auto" w:fill="auto"/>
          </w:tcPr>
          <w:p w:rsidR="00121B42" w:rsidRDefault="00121B42" w:rsidP="002C526C">
            <w:r>
              <w:t>3.1 Strengthen ASEAN security and stability through the implementation of cooperation with Plus countries</w:t>
            </w:r>
          </w:p>
        </w:tc>
        <w:tc>
          <w:tcPr>
            <w:tcW w:w="2311" w:type="dxa"/>
            <w:shd w:val="clear" w:color="auto" w:fill="auto"/>
          </w:tcPr>
          <w:p w:rsidR="00121B42" w:rsidRDefault="00121B42" w:rsidP="002C526C">
            <w:r>
              <w:t>3.1.1 Implement cooperation under the framework of ADMM-Plus</w:t>
            </w:r>
          </w:p>
        </w:tc>
        <w:tc>
          <w:tcPr>
            <w:tcW w:w="2311" w:type="dxa"/>
            <w:shd w:val="clear" w:color="auto" w:fill="auto"/>
          </w:tcPr>
          <w:p w:rsidR="00121B42" w:rsidRDefault="00121B42" w:rsidP="002C526C">
            <w:r>
              <w:t xml:space="preserve">-Implementation of agreement on </w:t>
            </w:r>
            <w:proofErr w:type="spellStart"/>
            <w:r>
              <w:t>defence</w:t>
            </w:r>
            <w:proofErr w:type="spellEnd"/>
            <w:r>
              <w:t xml:space="preserve"> and security cooperation</w:t>
            </w:r>
          </w:p>
          <w:p w:rsidR="00121B42" w:rsidRDefault="00121B42" w:rsidP="002C526C">
            <w:r>
              <w:t>-Implementation of practical cooperation under the framework of ADMM-Plus.</w:t>
            </w:r>
          </w:p>
        </w:tc>
      </w:tr>
    </w:tbl>
    <w:p w:rsidR="00121B42" w:rsidRDefault="00121B42" w:rsidP="002C52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62"/>
        <w:gridCol w:w="2272"/>
        <w:gridCol w:w="2272"/>
      </w:tblGrid>
      <w:tr w:rsidR="007A28FF" w:rsidTr="007A28FF">
        <w:trPr>
          <w:trHeight w:val="487"/>
        </w:trPr>
        <w:tc>
          <w:tcPr>
            <w:tcW w:w="2310" w:type="dxa"/>
            <w:vMerge w:val="restart"/>
            <w:shd w:val="clear" w:color="auto" w:fill="auto"/>
          </w:tcPr>
          <w:p w:rsidR="00684886" w:rsidRDefault="00684886" w:rsidP="002C526C"/>
        </w:tc>
        <w:tc>
          <w:tcPr>
            <w:tcW w:w="2311" w:type="dxa"/>
            <w:vMerge w:val="restart"/>
            <w:shd w:val="clear" w:color="auto" w:fill="auto"/>
          </w:tcPr>
          <w:p w:rsidR="00684886" w:rsidRDefault="00684886" w:rsidP="002C526C">
            <w:r>
              <w:t xml:space="preserve">3.2 Follow up the existing agreed cooperation in </w:t>
            </w:r>
            <w:proofErr w:type="spellStart"/>
            <w:r>
              <w:t>defence</w:t>
            </w:r>
            <w:proofErr w:type="spellEnd"/>
            <w:r>
              <w:t xml:space="preserve"> and security with the Plus countries.</w:t>
            </w:r>
          </w:p>
        </w:tc>
        <w:tc>
          <w:tcPr>
            <w:tcW w:w="2311" w:type="dxa"/>
            <w:tcBorders>
              <w:bottom w:val="nil"/>
            </w:tcBorders>
            <w:shd w:val="clear" w:color="auto" w:fill="auto"/>
          </w:tcPr>
          <w:p w:rsidR="00684886" w:rsidRDefault="00684886" w:rsidP="002C526C">
            <w:r>
              <w:t>3.2.1 Continue to develop the existing cooperation on issues of HADR, peacekeeping operation, maritime security cooperation, military medicine, counter terrorism and humanitarian mine action (HMA) at a pace comfortable to all ASEAN Member States.</w:t>
            </w:r>
          </w:p>
        </w:tc>
        <w:tc>
          <w:tcPr>
            <w:tcW w:w="2311" w:type="dxa"/>
            <w:tcBorders>
              <w:bottom w:val="nil"/>
            </w:tcBorders>
            <w:shd w:val="clear" w:color="auto" w:fill="auto"/>
          </w:tcPr>
          <w:p w:rsidR="00684886" w:rsidRDefault="00684886" w:rsidP="002C526C">
            <w:r>
              <w:t xml:space="preserve">-Improvement and understanding of </w:t>
            </w:r>
            <w:proofErr w:type="spellStart"/>
            <w:r>
              <w:t>defence</w:t>
            </w:r>
            <w:proofErr w:type="spellEnd"/>
            <w:r>
              <w:t xml:space="preserve"> and security perceptions to enhance further cooperation.</w:t>
            </w:r>
          </w:p>
        </w:tc>
      </w:tr>
      <w:tr w:rsidR="007A28FF" w:rsidTr="007A28FF">
        <w:trPr>
          <w:trHeight w:val="487"/>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bottom w:val="nil"/>
            </w:tcBorders>
            <w:shd w:val="clear" w:color="auto" w:fill="auto"/>
          </w:tcPr>
          <w:p w:rsidR="00684886" w:rsidRDefault="00684886" w:rsidP="002C526C">
            <w:r>
              <w:t xml:space="preserve">3.2.2 Conduct regular exchange of views of regional and international </w:t>
            </w:r>
            <w:proofErr w:type="spellStart"/>
            <w:r>
              <w:t>defence</w:t>
            </w:r>
            <w:proofErr w:type="spellEnd"/>
            <w:r>
              <w:t xml:space="preserve"> and security issues and challenges.</w:t>
            </w:r>
          </w:p>
        </w:tc>
        <w:tc>
          <w:tcPr>
            <w:tcW w:w="2311" w:type="dxa"/>
            <w:tcBorders>
              <w:top w:val="nil"/>
              <w:bottom w:val="nil"/>
            </w:tcBorders>
            <w:shd w:val="clear" w:color="auto" w:fill="auto"/>
          </w:tcPr>
          <w:p w:rsidR="00684886" w:rsidRDefault="00684886" w:rsidP="002C526C"/>
        </w:tc>
      </w:tr>
      <w:tr w:rsidR="007A28FF" w:rsidTr="007A28FF">
        <w:trPr>
          <w:trHeight w:val="487"/>
        </w:trPr>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tcBorders>
            <w:shd w:val="clear" w:color="auto" w:fill="auto"/>
          </w:tcPr>
          <w:p w:rsidR="00684886" w:rsidRDefault="00684886" w:rsidP="002C526C">
            <w:r>
              <w:t>3.2.3 Explore the expansion of track 2 forum to include Plus countries through NADI to promote further understanding of individual country’s view</w:t>
            </w:r>
          </w:p>
        </w:tc>
        <w:tc>
          <w:tcPr>
            <w:tcW w:w="2311" w:type="dxa"/>
            <w:tcBorders>
              <w:top w:val="nil"/>
            </w:tcBorders>
            <w:shd w:val="clear" w:color="auto" w:fill="auto"/>
          </w:tcPr>
          <w:p w:rsidR="00684886" w:rsidRDefault="00684886" w:rsidP="002C526C">
            <w:r>
              <w:t>-Exploring ways to assist in better policy making in the security domain.</w:t>
            </w:r>
          </w:p>
        </w:tc>
      </w:tr>
      <w:tr w:rsidR="007A28FF" w:rsidTr="007A28FF">
        <w:trPr>
          <w:trHeight w:val="487"/>
        </w:trPr>
        <w:tc>
          <w:tcPr>
            <w:tcW w:w="2310" w:type="dxa"/>
            <w:shd w:val="clear" w:color="auto" w:fill="auto"/>
          </w:tcPr>
          <w:p w:rsidR="00121B42" w:rsidRDefault="00121B42" w:rsidP="002C526C"/>
        </w:tc>
        <w:tc>
          <w:tcPr>
            <w:tcW w:w="2311" w:type="dxa"/>
            <w:shd w:val="clear" w:color="auto" w:fill="auto"/>
          </w:tcPr>
          <w:p w:rsidR="00121B42" w:rsidRDefault="00121B42" w:rsidP="002C526C">
            <w:r>
              <w:t xml:space="preserve">3.3 Develop other possible practical cooperation in </w:t>
            </w:r>
            <w:proofErr w:type="spellStart"/>
            <w:r>
              <w:t>defence</w:t>
            </w:r>
            <w:proofErr w:type="spellEnd"/>
            <w:r>
              <w:t xml:space="preserve"> and security.</w:t>
            </w:r>
          </w:p>
        </w:tc>
        <w:tc>
          <w:tcPr>
            <w:tcW w:w="2311" w:type="dxa"/>
            <w:shd w:val="clear" w:color="auto" w:fill="auto"/>
          </w:tcPr>
          <w:p w:rsidR="00121B42" w:rsidRDefault="00121B42" w:rsidP="002C526C">
            <w:r>
              <w:t xml:space="preserve">3.3.1 Conduct study and research to explore cooperative activities to improve cooperation in </w:t>
            </w:r>
            <w:proofErr w:type="spellStart"/>
            <w:r>
              <w:t>defence</w:t>
            </w:r>
            <w:proofErr w:type="spellEnd"/>
            <w:r>
              <w:t xml:space="preserve"> and security with Plus countries.</w:t>
            </w:r>
          </w:p>
        </w:tc>
        <w:tc>
          <w:tcPr>
            <w:tcW w:w="2311" w:type="dxa"/>
            <w:shd w:val="clear" w:color="auto" w:fill="auto"/>
          </w:tcPr>
          <w:p w:rsidR="00121B42" w:rsidRDefault="00121B42" w:rsidP="002C526C">
            <w:r>
              <w:t xml:space="preserve">-Improved cooperation in </w:t>
            </w:r>
            <w:proofErr w:type="spellStart"/>
            <w:r>
              <w:t>defence</w:t>
            </w:r>
            <w:proofErr w:type="spellEnd"/>
            <w:r>
              <w:t xml:space="preserve"> and security among ASEAN Member States and Plus countries.</w:t>
            </w:r>
          </w:p>
        </w:tc>
      </w:tr>
    </w:tbl>
    <w:p w:rsidR="00684886" w:rsidRDefault="00684886" w:rsidP="002C52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55"/>
        <w:gridCol w:w="2268"/>
        <w:gridCol w:w="2254"/>
      </w:tblGrid>
      <w:tr w:rsidR="007A28FF" w:rsidTr="007A28FF">
        <w:trPr>
          <w:trHeight w:val="487"/>
        </w:trPr>
        <w:tc>
          <w:tcPr>
            <w:tcW w:w="2310" w:type="dxa"/>
            <w:vMerge w:val="restart"/>
            <w:shd w:val="clear" w:color="auto" w:fill="auto"/>
          </w:tcPr>
          <w:p w:rsidR="00684886" w:rsidRDefault="00684886" w:rsidP="002C526C">
            <w:r>
              <w:lastRenderedPageBreak/>
              <w:t>4.Shaping and Sharing of Norms</w:t>
            </w:r>
          </w:p>
        </w:tc>
        <w:tc>
          <w:tcPr>
            <w:tcW w:w="2311" w:type="dxa"/>
            <w:vMerge w:val="restart"/>
            <w:shd w:val="clear" w:color="auto" w:fill="auto"/>
          </w:tcPr>
          <w:p w:rsidR="00684886" w:rsidRDefault="00684886" w:rsidP="002C526C">
            <w:r>
              <w:t>4.1 Support the development and adoption of norms that promote regional peace and security.</w:t>
            </w:r>
          </w:p>
        </w:tc>
        <w:tc>
          <w:tcPr>
            <w:tcW w:w="2311" w:type="dxa"/>
            <w:tcBorders>
              <w:bottom w:val="nil"/>
            </w:tcBorders>
            <w:shd w:val="clear" w:color="auto" w:fill="auto"/>
          </w:tcPr>
          <w:p w:rsidR="00684886" w:rsidRDefault="00684886" w:rsidP="002C526C">
            <w:r>
              <w:t>4.1.1 Contribute to the full implementation of the Declaration on the Conduct of Parties in the South China Sea (DOC) and support the adoption of a regional code of conduct in the South China Sea (COC).</w:t>
            </w:r>
          </w:p>
        </w:tc>
        <w:tc>
          <w:tcPr>
            <w:tcW w:w="2311" w:type="dxa"/>
            <w:tcBorders>
              <w:bottom w:val="nil"/>
            </w:tcBorders>
            <w:shd w:val="clear" w:color="auto" w:fill="auto"/>
          </w:tcPr>
          <w:p w:rsidR="00684886" w:rsidRDefault="00684886" w:rsidP="002C526C">
            <w:r>
              <w:t xml:space="preserve">-Constructive engagement between ASEAN and its security partners on strategic as well as </w:t>
            </w:r>
            <w:proofErr w:type="spellStart"/>
            <w:r>
              <w:t>defence</w:t>
            </w:r>
            <w:proofErr w:type="spellEnd"/>
            <w:r>
              <w:t xml:space="preserve"> and security issues affecting the region.</w:t>
            </w:r>
          </w:p>
        </w:tc>
      </w:tr>
      <w:tr w:rsidR="007A28FF" w:rsidTr="007A28FF">
        <w:tc>
          <w:tcPr>
            <w:tcW w:w="2310" w:type="dxa"/>
            <w:vMerge/>
            <w:shd w:val="clear" w:color="auto" w:fill="auto"/>
          </w:tcPr>
          <w:p w:rsidR="00684886" w:rsidRDefault="00684886" w:rsidP="002C526C"/>
        </w:tc>
        <w:tc>
          <w:tcPr>
            <w:tcW w:w="2311" w:type="dxa"/>
            <w:vMerge/>
            <w:shd w:val="clear" w:color="auto" w:fill="auto"/>
          </w:tcPr>
          <w:p w:rsidR="00684886" w:rsidRDefault="00684886" w:rsidP="002C526C"/>
        </w:tc>
        <w:tc>
          <w:tcPr>
            <w:tcW w:w="2311" w:type="dxa"/>
            <w:tcBorders>
              <w:top w:val="nil"/>
            </w:tcBorders>
            <w:shd w:val="clear" w:color="auto" w:fill="auto"/>
          </w:tcPr>
          <w:p w:rsidR="00684886" w:rsidRDefault="00684886" w:rsidP="002C526C">
            <w:r>
              <w:t>4.1.2 Develop as appropriate, rules of engagement or procedures needed to ensure safety of navigation, search and rescue an others.</w:t>
            </w:r>
          </w:p>
        </w:tc>
        <w:tc>
          <w:tcPr>
            <w:tcW w:w="2311" w:type="dxa"/>
            <w:tcBorders>
              <w:top w:val="nil"/>
            </w:tcBorders>
            <w:shd w:val="clear" w:color="auto" w:fill="auto"/>
          </w:tcPr>
          <w:p w:rsidR="00684886" w:rsidRDefault="00684886" w:rsidP="002C526C">
            <w:r>
              <w:t>-Promote regional maritime security</w:t>
            </w:r>
          </w:p>
        </w:tc>
      </w:tr>
    </w:tbl>
    <w:p w:rsidR="00E457A4" w:rsidRPr="009C1F90" w:rsidRDefault="00E457A4" w:rsidP="002C526C"/>
    <w:sectPr w:rsidR="00E457A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54" w:rsidRDefault="00EE4D54" w:rsidP="00F61B4F">
      <w:pPr>
        <w:spacing w:before="0" w:after="0" w:line="240" w:lineRule="auto"/>
      </w:pPr>
      <w:r>
        <w:separator/>
      </w:r>
    </w:p>
  </w:endnote>
  <w:endnote w:type="continuationSeparator" w:id="0">
    <w:p w:rsidR="00EE4D54" w:rsidRDefault="00EE4D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95DA8">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95DA8">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54" w:rsidRDefault="00EE4D54" w:rsidP="00F61B4F">
      <w:pPr>
        <w:spacing w:before="0" w:after="0" w:line="240" w:lineRule="auto"/>
      </w:pPr>
      <w:r>
        <w:separator/>
      </w:r>
    </w:p>
  </w:footnote>
  <w:footnote w:type="continuationSeparator" w:id="0">
    <w:p w:rsidR="00EE4D54" w:rsidRDefault="00EE4D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850616" w:rsidP="00F61B4F">
    <w:pPr>
      <w:pStyle w:val="Header"/>
      <w:pBdr>
        <w:bottom w:val="single" w:sz="8" w:space="1" w:color="auto"/>
      </w:pBdr>
      <w:rPr>
        <w:rFonts w:cs="Arial"/>
        <w:caps/>
        <w:color w:val="808080"/>
        <w:sz w:val="16"/>
        <w:szCs w:val="16"/>
      </w:rPr>
    </w:pPr>
    <w:r>
      <w:rPr>
        <w:rFonts w:cs="Arial"/>
        <w:caps/>
        <w:color w:val="808080"/>
        <w:sz w:val="16"/>
        <w:szCs w:val="16"/>
      </w:rPr>
      <w:t>2014</w:t>
    </w:r>
    <w:r w:rsidR="0022611E">
      <w:rPr>
        <w:rFonts w:cs="Arial"/>
        <w:caps/>
        <w:color w:val="808080"/>
        <w:sz w:val="16"/>
        <w:szCs w:val="16"/>
      </w:rPr>
      <w:t>-2016</w:t>
    </w:r>
    <w:r>
      <w:rPr>
        <w:rFonts w:cs="Arial"/>
        <w:caps/>
        <w:color w:val="808080"/>
        <w:sz w:val="16"/>
        <w:szCs w:val="16"/>
      </w:rPr>
      <w:t xml:space="preserve"> asean defence ministe</w:t>
    </w:r>
    <w:r w:rsidR="00153419">
      <w:rPr>
        <w:rFonts w:cs="Arial"/>
        <w:caps/>
        <w:color w:val="808080"/>
        <w:sz w:val="16"/>
        <w:szCs w:val="16"/>
      </w:rPr>
      <w:t>rs’ meeting three-year-</w:t>
    </w:r>
    <w:r w:rsidR="00486F01">
      <w:rPr>
        <w:rFonts w:cs="Arial"/>
        <w:caps/>
        <w:color w:val="808080"/>
        <w:sz w:val="16"/>
        <w:szCs w:val="16"/>
      </w:rPr>
      <w:t>work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9FD"/>
    <w:multiLevelType w:val="hybridMultilevel"/>
    <w:tmpl w:val="D0FAB24E"/>
    <w:lvl w:ilvl="0" w:tplc="32D69EF0">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91B62A5"/>
    <w:multiLevelType w:val="hybridMultilevel"/>
    <w:tmpl w:val="C4A45696"/>
    <w:lvl w:ilvl="0" w:tplc="C07E5BB0">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B55CFD"/>
    <w:multiLevelType w:val="hybridMultilevel"/>
    <w:tmpl w:val="D19CD5C6"/>
    <w:lvl w:ilvl="0" w:tplc="8A88053A">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3E4C3C"/>
    <w:multiLevelType w:val="hybridMultilevel"/>
    <w:tmpl w:val="71DC7B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2E336E0"/>
    <w:multiLevelType w:val="hybridMultilevel"/>
    <w:tmpl w:val="1B585B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3E03A7B"/>
    <w:multiLevelType w:val="hybridMultilevel"/>
    <w:tmpl w:val="A656D5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09B4159"/>
    <w:multiLevelType w:val="hybridMultilevel"/>
    <w:tmpl w:val="BA2481A6"/>
    <w:lvl w:ilvl="0" w:tplc="5394C69A">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C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2DE4"/>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79CD"/>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B42"/>
    <w:rsid w:val="0012281C"/>
    <w:rsid w:val="00122EC8"/>
    <w:rsid w:val="001246A1"/>
    <w:rsid w:val="001302AA"/>
    <w:rsid w:val="00130E46"/>
    <w:rsid w:val="00133AB9"/>
    <w:rsid w:val="00143BCA"/>
    <w:rsid w:val="00144EA6"/>
    <w:rsid w:val="001450F7"/>
    <w:rsid w:val="001462AA"/>
    <w:rsid w:val="00153419"/>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611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26C"/>
    <w:rsid w:val="002C5925"/>
    <w:rsid w:val="002C67E0"/>
    <w:rsid w:val="002D3A06"/>
    <w:rsid w:val="002E0A92"/>
    <w:rsid w:val="002E6283"/>
    <w:rsid w:val="002F1577"/>
    <w:rsid w:val="002F197A"/>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045E"/>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6F01"/>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3774"/>
    <w:rsid w:val="006819D0"/>
    <w:rsid w:val="006829B2"/>
    <w:rsid w:val="00684886"/>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95DA8"/>
    <w:rsid w:val="007A006E"/>
    <w:rsid w:val="007A28FF"/>
    <w:rsid w:val="007A4FC9"/>
    <w:rsid w:val="007A5CE9"/>
    <w:rsid w:val="007B0CD2"/>
    <w:rsid w:val="007B6E2C"/>
    <w:rsid w:val="007B7706"/>
    <w:rsid w:val="007C0404"/>
    <w:rsid w:val="007C158E"/>
    <w:rsid w:val="007C1E9A"/>
    <w:rsid w:val="007C74A6"/>
    <w:rsid w:val="007C7558"/>
    <w:rsid w:val="007D12D8"/>
    <w:rsid w:val="007D197A"/>
    <w:rsid w:val="007D2479"/>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0616"/>
    <w:rsid w:val="00860882"/>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2FA5"/>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397A"/>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F8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57A4"/>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4D54"/>
    <w:rsid w:val="00EE5D61"/>
    <w:rsid w:val="00EF63CD"/>
    <w:rsid w:val="00F01BFC"/>
    <w:rsid w:val="00F01D85"/>
    <w:rsid w:val="00F05438"/>
    <w:rsid w:val="00F1258E"/>
    <w:rsid w:val="00F13B8E"/>
    <w:rsid w:val="00F25CC5"/>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691B"/>
  <w15:chartTrackingRefBased/>
  <w15:docId w15:val="{8023A596-409F-4CE0-ABA6-08C39E93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E4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115F-A764-41BC-9F7C-7A46560C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8</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9</cp:revision>
  <cp:lastPrinted>2018-05-31T09:18:00Z</cp:lastPrinted>
  <dcterms:created xsi:type="dcterms:W3CDTF">2018-05-31T09:09:00Z</dcterms:created>
  <dcterms:modified xsi:type="dcterms:W3CDTF">2018-05-31T09:18:00Z</dcterms:modified>
</cp:coreProperties>
</file>