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8A32DF" w:rsidP="009363C6">
      <w:pPr>
        <w:pStyle w:val="CILTitle"/>
      </w:pPr>
      <w:r>
        <w:t>2010 Protocol to Amend the Agreement on Trade in Goods under the Framework Agreement on Comprehensive Economic Cooperation among the Governments of the Member Countries of the Association of Southeast Asian Nations and the Republic of Korea</w:t>
      </w:r>
    </w:p>
    <w:p w:rsidR="008A32DF" w:rsidRDefault="008A32DF" w:rsidP="009363C6">
      <w:pPr>
        <w:pStyle w:val="CILSubtitle"/>
      </w:pPr>
      <w:r>
        <w:t>Signed in Bangkok, Thailand on 30 November 2010</w:t>
      </w:r>
    </w:p>
    <w:p w:rsidR="008A32DF" w:rsidRDefault="008A32DF" w:rsidP="009363C6"/>
    <w:p w:rsidR="00380AC8" w:rsidRDefault="009363C6">
      <w:pPr>
        <w:pStyle w:val="TOC1"/>
        <w:tabs>
          <w:tab w:val="right" w:leader="dot" w:pos="9017"/>
        </w:tabs>
        <w:rPr>
          <w:rFonts w:asciiTheme="minorHAnsi" w:eastAsiaTheme="minorEastAsia" w:hAnsiTheme="minorHAnsi" w:cstheme="minorBidi"/>
          <w:caps w:val="0"/>
          <w:noProof/>
          <w:sz w:val="22"/>
          <w:szCs w:val="22"/>
          <w:lang w:val="en-GB" w:eastAsia="en-GB"/>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11842825" w:history="1">
        <w:r w:rsidR="00380AC8" w:rsidRPr="004A5EF8">
          <w:rPr>
            <w:rStyle w:val="Hyperlink"/>
            <w:noProof/>
          </w:rPr>
          <w:t>ARTICLE 1 AMENDMENT TO ANNEX 2 OF THE AGREEMENT</w:t>
        </w:r>
        <w:r w:rsidR="00380AC8">
          <w:rPr>
            <w:noProof/>
            <w:webHidden/>
          </w:rPr>
          <w:tab/>
        </w:r>
        <w:r w:rsidR="00380AC8">
          <w:rPr>
            <w:noProof/>
            <w:webHidden/>
          </w:rPr>
          <w:fldChar w:fldCharType="begin"/>
        </w:r>
        <w:r w:rsidR="00380AC8">
          <w:rPr>
            <w:noProof/>
            <w:webHidden/>
          </w:rPr>
          <w:instrText xml:space="preserve"> PAGEREF _Toc11842825 \h </w:instrText>
        </w:r>
        <w:r w:rsidR="00380AC8">
          <w:rPr>
            <w:noProof/>
            <w:webHidden/>
          </w:rPr>
        </w:r>
        <w:r w:rsidR="00380AC8">
          <w:rPr>
            <w:noProof/>
            <w:webHidden/>
          </w:rPr>
          <w:fldChar w:fldCharType="separate"/>
        </w:r>
        <w:r w:rsidR="007F13EB">
          <w:rPr>
            <w:noProof/>
            <w:webHidden/>
          </w:rPr>
          <w:t>2</w:t>
        </w:r>
        <w:r w:rsidR="00380AC8">
          <w:rPr>
            <w:noProof/>
            <w:webHidden/>
          </w:rPr>
          <w:fldChar w:fldCharType="end"/>
        </w:r>
      </w:hyperlink>
    </w:p>
    <w:p w:rsidR="00380AC8" w:rsidRDefault="00380AC8">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1842826" w:history="1">
        <w:r w:rsidRPr="004A5EF8">
          <w:rPr>
            <w:rStyle w:val="Hyperlink"/>
            <w:noProof/>
          </w:rPr>
          <w:t>ARTICLE 2 ENTRY INTO FORCE</w:t>
        </w:r>
        <w:r>
          <w:rPr>
            <w:noProof/>
            <w:webHidden/>
          </w:rPr>
          <w:tab/>
        </w:r>
        <w:r>
          <w:rPr>
            <w:noProof/>
            <w:webHidden/>
          </w:rPr>
          <w:fldChar w:fldCharType="begin"/>
        </w:r>
        <w:r>
          <w:rPr>
            <w:noProof/>
            <w:webHidden/>
          </w:rPr>
          <w:instrText xml:space="preserve"> PAGEREF _Toc11842826 \h </w:instrText>
        </w:r>
        <w:r>
          <w:rPr>
            <w:noProof/>
            <w:webHidden/>
          </w:rPr>
        </w:r>
        <w:r>
          <w:rPr>
            <w:noProof/>
            <w:webHidden/>
          </w:rPr>
          <w:fldChar w:fldCharType="separate"/>
        </w:r>
        <w:r w:rsidR="007F13EB">
          <w:rPr>
            <w:noProof/>
            <w:webHidden/>
          </w:rPr>
          <w:t>2</w:t>
        </w:r>
        <w:r>
          <w:rPr>
            <w:noProof/>
            <w:webHidden/>
          </w:rPr>
          <w:fldChar w:fldCharType="end"/>
        </w:r>
      </w:hyperlink>
    </w:p>
    <w:p w:rsidR="00380AC8" w:rsidRDefault="00380AC8">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1842827" w:history="1">
        <w:r w:rsidRPr="004A5EF8">
          <w:rPr>
            <w:rStyle w:val="Hyperlink"/>
            <w:noProof/>
          </w:rPr>
          <w:t>ARTICLE 3 DEPOSITARY</w:t>
        </w:r>
        <w:r>
          <w:rPr>
            <w:noProof/>
            <w:webHidden/>
          </w:rPr>
          <w:tab/>
        </w:r>
        <w:r>
          <w:rPr>
            <w:noProof/>
            <w:webHidden/>
          </w:rPr>
          <w:fldChar w:fldCharType="begin"/>
        </w:r>
        <w:r>
          <w:rPr>
            <w:noProof/>
            <w:webHidden/>
          </w:rPr>
          <w:instrText xml:space="preserve"> PAGEREF _Toc11842827 \h </w:instrText>
        </w:r>
        <w:r>
          <w:rPr>
            <w:noProof/>
            <w:webHidden/>
          </w:rPr>
        </w:r>
        <w:r>
          <w:rPr>
            <w:noProof/>
            <w:webHidden/>
          </w:rPr>
          <w:fldChar w:fldCharType="separate"/>
        </w:r>
        <w:r w:rsidR="007F13EB">
          <w:rPr>
            <w:noProof/>
            <w:webHidden/>
          </w:rPr>
          <w:t>3</w:t>
        </w:r>
        <w:r>
          <w:rPr>
            <w:noProof/>
            <w:webHidden/>
          </w:rPr>
          <w:fldChar w:fldCharType="end"/>
        </w:r>
      </w:hyperlink>
    </w:p>
    <w:p w:rsidR="00380AC8" w:rsidRDefault="00380AC8">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1842828" w:history="1">
        <w:r w:rsidRPr="004A5EF8">
          <w:rPr>
            <w:rStyle w:val="Hyperlink"/>
            <w:noProof/>
          </w:rPr>
          <w:t>APPENDIX 2 HIGHLY SENSITIVE LIST</w:t>
        </w:r>
        <w:r>
          <w:rPr>
            <w:noProof/>
            <w:webHidden/>
          </w:rPr>
          <w:tab/>
        </w:r>
        <w:r>
          <w:rPr>
            <w:noProof/>
            <w:webHidden/>
          </w:rPr>
          <w:fldChar w:fldCharType="begin"/>
        </w:r>
        <w:r>
          <w:rPr>
            <w:noProof/>
            <w:webHidden/>
          </w:rPr>
          <w:instrText xml:space="preserve"> PAGEREF _Toc11842828 \h </w:instrText>
        </w:r>
        <w:r>
          <w:rPr>
            <w:noProof/>
            <w:webHidden/>
          </w:rPr>
        </w:r>
        <w:r>
          <w:rPr>
            <w:noProof/>
            <w:webHidden/>
          </w:rPr>
          <w:fldChar w:fldCharType="separate"/>
        </w:r>
        <w:r w:rsidR="007F13EB">
          <w:rPr>
            <w:noProof/>
            <w:webHidden/>
          </w:rPr>
          <w:t>4</w:t>
        </w:r>
        <w:r>
          <w:rPr>
            <w:noProof/>
            <w:webHidden/>
          </w:rPr>
          <w:fldChar w:fldCharType="end"/>
        </w:r>
      </w:hyperlink>
    </w:p>
    <w:p w:rsidR="00380AC8" w:rsidRDefault="00380AC8">
      <w:pPr>
        <w:pStyle w:val="TOC3"/>
        <w:tabs>
          <w:tab w:val="right" w:leader="dot" w:pos="9017"/>
        </w:tabs>
        <w:rPr>
          <w:rFonts w:asciiTheme="minorHAnsi" w:eastAsiaTheme="minorEastAsia" w:hAnsiTheme="minorHAnsi" w:cstheme="minorBidi"/>
          <w:caps w:val="0"/>
          <w:noProof/>
          <w:sz w:val="22"/>
          <w:szCs w:val="22"/>
          <w:lang w:val="en-GB" w:eastAsia="en-GB"/>
        </w:rPr>
      </w:pPr>
      <w:hyperlink w:anchor="_Toc11842829" w:history="1">
        <w:r w:rsidRPr="004A5EF8">
          <w:rPr>
            <w:rStyle w:val="Hyperlink"/>
            <w:noProof/>
          </w:rPr>
          <w:t>GROUP E: Tariff lines exempted from tariff concession</w:t>
        </w:r>
        <w:r>
          <w:rPr>
            <w:noProof/>
            <w:webHidden/>
          </w:rPr>
          <w:tab/>
        </w:r>
        <w:r>
          <w:rPr>
            <w:noProof/>
            <w:webHidden/>
          </w:rPr>
          <w:fldChar w:fldCharType="begin"/>
        </w:r>
        <w:r>
          <w:rPr>
            <w:noProof/>
            <w:webHidden/>
          </w:rPr>
          <w:instrText xml:space="preserve"> PAGEREF _Toc11842829 \h </w:instrText>
        </w:r>
        <w:r>
          <w:rPr>
            <w:noProof/>
            <w:webHidden/>
          </w:rPr>
        </w:r>
        <w:r>
          <w:rPr>
            <w:noProof/>
            <w:webHidden/>
          </w:rPr>
          <w:fldChar w:fldCharType="separate"/>
        </w:r>
        <w:r w:rsidR="007F13EB">
          <w:rPr>
            <w:noProof/>
            <w:webHidden/>
          </w:rPr>
          <w:t>4</w:t>
        </w:r>
        <w:r>
          <w:rPr>
            <w:noProof/>
            <w:webHidden/>
          </w:rPr>
          <w:fldChar w:fldCharType="end"/>
        </w:r>
      </w:hyperlink>
    </w:p>
    <w:p w:rsidR="009363C6" w:rsidRDefault="009363C6" w:rsidP="009363C6">
      <w:r w:rsidRPr="009C1F90">
        <w:rPr>
          <w:rFonts w:cs="Arial"/>
        </w:rPr>
        <w:fldChar w:fldCharType="end"/>
      </w:r>
    </w:p>
    <w:p w:rsidR="007D7FB5" w:rsidRDefault="007D7FB5" w:rsidP="00380AC8">
      <w:pPr>
        <w:pStyle w:val="CILTitle"/>
      </w:pPr>
      <w:bookmarkStart w:id="0" w:name="_GoBack"/>
      <w:bookmarkEnd w:id="0"/>
      <w:r>
        <w:br w:type="page"/>
      </w:r>
      <w:r>
        <w:lastRenderedPageBreak/>
        <w:t>2010 Protocol to Amend the Agreement on Trade in Goods under the Framework Agreement on Comprehensive Economic Cooperation among the Governments of the Member Countries of the Association of Southeast Asian Nations and the Republic of Korea</w:t>
      </w:r>
    </w:p>
    <w:p w:rsidR="007D7FB5" w:rsidRDefault="007D7FB5" w:rsidP="009363C6">
      <w:pPr>
        <w:pStyle w:val="CILSubtitle"/>
      </w:pPr>
      <w:r>
        <w:t>Signed in Bangkok, Thailand on 30 November 2010</w:t>
      </w:r>
    </w:p>
    <w:p w:rsidR="007D7FB5" w:rsidRDefault="007D7FB5" w:rsidP="009363C6"/>
    <w:p w:rsidR="007D7FB5" w:rsidRDefault="007D7FB5" w:rsidP="009363C6">
      <w:r>
        <w:t>The Governments of Brunei Darussalam, the Kingdom of Cambodia, the Republic of Indonesia, the Lao People's Democratic Republic , Malaysia, the Union of Myanmar, the Republic of the Philippines, the Republic of Singapore, the Kingdom of Thailand and the Socialist Republic of Viet Nam, Member Countries of the Association of Southeast Asian Nations (hereinafter referred to collectively as "ASEAN" or "ASEAN Member Countries" or individually as "ASEAN Member Country"), and the Republic of Korea (hereinafter referred to as "Korea") (hereinafter referred to individually as "the Party" and collectively as "the Parties"),</w:t>
      </w:r>
    </w:p>
    <w:p w:rsidR="007D7FB5" w:rsidRDefault="007D7FB5" w:rsidP="009363C6">
      <w:r w:rsidRPr="005718B0">
        <w:rPr>
          <w:b/>
        </w:rPr>
        <w:t>RECALLING</w:t>
      </w:r>
      <w:r>
        <w:t xml:space="preserve"> the Agreement on Trade in Goods under the Framework Agreement on Comprehensive Economic Cooperation Among the Governments of the Member Countries of the Association of Southeast Asian Nations and the Republic of Korea (hereinafter referred to as the "Agreement"), signed in Kuala Lumpur, Malaysia on the twenty fourth day of August 2006;</w:t>
      </w:r>
    </w:p>
    <w:p w:rsidR="007D7FB5" w:rsidRDefault="007D7FB5" w:rsidP="009363C6">
      <w:r w:rsidRPr="005718B0">
        <w:rPr>
          <w:b/>
        </w:rPr>
        <w:t>RECALLING</w:t>
      </w:r>
      <w:r>
        <w:t xml:space="preserve"> further Annex 2 of the Agreement which allows each Party to reserve its right to maintain the applied tariff rates for the tariff lines placed in Group E of the Highly Sensitive List;</w:t>
      </w:r>
    </w:p>
    <w:p w:rsidR="007D7FB5" w:rsidRDefault="007D7FB5" w:rsidP="009363C6">
      <w:r w:rsidRPr="005718B0">
        <w:rPr>
          <w:b/>
        </w:rPr>
        <w:t>DESIRING</w:t>
      </w:r>
      <w:r>
        <w:t xml:space="preserve"> to incorporate into the Agreement the tariff lines placed in Group E of the Highly Sensitive List of the Lao People's Democratic Republic;</w:t>
      </w:r>
    </w:p>
    <w:p w:rsidR="007D7FB5" w:rsidRDefault="007D7FB5" w:rsidP="009363C6">
      <w:r w:rsidRPr="005718B0">
        <w:rPr>
          <w:b/>
        </w:rPr>
        <w:t>NOTING</w:t>
      </w:r>
      <w:r>
        <w:t xml:space="preserve"> that Article 17 of the Agreement provides for any amendments thereto to be mutually agreed upon in writing by the Parties,</w:t>
      </w:r>
    </w:p>
    <w:p w:rsidR="007D7FB5" w:rsidRDefault="007D7FB5" w:rsidP="009363C6">
      <w:r w:rsidRPr="005718B0">
        <w:rPr>
          <w:b/>
        </w:rPr>
        <w:t>HAVE AGREED</w:t>
      </w:r>
      <w:r>
        <w:t xml:space="preserve"> as follows:</w:t>
      </w:r>
    </w:p>
    <w:p w:rsidR="007D7FB5" w:rsidRDefault="007D7FB5" w:rsidP="009363C6">
      <w:pPr>
        <w:pStyle w:val="Heading1"/>
        <w:spacing w:after="120"/>
      </w:pPr>
      <w:bookmarkStart w:id="1" w:name="_Toc11842825"/>
      <w:r>
        <w:t>ARTICLE 1</w:t>
      </w:r>
      <w:r>
        <w:br/>
        <w:t>AMENDMENT TO ANNEX 2 OF THE AGREEMENT</w:t>
      </w:r>
      <w:bookmarkEnd w:id="1"/>
    </w:p>
    <w:p w:rsidR="007D7FB5" w:rsidRDefault="007D7FB5" w:rsidP="009363C6">
      <w:r>
        <w:t>Appendix 2 of Annex 2 to the Agreement is hereby amended to incorporate the tariff lines placed in Group E of the Highly S</w:t>
      </w:r>
      <w:r w:rsidR="002258BE">
        <w:t>ensitive List of the Lao People</w:t>
      </w:r>
      <w:r>
        <w:t>'s Democratic Republic.</w:t>
      </w:r>
    </w:p>
    <w:p w:rsidR="007D7FB5" w:rsidRDefault="007D7FB5" w:rsidP="009363C6">
      <w:pPr>
        <w:pStyle w:val="Heading1"/>
        <w:spacing w:after="120"/>
      </w:pPr>
      <w:bookmarkStart w:id="2" w:name="_Toc11842826"/>
      <w:r>
        <w:t>ARTICLE 2</w:t>
      </w:r>
      <w:r>
        <w:br/>
        <w:t>ENTRY INTO FORCE</w:t>
      </w:r>
      <w:bookmarkEnd w:id="2"/>
    </w:p>
    <w:p w:rsidR="007D7FB5" w:rsidRDefault="007D7FB5" w:rsidP="009363C6">
      <w:r>
        <w:t>1. This Protocol shall form an integral part of the Agreement. It shall enter into force ninety (90) days after the date of signing.</w:t>
      </w:r>
    </w:p>
    <w:p w:rsidR="007D7FB5" w:rsidRDefault="007D7FB5" w:rsidP="009363C6">
      <w:r>
        <w:t xml:space="preserve">2. Each Party </w:t>
      </w:r>
      <w:r w:rsidR="002258BE">
        <w:t>shall,</w:t>
      </w:r>
      <w:r>
        <w:t xml:space="preserve"> upon the completion of its internal procedures for the entry into force of this Protocol, notify all the other Parties in writing.</w:t>
      </w:r>
    </w:p>
    <w:p w:rsidR="007D7FB5" w:rsidRDefault="007D7FB5" w:rsidP="009363C6">
      <w:r>
        <w:lastRenderedPageBreak/>
        <w:t>3. Where a Party has not completed its internal procedures for the entry into force of this Protocol within 90 days after the date of signing of this Protocol, this Protocol shall enter into force in relation to that Party on the date of notification of completion of such internal procedures.</w:t>
      </w:r>
    </w:p>
    <w:p w:rsidR="007D7FB5" w:rsidRDefault="007D7FB5" w:rsidP="009363C6">
      <w:pPr>
        <w:pStyle w:val="Heading1"/>
        <w:spacing w:after="120"/>
      </w:pPr>
      <w:bookmarkStart w:id="3" w:name="_Toc11842827"/>
      <w:r>
        <w:t>ARTICLE 3</w:t>
      </w:r>
      <w:r>
        <w:br/>
        <w:t>DEPOSITARY</w:t>
      </w:r>
      <w:bookmarkEnd w:id="3"/>
    </w:p>
    <w:p w:rsidR="007D7FB5" w:rsidRDefault="007D7FB5" w:rsidP="009363C6">
      <w:r>
        <w:t>For the ASEAN Member Countries, this Protocol shall be deposited with the Secretary-General of ASEAN, who shall promptly furnish a certified true copy thereof, to each ASEAN Member Country.</w:t>
      </w:r>
    </w:p>
    <w:p w:rsidR="007D7FB5" w:rsidRDefault="007D7FB5" w:rsidP="009363C6">
      <w:r w:rsidRPr="005718B0">
        <w:rPr>
          <w:b/>
        </w:rPr>
        <w:t>IN WITNESS WHEREOF</w:t>
      </w:r>
      <w:r>
        <w:t xml:space="preserve">, the undersigned, being duly </w:t>
      </w:r>
      <w:proofErr w:type="spellStart"/>
      <w:r>
        <w:t>authorised</w:t>
      </w:r>
      <w:proofErr w:type="spellEnd"/>
      <w:r>
        <w:t xml:space="preserve"> by their respective Governments, have signed this Protocol to Amend the Agreement on Trade in Goods under the Framework Agreement on the Comprehensive Economic Cooperation among the Governments of the</w:t>
      </w:r>
      <w:r w:rsidR="005718B0">
        <w:t xml:space="preserve"> </w:t>
      </w:r>
      <w:r>
        <w:t>Member Countries of the Association of the Southeast Asian Nations and the Republic of Korea.</w:t>
      </w:r>
    </w:p>
    <w:p w:rsidR="007D7FB5" w:rsidRDefault="007D7FB5" w:rsidP="009363C6">
      <w:r>
        <w:t>DONE at Bangkok, Thailand, this 30th day of November 2010, in duplicate copies in the English language.</w:t>
      </w:r>
    </w:p>
    <w:p w:rsidR="007D7FB5" w:rsidRDefault="007D7FB5" w:rsidP="009363C6"/>
    <w:p w:rsidR="007D7FB5" w:rsidRDefault="007D7FB5" w:rsidP="009363C6">
      <w:r>
        <w:t xml:space="preserve">For the Government of Brunei Darussalam: </w:t>
      </w:r>
      <w:r w:rsidRPr="007D7FB5">
        <w:rPr>
          <w:b/>
        </w:rPr>
        <w:t>LIM JOCK SENG</w:t>
      </w:r>
      <w:r>
        <w:t>, Second Minister for Foreign Affairs and Trade</w:t>
      </w:r>
    </w:p>
    <w:p w:rsidR="007D7FB5" w:rsidRDefault="007D7FB5" w:rsidP="009363C6">
      <w:r>
        <w:t xml:space="preserve">For the Government of the Republic of Korea: </w:t>
      </w:r>
      <w:r w:rsidRPr="007D7FB5">
        <w:rPr>
          <w:b/>
        </w:rPr>
        <w:t>KIM JONG-HOON</w:t>
      </w:r>
      <w:r>
        <w:t>, Minister for Trade</w:t>
      </w:r>
    </w:p>
    <w:p w:rsidR="007D7FB5" w:rsidRDefault="007D7FB5" w:rsidP="009363C6">
      <w:r>
        <w:t xml:space="preserve">For the Royal Government of Cambodia: </w:t>
      </w:r>
      <w:r w:rsidRPr="007D7FB5">
        <w:rPr>
          <w:b/>
        </w:rPr>
        <w:t>CHAM PRASIDH</w:t>
      </w:r>
      <w:r>
        <w:t>, Senior Minister and Minister of Commerce</w:t>
      </w:r>
    </w:p>
    <w:p w:rsidR="007D7FB5" w:rsidRDefault="007D7FB5" w:rsidP="009363C6">
      <w:r>
        <w:t xml:space="preserve">For the Government of the Republic of Indonesia: </w:t>
      </w:r>
      <w:r w:rsidRPr="007D7FB5">
        <w:rPr>
          <w:b/>
        </w:rPr>
        <w:t>MARI ELKA PANGESTU</w:t>
      </w:r>
      <w:r>
        <w:t>, Minister of Trade</w:t>
      </w:r>
    </w:p>
    <w:p w:rsidR="007D7FB5" w:rsidRDefault="007D7FB5" w:rsidP="009363C6">
      <w:r>
        <w:t xml:space="preserve">For the Government of the Lao People's Democratic Republic: </w:t>
      </w:r>
      <w:r w:rsidRPr="007D7FB5">
        <w:rPr>
          <w:b/>
        </w:rPr>
        <w:t>NAM VIYAKETH</w:t>
      </w:r>
      <w:r>
        <w:t>, Minister of Industry and Commerce</w:t>
      </w:r>
    </w:p>
    <w:p w:rsidR="007D7FB5" w:rsidRDefault="007D7FB5" w:rsidP="009363C6">
      <w:r>
        <w:t xml:space="preserve">For the Government of Malaysia: </w:t>
      </w:r>
      <w:r w:rsidRPr="007D7FB5">
        <w:rPr>
          <w:b/>
        </w:rPr>
        <w:t>MUSTAPA MOHAMED</w:t>
      </w:r>
      <w:r>
        <w:t>, Minister of International Trade and Industry</w:t>
      </w:r>
    </w:p>
    <w:p w:rsidR="007D7FB5" w:rsidRDefault="007D7FB5" w:rsidP="009363C6">
      <w:r>
        <w:t xml:space="preserve">For the Government of the Union of Myanmar: </w:t>
      </w:r>
      <w:r w:rsidRPr="007D7FB5">
        <w:rPr>
          <w:b/>
        </w:rPr>
        <w:t>U SOE THA</w:t>
      </w:r>
      <w:r>
        <w:t>, Minister for National Planning and Economic Development</w:t>
      </w:r>
    </w:p>
    <w:p w:rsidR="007D7FB5" w:rsidRDefault="007D7FB5" w:rsidP="009363C6">
      <w:r>
        <w:t xml:space="preserve">For the Government of the Republic of the Philippines: </w:t>
      </w:r>
      <w:r w:rsidRPr="007D7FB5">
        <w:rPr>
          <w:b/>
        </w:rPr>
        <w:t>GREGORY DOMINGO</w:t>
      </w:r>
      <w:r>
        <w:t>, Secretary of Trade and Industry</w:t>
      </w:r>
    </w:p>
    <w:p w:rsidR="007D7FB5" w:rsidRDefault="007D7FB5" w:rsidP="009363C6">
      <w:r>
        <w:t xml:space="preserve">For the Government of the Republic of Singapore: </w:t>
      </w:r>
      <w:r w:rsidRPr="007D7FB5">
        <w:rPr>
          <w:b/>
        </w:rPr>
        <w:t>LIM HNG KIANG</w:t>
      </w:r>
      <w:r>
        <w:t>, Minister for Trade and Industry</w:t>
      </w:r>
    </w:p>
    <w:p w:rsidR="007D7FB5" w:rsidRDefault="007D7FB5" w:rsidP="009363C6">
      <w:r>
        <w:t xml:space="preserve">For the Government of the Kingdom of Thailand: </w:t>
      </w:r>
      <w:r w:rsidRPr="007D7FB5">
        <w:rPr>
          <w:b/>
        </w:rPr>
        <w:t>PORNTIVA NAKASAI</w:t>
      </w:r>
      <w:r>
        <w:t>, Minister of Commerce</w:t>
      </w:r>
    </w:p>
    <w:p w:rsidR="007D7FB5" w:rsidRDefault="007D7FB5" w:rsidP="009363C6">
      <w:r>
        <w:t xml:space="preserve">For the Government of the Socialist Republic of Viet Nam: </w:t>
      </w:r>
      <w:r w:rsidRPr="007D7FB5">
        <w:rPr>
          <w:b/>
        </w:rPr>
        <w:t>VU HUY HOANG</w:t>
      </w:r>
      <w:r>
        <w:t>, Minister of Industry and Trade</w:t>
      </w:r>
    </w:p>
    <w:p w:rsidR="007D7FB5" w:rsidRDefault="00DB4B39" w:rsidP="005718B0">
      <w:pPr>
        <w:pStyle w:val="Heading1"/>
        <w:spacing w:after="120"/>
      </w:pPr>
      <w:r>
        <w:br w:type="page"/>
      </w:r>
      <w:bookmarkStart w:id="4" w:name="_Toc11842828"/>
      <w:r w:rsidR="007D7FB5">
        <w:lastRenderedPageBreak/>
        <w:t>APPENDIX 2 HIGHLY SENSITIVE LIST</w:t>
      </w:r>
      <w:bookmarkEnd w:id="4"/>
    </w:p>
    <w:p w:rsidR="007D7FB5" w:rsidRDefault="007D7FB5" w:rsidP="009363C6">
      <w:pPr>
        <w:pStyle w:val="Heading3"/>
      </w:pPr>
      <w:bookmarkStart w:id="5" w:name="_Toc11842829"/>
      <w:r>
        <w:t>GROUP E: Tariff lines exempted from tariff concession</w:t>
      </w:r>
      <w:bookmarkEnd w:id="5"/>
    </w:p>
    <w:p w:rsidR="007D7FB5" w:rsidRPr="007D7FB5" w:rsidRDefault="007D7FB5" w:rsidP="009363C6">
      <w:pPr>
        <w:rPr>
          <w:b/>
        </w:rPr>
      </w:pPr>
      <w:r w:rsidRPr="007D7FB5">
        <w:rPr>
          <w:b/>
        </w:rPr>
        <w:t>Lao PDR: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01"/>
        <w:gridCol w:w="6947"/>
      </w:tblGrid>
      <w:tr w:rsidR="002258BE" w:rsidTr="009363C6">
        <w:tc>
          <w:tcPr>
            <w:tcW w:w="675" w:type="dxa"/>
            <w:shd w:val="clear" w:color="auto" w:fill="auto"/>
          </w:tcPr>
          <w:p w:rsidR="009363C6" w:rsidRPr="009363C6" w:rsidRDefault="009363C6" w:rsidP="009363C6">
            <w:pPr>
              <w:rPr>
                <w:b/>
              </w:rPr>
            </w:pPr>
            <w:r w:rsidRPr="009363C6">
              <w:rPr>
                <w:b/>
              </w:rPr>
              <w:t xml:space="preserve">NO </w:t>
            </w:r>
          </w:p>
        </w:tc>
        <w:tc>
          <w:tcPr>
            <w:tcW w:w="1418" w:type="dxa"/>
            <w:shd w:val="clear" w:color="auto" w:fill="auto"/>
          </w:tcPr>
          <w:p w:rsidR="009363C6" w:rsidRPr="009363C6" w:rsidRDefault="009363C6" w:rsidP="009363C6">
            <w:pPr>
              <w:rPr>
                <w:b/>
              </w:rPr>
            </w:pPr>
            <w:r w:rsidRPr="009363C6">
              <w:rPr>
                <w:b/>
              </w:rPr>
              <w:t xml:space="preserve">HS CODE </w:t>
            </w:r>
          </w:p>
        </w:tc>
        <w:tc>
          <w:tcPr>
            <w:tcW w:w="7150" w:type="dxa"/>
            <w:shd w:val="clear" w:color="auto" w:fill="auto"/>
          </w:tcPr>
          <w:p w:rsidR="009363C6" w:rsidRPr="009363C6" w:rsidRDefault="009363C6" w:rsidP="009363C6">
            <w:pPr>
              <w:rPr>
                <w:b/>
              </w:rPr>
            </w:pPr>
            <w:r w:rsidRPr="009363C6">
              <w:rPr>
                <w:b/>
              </w:rPr>
              <w:t>DESCRIPTION</w:t>
            </w:r>
          </w:p>
        </w:tc>
      </w:tr>
      <w:tr w:rsidR="002258BE" w:rsidTr="009363C6">
        <w:tc>
          <w:tcPr>
            <w:tcW w:w="675" w:type="dxa"/>
            <w:shd w:val="clear" w:color="auto" w:fill="auto"/>
          </w:tcPr>
          <w:p w:rsidR="009363C6" w:rsidRPr="00B24406" w:rsidRDefault="009363C6" w:rsidP="009363C6">
            <w:r>
              <w:t>1</w:t>
            </w:r>
            <w:r w:rsidRPr="00B24406">
              <w:t xml:space="preserve"> </w:t>
            </w:r>
          </w:p>
        </w:tc>
        <w:tc>
          <w:tcPr>
            <w:tcW w:w="1418" w:type="dxa"/>
            <w:shd w:val="clear" w:color="auto" w:fill="auto"/>
          </w:tcPr>
          <w:p w:rsidR="009363C6" w:rsidRPr="00B24406" w:rsidRDefault="009363C6" w:rsidP="009363C6">
            <w:r w:rsidRPr="00B24406">
              <w:t xml:space="preserve">2203.00 </w:t>
            </w:r>
          </w:p>
        </w:tc>
        <w:tc>
          <w:tcPr>
            <w:tcW w:w="7150" w:type="dxa"/>
            <w:shd w:val="clear" w:color="auto" w:fill="auto"/>
          </w:tcPr>
          <w:p w:rsidR="009363C6" w:rsidRPr="00B24406" w:rsidRDefault="009363C6" w:rsidP="009363C6">
            <w:r w:rsidRPr="00B24406">
              <w:t>Beer made from malt.</w:t>
            </w:r>
          </w:p>
        </w:tc>
      </w:tr>
      <w:tr w:rsidR="002258BE" w:rsidTr="009363C6">
        <w:tc>
          <w:tcPr>
            <w:tcW w:w="675" w:type="dxa"/>
            <w:shd w:val="clear" w:color="auto" w:fill="auto"/>
          </w:tcPr>
          <w:p w:rsidR="009363C6" w:rsidRPr="00355670" w:rsidRDefault="009363C6" w:rsidP="009363C6">
            <w:r w:rsidRPr="00355670">
              <w:t xml:space="preserve">2 </w:t>
            </w:r>
          </w:p>
        </w:tc>
        <w:tc>
          <w:tcPr>
            <w:tcW w:w="1418" w:type="dxa"/>
            <w:shd w:val="clear" w:color="auto" w:fill="auto"/>
          </w:tcPr>
          <w:p w:rsidR="009363C6" w:rsidRPr="00355670" w:rsidRDefault="009363C6" w:rsidP="009363C6">
            <w:r w:rsidRPr="00355670">
              <w:t xml:space="preserve">2208.30 </w:t>
            </w:r>
          </w:p>
        </w:tc>
        <w:tc>
          <w:tcPr>
            <w:tcW w:w="7150" w:type="dxa"/>
            <w:shd w:val="clear" w:color="auto" w:fill="auto"/>
          </w:tcPr>
          <w:p w:rsidR="009363C6" w:rsidRPr="00355670" w:rsidRDefault="005718B0" w:rsidP="009363C6">
            <w:r>
              <w:t xml:space="preserve">- </w:t>
            </w:r>
            <w:r w:rsidR="009363C6" w:rsidRPr="00355670">
              <w:t>Whiskies:</w:t>
            </w:r>
          </w:p>
        </w:tc>
      </w:tr>
      <w:tr w:rsidR="002258BE" w:rsidTr="009363C6">
        <w:tc>
          <w:tcPr>
            <w:tcW w:w="675" w:type="dxa"/>
            <w:shd w:val="clear" w:color="auto" w:fill="auto"/>
          </w:tcPr>
          <w:p w:rsidR="009363C6" w:rsidRPr="00E743A7" w:rsidRDefault="009363C6" w:rsidP="009363C6">
            <w:r w:rsidRPr="00E743A7">
              <w:t xml:space="preserve">3 </w:t>
            </w:r>
          </w:p>
        </w:tc>
        <w:tc>
          <w:tcPr>
            <w:tcW w:w="1418" w:type="dxa"/>
            <w:shd w:val="clear" w:color="auto" w:fill="auto"/>
          </w:tcPr>
          <w:p w:rsidR="009363C6" w:rsidRPr="00E743A7" w:rsidRDefault="009363C6" w:rsidP="009363C6">
            <w:r w:rsidRPr="00E743A7">
              <w:t xml:space="preserve">2402.20 </w:t>
            </w:r>
          </w:p>
        </w:tc>
        <w:tc>
          <w:tcPr>
            <w:tcW w:w="7150" w:type="dxa"/>
            <w:shd w:val="clear" w:color="auto" w:fill="auto"/>
          </w:tcPr>
          <w:p w:rsidR="009363C6" w:rsidRPr="00E743A7" w:rsidRDefault="005718B0" w:rsidP="009363C6">
            <w:r>
              <w:t xml:space="preserve">- </w:t>
            </w:r>
            <w:r w:rsidR="009363C6" w:rsidRPr="00E743A7">
              <w:t>Cigarettes containing tobacco:</w:t>
            </w:r>
          </w:p>
        </w:tc>
      </w:tr>
      <w:tr w:rsidR="002258BE" w:rsidTr="009363C6">
        <w:tc>
          <w:tcPr>
            <w:tcW w:w="675" w:type="dxa"/>
            <w:shd w:val="clear" w:color="auto" w:fill="auto"/>
          </w:tcPr>
          <w:p w:rsidR="009363C6" w:rsidRPr="000B1878" w:rsidRDefault="009363C6" w:rsidP="009363C6">
            <w:r w:rsidRPr="000B1878">
              <w:t xml:space="preserve">4 </w:t>
            </w:r>
          </w:p>
        </w:tc>
        <w:tc>
          <w:tcPr>
            <w:tcW w:w="1418" w:type="dxa"/>
            <w:shd w:val="clear" w:color="auto" w:fill="auto"/>
          </w:tcPr>
          <w:p w:rsidR="009363C6" w:rsidRPr="000B1878" w:rsidRDefault="009363C6" w:rsidP="009363C6">
            <w:r w:rsidRPr="000B1878">
              <w:t xml:space="preserve">8702.10 </w:t>
            </w:r>
          </w:p>
        </w:tc>
        <w:tc>
          <w:tcPr>
            <w:tcW w:w="7150" w:type="dxa"/>
            <w:shd w:val="clear" w:color="auto" w:fill="auto"/>
          </w:tcPr>
          <w:p w:rsidR="009363C6" w:rsidRPr="000B1878" w:rsidRDefault="005718B0" w:rsidP="009363C6">
            <w:r>
              <w:t xml:space="preserve">- </w:t>
            </w:r>
            <w:r w:rsidR="009363C6" w:rsidRPr="000B1878">
              <w:t>With compression-ignition internal combustion piston engine (diesel or semi-diesel)</w:t>
            </w:r>
          </w:p>
        </w:tc>
      </w:tr>
      <w:tr w:rsidR="002258BE" w:rsidTr="009363C6">
        <w:tc>
          <w:tcPr>
            <w:tcW w:w="675" w:type="dxa"/>
            <w:shd w:val="clear" w:color="auto" w:fill="auto"/>
          </w:tcPr>
          <w:p w:rsidR="009363C6" w:rsidRPr="0028015D" w:rsidRDefault="009363C6" w:rsidP="009363C6">
            <w:r w:rsidRPr="0028015D">
              <w:t xml:space="preserve">5 </w:t>
            </w:r>
          </w:p>
        </w:tc>
        <w:tc>
          <w:tcPr>
            <w:tcW w:w="1418" w:type="dxa"/>
            <w:shd w:val="clear" w:color="auto" w:fill="auto"/>
          </w:tcPr>
          <w:p w:rsidR="009363C6" w:rsidRPr="0028015D" w:rsidRDefault="009363C6" w:rsidP="009363C6">
            <w:r w:rsidRPr="0028015D">
              <w:t xml:space="preserve">8702.90 </w:t>
            </w:r>
          </w:p>
        </w:tc>
        <w:tc>
          <w:tcPr>
            <w:tcW w:w="7150" w:type="dxa"/>
            <w:shd w:val="clear" w:color="auto" w:fill="auto"/>
          </w:tcPr>
          <w:p w:rsidR="009363C6" w:rsidRPr="0028015D" w:rsidRDefault="005718B0" w:rsidP="009363C6">
            <w:r>
              <w:t xml:space="preserve">- </w:t>
            </w:r>
            <w:r w:rsidR="009363C6" w:rsidRPr="0028015D">
              <w:t>Other</w:t>
            </w:r>
          </w:p>
        </w:tc>
      </w:tr>
      <w:tr w:rsidR="002258BE" w:rsidTr="009363C6">
        <w:tc>
          <w:tcPr>
            <w:tcW w:w="675" w:type="dxa"/>
            <w:shd w:val="clear" w:color="auto" w:fill="auto"/>
          </w:tcPr>
          <w:p w:rsidR="009363C6" w:rsidRPr="00F570FB" w:rsidRDefault="009363C6" w:rsidP="009363C6">
            <w:r w:rsidRPr="00F570FB">
              <w:t xml:space="preserve">6 </w:t>
            </w:r>
          </w:p>
        </w:tc>
        <w:tc>
          <w:tcPr>
            <w:tcW w:w="1418" w:type="dxa"/>
            <w:shd w:val="clear" w:color="auto" w:fill="auto"/>
          </w:tcPr>
          <w:p w:rsidR="009363C6" w:rsidRPr="00F570FB" w:rsidRDefault="009363C6" w:rsidP="009363C6">
            <w:r w:rsidRPr="00F570FB">
              <w:t xml:space="preserve">8703.10 </w:t>
            </w:r>
          </w:p>
        </w:tc>
        <w:tc>
          <w:tcPr>
            <w:tcW w:w="7150" w:type="dxa"/>
            <w:shd w:val="clear" w:color="auto" w:fill="auto"/>
          </w:tcPr>
          <w:p w:rsidR="009363C6" w:rsidRPr="00F570FB" w:rsidRDefault="005718B0" w:rsidP="009363C6">
            <w:r>
              <w:t xml:space="preserve">- </w:t>
            </w:r>
            <w:r w:rsidR="009363C6" w:rsidRPr="00F570FB">
              <w:t>Vehicles specially designed f or travelling on snow; golf cars and similar vehicles</w:t>
            </w:r>
          </w:p>
        </w:tc>
      </w:tr>
      <w:tr w:rsidR="009363C6" w:rsidTr="009363C6">
        <w:tc>
          <w:tcPr>
            <w:tcW w:w="675" w:type="dxa"/>
            <w:shd w:val="clear" w:color="auto" w:fill="auto"/>
          </w:tcPr>
          <w:p w:rsidR="009363C6" w:rsidRPr="006D68A1" w:rsidRDefault="009363C6" w:rsidP="009363C6">
            <w:r w:rsidRPr="006D68A1">
              <w:t xml:space="preserve">8 </w:t>
            </w:r>
          </w:p>
        </w:tc>
        <w:tc>
          <w:tcPr>
            <w:tcW w:w="1418" w:type="dxa"/>
            <w:shd w:val="clear" w:color="auto" w:fill="auto"/>
          </w:tcPr>
          <w:p w:rsidR="009363C6" w:rsidRPr="006D68A1" w:rsidRDefault="009363C6" w:rsidP="009363C6">
            <w:r w:rsidRPr="006D68A1">
              <w:t>8703.22</w:t>
            </w:r>
          </w:p>
        </w:tc>
        <w:tc>
          <w:tcPr>
            <w:tcW w:w="7150" w:type="dxa"/>
            <w:shd w:val="clear" w:color="auto" w:fill="auto"/>
          </w:tcPr>
          <w:p w:rsidR="009363C6" w:rsidRPr="006D68A1" w:rsidRDefault="005718B0" w:rsidP="005718B0">
            <w:r>
              <w:t xml:space="preserve">-- </w:t>
            </w:r>
            <w:r w:rsidR="009363C6" w:rsidRPr="006D68A1">
              <w:t>Of a cylinder capacity exceeding 1,000 cc but not exceeding 1,500 cc</w:t>
            </w:r>
          </w:p>
        </w:tc>
      </w:tr>
      <w:tr w:rsidR="009363C6" w:rsidTr="009363C6">
        <w:tc>
          <w:tcPr>
            <w:tcW w:w="675" w:type="dxa"/>
            <w:shd w:val="clear" w:color="auto" w:fill="auto"/>
          </w:tcPr>
          <w:p w:rsidR="009363C6" w:rsidRPr="00560959" w:rsidRDefault="009363C6" w:rsidP="009363C6">
            <w:r w:rsidRPr="00560959">
              <w:t xml:space="preserve">9 </w:t>
            </w:r>
          </w:p>
        </w:tc>
        <w:tc>
          <w:tcPr>
            <w:tcW w:w="1418" w:type="dxa"/>
            <w:shd w:val="clear" w:color="auto" w:fill="auto"/>
          </w:tcPr>
          <w:p w:rsidR="009363C6" w:rsidRPr="00560959" w:rsidRDefault="009363C6" w:rsidP="009363C6">
            <w:r w:rsidRPr="00560959">
              <w:t xml:space="preserve">8703.23 </w:t>
            </w:r>
          </w:p>
        </w:tc>
        <w:tc>
          <w:tcPr>
            <w:tcW w:w="7150" w:type="dxa"/>
            <w:shd w:val="clear" w:color="auto" w:fill="auto"/>
          </w:tcPr>
          <w:p w:rsidR="009363C6" w:rsidRPr="00560959" w:rsidRDefault="005718B0" w:rsidP="005718B0">
            <w:r>
              <w:t xml:space="preserve">-- </w:t>
            </w:r>
            <w:r w:rsidR="009363C6" w:rsidRPr="00560959">
              <w:t>Of a cylinder capacity exceeding 1,500 cc but not exceeding 3,000 cc</w:t>
            </w:r>
          </w:p>
        </w:tc>
      </w:tr>
      <w:tr w:rsidR="009363C6" w:rsidTr="009363C6">
        <w:tc>
          <w:tcPr>
            <w:tcW w:w="675" w:type="dxa"/>
            <w:shd w:val="clear" w:color="auto" w:fill="auto"/>
          </w:tcPr>
          <w:p w:rsidR="009363C6" w:rsidRPr="009D73FA" w:rsidRDefault="009363C6" w:rsidP="009363C6">
            <w:r w:rsidRPr="009D73FA">
              <w:t xml:space="preserve">10 </w:t>
            </w:r>
          </w:p>
        </w:tc>
        <w:tc>
          <w:tcPr>
            <w:tcW w:w="1418" w:type="dxa"/>
            <w:shd w:val="clear" w:color="auto" w:fill="auto"/>
          </w:tcPr>
          <w:p w:rsidR="009363C6" w:rsidRPr="009D73FA" w:rsidRDefault="009363C6" w:rsidP="009363C6">
            <w:r w:rsidRPr="009D73FA">
              <w:t xml:space="preserve">8703.24 </w:t>
            </w:r>
          </w:p>
        </w:tc>
        <w:tc>
          <w:tcPr>
            <w:tcW w:w="7150" w:type="dxa"/>
            <w:shd w:val="clear" w:color="auto" w:fill="auto"/>
          </w:tcPr>
          <w:p w:rsidR="009363C6" w:rsidRPr="009D73FA" w:rsidRDefault="005718B0" w:rsidP="005718B0">
            <w:r>
              <w:t xml:space="preserve">-- </w:t>
            </w:r>
            <w:r w:rsidR="009363C6" w:rsidRPr="009D73FA">
              <w:t>Of a cylinder capacity exceeding 3,000 cc</w:t>
            </w:r>
          </w:p>
        </w:tc>
      </w:tr>
      <w:tr w:rsidR="009363C6" w:rsidTr="009363C6">
        <w:tc>
          <w:tcPr>
            <w:tcW w:w="675" w:type="dxa"/>
            <w:shd w:val="clear" w:color="auto" w:fill="auto"/>
          </w:tcPr>
          <w:p w:rsidR="009363C6" w:rsidRPr="009D73FA" w:rsidRDefault="009363C6" w:rsidP="009363C6">
            <w:r w:rsidRPr="009D73FA">
              <w:t>11</w:t>
            </w:r>
          </w:p>
        </w:tc>
        <w:tc>
          <w:tcPr>
            <w:tcW w:w="1418" w:type="dxa"/>
            <w:shd w:val="clear" w:color="auto" w:fill="auto"/>
          </w:tcPr>
          <w:p w:rsidR="009363C6" w:rsidRPr="009D73FA" w:rsidRDefault="009363C6" w:rsidP="009363C6">
            <w:r w:rsidRPr="009D73FA">
              <w:t xml:space="preserve">8703.31 </w:t>
            </w:r>
          </w:p>
        </w:tc>
        <w:tc>
          <w:tcPr>
            <w:tcW w:w="7150" w:type="dxa"/>
            <w:shd w:val="clear" w:color="auto" w:fill="auto"/>
          </w:tcPr>
          <w:p w:rsidR="009363C6" w:rsidRPr="009D73FA" w:rsidRDefault="005718B0" w:rsidP="009363C6">
            <w:r>
              <w:t xml:space="preserve">-- </w:t>
            </w:r>
            <w:r w:rsidR="009363C6" w:rsidRPr="009D73FA">
              <w:t>Of a cylinder capacity not exceeding 1,500 cc</w:t>
            </w:r>
          </w:p>
        </w:tc>
      </w:tr>
      <w:tr w:rsidR="009363C6" w:rsidTr="009363C6">
        <w:tc>
          <w:tcPr>
            <w:tcW w:w="675" w:type="dxa"/>
            <w:shd w:val="clear" w:color="auto" w:fill="auto"/>
          </w:tcPr>
          <w:p w:rsidR="009363C6" w:rsidRPr="005910AA" w:rsidRDefault="009363C6" w:rsidP="009363C6">
            <w:r w:rsidRPr="005910AA">
              <w:t xml:space="preserve">12 </w:t>
            </w:r>
          </w:p>
        </w:tc>
        <w:tc>
          <w:tcPr>
            <w:tcW w:w="1418" w:type="dxa"/>
            <w:shd w:val="clear" w:color="auto" w:fill="auto"/>
          </w:tcPr>
          <w:p w:rsidR="009363C6" w:rsidRPr="005910AA" w:rsidRDefault="009363C6" w:rsidP="009363C6">
            <w:r w:rsidRPr="005910AA">
              <w:t xml:space="preserve">8703.32 </w:t>
            </w:r>
          </w:p>
        </w:tc>
        <w:tc>
          <w:tcPr>
            <w:tcW w:w="7150" w:type="dxa"/>
            <w:shd w:val="clear" w:color="auto" w:fill="auto"/>
          </w:tcPr>
          <w:p w:rsidR="009363C6" w:rsidRPr="005910AA" w:rsidRDefault="005718B0" w:rsidP="009363C6">
            <w:r>
              <w:t xml:space="preserve">-- </w:t>
            </w:r>
            <w:r w:rsidR="009363C6" w:rsidRPr="005910AA">
              <w:t>Of a cylinder capacity exceeding 1,500 cc but not exceeding 2,500 cc</w:t>
            </w:r>
          </w:p>
        </w:tc>
      </w:tr>
      <w:tr w:rsidR="009363C6" w:rsidTr="009363C6">
        <w:tc>
          <w:tcPr>
            <w:tcW w:w="675" w:type="dxa"/>
            <w:shd w:val="clear" w:color="auto" w:fill="auto"/>
          </w:tcPr>
          <w:p w:rsidR="009363C6" w:rsidRPr="005910AA" w:rsidRDefault="009363C6" w:rsidP="009363C6">
            <w:r w:rsidRPr="005910AA">
              <w:t xml:space="preserve">13 </w:t>
            </w:r>
          </w:p>
        </w:tc>
        <w:tc>
          <w:tcPr>
            <w:tcW w:w="1418" w:type="dxa"/>
            <w:shd w:val="clear" w:color="auto" w:fill="auto"/>
          </w:tcPr>
          <w:p w:rsidR="009363C6" w:rsidRPr="005910AA" w:rsidRDefault="009363C6" w:rsidP="009363C6">
            <w:r w:rsidRPr="005910AA">
              <w:t xml:space="preserve">8703.33 </w:t>
            </w:r>
          </w:p>
        </w:tc>
        <w:tc>
          <w:tcPr>
            <w:tcW w:w="7150" w:type="dxa"/>
            <w:shd w:val="clear" w:color="auto" w:fill="auto"/>
          </w:tcPr>
          <w:p w:rsidR="009363C6" w:rsidRPr="005910AA" w:rsidRDefault="005718B0" w:rsidP="009363C6">
            <w:r>
              <w:t xml:space="preserve">-- </w:t>
            </w:r>
            <w:r w:rsidR="009363C6" w:rsidRPr="005910AA">
              <w:t>Of a cylinder capacity exceeding 2,500cc</w:t>
            </w:r>
          </w:p>
        </w:tc>
      </w:tr>
      <w:tr w:rsidR="009363C6" w:rsidTr="009363C6">
        <w:tc>
          <w:tcPr>
            <w:tcW w:w="675" w:type="dxa"/>
            <w:shd w:val="clear" w:color="auto" w:fill="auto"/>
          </w:tcPr>
          <w:p w:rsidR="009363C6" w:rsidRPr="005910AA" w:rsidRDefault="009363C6" w:rsidP="009363C6">
            <w:r w:rsidRPr="005910AA">
              <w:t xml:space="preserve">14 </w:t>
            </w:r>
          </w:p>
        </w:tc>
        <w:tc>
          <w:tcPr>
            <w:tcW w:w="1418" w:type="dxa"/>
            <w:shd w:val="clear" w:color="auto" w:fill="auto"/>
          </w:tcPr>
          <w:p w:rsidR="009363C6" w:rsidRPr="005910AA" w:rsidRDefault="009363C6" w:rsidP="009363C6">
            <w:r w:rsidRPr="005910AA">
              <w:t xml:space="preserve">8703.90 </w:t>
            </w:r>
          </w:p>
        </w:tc>
        <w:tc>
          <w:tcPr>
            <w:tcW w:w="7150" w:type="dxa"/>
            <w:shd w:val="clear" w:color="auto" w:fill="auto"/>
          </w:tcPr>
          <w:p w:rsidR="009363C6" w:rsidRPr="005910AA" w:rsidRDefault="005718B0" w:rsidP="009363C6">
            <w:r>
              <w:t xml:space="preserve">- </w:t>
            </w:r>
            <w:r w:rsidR="009363C6" w:rsidRPr="005910AA">
              <w:t>Other</w:t>
            </w:r>
          </w:p>
        </w:tc>
      </w:tr>
      <w:tr w:rsidR="009363C6" w:rsidTr="009363C6">
        <w:tc>
          <w:tcPr>
            <w:tcW w:w="675" w:type="dxa"/>
            <w:shd w:val="clear" w:color="auto" w:fill="auto"/>
          </w:tcPr>
          <w:p w:rsidR="009363C6" w:rsidRPr="005910AA" w:rsidRDefault="009363C6" w:rsidP="009363C6">
            <w:r w:rsidRPr="005910AA">
              <w:t xml:space="preserve">15 </w:t>
            </w:r>
          </w:p>
        </w:tc>
        <w:tc>
          <w:tcPr>
            <w:tcW w:w="1418" w:type="dxa"/>
            <w:shd w:val="clear" w:color="auto" w:fill="auto"/>
          </w:tcPr>
          <w:p w:rsidR="009363C6" w:rsidRPr="005910AA" w:rsidRDefault="009363C6" w:rsidP="009363C6">
            <w:r w:rsidRPr="005910AA">
              <w:t xml:space="preserve">8704.10 </w:t>
            </w:r>
          </w:p>
        </w:tc>
        <w:tc>
          <w:tcPr>
            <w:tcW w:w="7150" w:type="dxa"/>
            <w:shd w:val="clear" w:color="auto" w:fill="auto"/>
          </w:tcPr>
          <w:p w:rsidR="009363C6" w:rsidRPr="005910AA" w:rsidRDefault="005718B0" w:rsidP="009363C6">
            <w:r>
              <w:t xml:space="preserve">- </w:t>
            </w:r>
            <w:r w:rsidR="009363C6" w:rsidRPr="005910AA">
              <w:t>Dumpers designed for off-highway use</w:t>
            </w:r>
          </w:p>
        </w:tc>
      </w:tr>
      <w:tr w:rsidR="009363C6" w:rsidTr="009363C6">
        <w:tc>
          <w:tcPr>
            <w:tcW w:w="675" w:type="dxa"/>
            <w:shd w:val="clear" w:color="auto" w:fill="auto"/>
          </w:tcPr>
          <w:p w:rsidR="009363C6" w:rsidRPr="005910AA" w:rsidRDefault="009363C6" w:rsidP="009363C6">
            <w:r w:rsidRPr="005910AA">
              <w:t xml:space="preserve">16 </w:t>
            </w:r>
          </w:p>
        </w:tc>
        <w:tc>
          <w:tcPr>
            <w:tcW w:w="1418" w:type="dxa"/>
            <w:shd w:val="clear" w:color="auto" w:fill="auto"/>
          </w:tcPr>
          <w:p w:rsidR="009363C6" w:rsidRPr="005910AA" w:rsidRDefault="009363C6" w:rsidP="009363C6">
            <w:r w:rsidRPr="005910AA">
              <w:t xml:space="preserve">8704.21 </w:t>
            </w:r>
          </w:p>
        </w:tc>
        <w:tc>
          <w:tcPr>
            <w:tcW w:w="7150" w:type="dxa"/>
            <w:shd w:val="clear" w:color="auto" w:fill="auto"/>
          </w:tcPr>
          <w:p w:rsidR="009363C6" w:rsidRPr="005910AA" w:rsidRDefault="005718B0" w:rsidP="009363C6">
            <w:r>
              <w:t xml:space="preserve">-- </w:t>
            </w:r>
            <w:r w:rsidR="009363C6" w:rsidRPr="005910AA">
              <w:t>Gross vehicle weight not exceeding 5t</w:t>
            </w:r>
          </w:p>
        </w:tc>
      </w:tr>
    </w:tbl>
    <w:p w:rsidR="009363C6" w:rsidRDefault="009363C6" w:rsidP="009363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01"/>
        <w:gridCol w:w="6947"/>
      </w:tblGrid>
      <w:tr w:rsidR="002258BE" w:rsidTr="009363C6">
        <w:tc>
          <w:tcPr>
            <w:tcW w:w="675" w:type="dxa"/>
            <w:shd w:val="clear" w:color="auto" w:fill="auto"/>
          </w:tcPr>
          <w:p w:rsidR="009363C6" w:rsidRPr="009363C6" w:rsidRDefault="009363C6" w:rsidP="009363C6">
            <w:pPr>
              <w:rPr>
                <w:b/>
              </w:rPr>
            </w:pPr>
            <w:r w:rsidRPr="009363C6">
              <w:rPr>
                <w:b/>
              </w:rPr>
              <w:lastRenderedPageBreak/>
              <w:t xml:space="preserve">NO </w:t>
            </w:r>
          </w:p>
        </w:tc>
        <w:tc>
          <w:tcPr>
            <w:tcW w:w="1418" w:type="dxa"/>
            <w:shd w:val="clear" w:color="auto" w:fill="auto"/>
          </w:tcPr>
          <w:p w:rsidR="009363C6" w:rsidRPr="009363C6" w:rsidRDefault="009363C6" w:rsidP="009363C6">
            <w:pPr>
              <w:rPr>
                <w:b/>
              </w:rPr>
            </w:pPr>
            <w:r w:rsidRPr="009363C6">
              <w:rPr>
                <w:b/>
              </w:rPr>
              <w:t xml:space="preserve">HS CODE </w:t>
            </w:r>
          </w:p>
        </w:tc>
        <w:tc>
          <w:tcPr>
            <w:tcW w:w="7150" w:type="dxa"/>
            <w:shd w:val="clear" w:color="auto" w:fill="auto"/>
          </w:tcPr>
          <w:p w:rsidR="009363C6" w:rsidRPr="009363C6" w:rsidRDefault="009363C6" w:rsidP="009363C6">
            <w:pPr>
              <w:rPr>
                <w:b/>
              </w:rPr>
            </w:pPr>
            <w:r w:rsidRPr="009363C6">
              <w:rPr>
                <w:b/>
              </w:rPr>
              <w:t>DESCRIPTION</w:t>
            </w:r>
          </w:p>
        </w:tc>
      </w:tr>
      <w:tr w:rsidR="009363C6" w:rsidTr="009363C6">
        <w:tc>
          <w:tcPr>
            <w:tcW w:w="675" w:type="dxa"/>
            <w:shd w:val="clear" w:color="auto" w:fill="auto"/>
          </w:tcPr>
          <w:p w:rsidR="009363C6" w:rsidRPr="005910AA" w:rsidRDefault="009363C6" w:rsidP="009363C6">
            <w:r w:rsidRPr="005910AA">
              <w:t xml:space="preserve">17 </w:t>
            </w:r>
          </w:p>
        </w:tc>
        <w:tc>
          <w:tcPr>
            <w:tcW w:w="1418" w:type="dxa"/>
            <w:shd w:val="clear" w:color="auto" w:fill="auto"/>
          </w:tcPr>
          <w:p w:rsidR="009363C6" w:rsidRPr="005910AA" w:rsidRDefault="009363C6" w:rsidP="009363C6">
            <w:r w:rsidRPr="005910AA">
              <w:t xml:space="preserve">8704.22 </w:t>
            </w:r>
          </w:p>
        </w:tc>
        <w:tc>
          <w:tcPr>
            <w:tcW w:w="7150" w:type="dxa"/>
            <w:shd w:val="clear" w:color="auto" w:fill="auto"/>
          </w:tcPr>
          <w:p w:rsidR="009363C6" w:rsidRPr="005910AA" w:rsidRDefault="005718B0" w:rsidP="009363C6">
            <w:r>
              <w:t xml:space="preserve">-- </w:t>
            </w:r>
            <w:proofErr w:type="spellStart"/>
            <w:r w:rsidR="009363C6" w:rsidRPr="005910AA">
              <w:t>g.v.w</w:t>
            </w:r>
            <w:proofErr w:type="spellEnd"/>
            <w:r w:rsidR="009363C6" w:rsidRPr="005910AA">
              <w:t xml:space="preserve"> exceeding 5t but not exceeding 20t</w:t>
            </w:r>
          </w:p>
        </w:tc>
      </w:tr>
      <w:tr w:rsidR="009363C6" w:rsidTr="009363C6">
        <w:tc>
          <w:tcPr>
            <w:tcW w:w="675" w:type="dxa"/>
            <w:shd w:val="clear" w:color="auto" w:fill="auto"/>
          </w:tcPr>
          <w:p w:rsidR="009363C6" w:rsidRPr="005910AA" w:rsidRDefault="009363C6" w:rsidP="009363C6">
            <w:r w:rsidRPr="005910AA">
              <w:t xml:space="preserve">18 </w:t>
            </w:r>
          </w:p>
        </w:tc>
        <w:tc>
          <w:tcPr>
            <w:tcW w:w="1418" w:type="dxa"/>
            <w:shd w:val="clear" w:color="auto" w:fill="auto"/>
          </w:tcPr>
          <w:p w:rsidR="009363C6" w:rsidRPr="005910AA" w:rsidRDefault="009363C6" w:rsidP="009363C6">
            <w:r w:rsidRPr="005910AA">
              <w:t xml:space="preserve">8704.23 </w:t>
            </w:r>
          </w:p>
        </w:tc>
        <w:tc>
          <w:tcPr>
            <w:tcW w:w="7150" w:type="dxa"/>
            <w:shd w:val="clear" w:color="auto" w:fill="auto"/>
          </w:tcPr>
          <w:p w:rsidR="009363C6" w:rsidRPr="005910AA" w:rsidRDefault="005718B0" w:rsidP="009363C6">
            <w:r>
              <w:t xml:space="preserve">-- </w:t>
            </w:r>
            <w:proofErr w:type="spellStart"/>
            <w:r w:rsidR="009363C6" w:rsidRPr="005910AA">
              <w:t>g.v.w</w:t>
            </w:r>
            <w:proofErr w:type="spellEnd"/>
            <w:r w:rsidR="009363C6" w:rsidRPr="005910AA">
              <w:t xml:space="preserve"> exceeding 20t</w:t>
            </w:r>
          </w:p>
        </w:tc>
      </w:tr>
      <w:tr w:rsidR="009363C6" w:rsidTr="009363C6">
        <w:tc>
          <w:tcPr>
            <w:tcW w:w="675" w:type="dxa"/>
            <w:shd w:val="clear" w:color="auto" w:fill="auto"/>
          </w:tcPr>
          <w:p w:rsidR="009363C6" w:rsidRPr="005910AA" w:rsidRDefault="009363C6" w:rsidP="009363C6">
            <w:r w:rsidRPr="005910AA">
              <w:t xml:space="preserve">19 </w:t>
            </w:r>
          </w:p>
        </w:tc>
        <w:tc>
          <w:tcPr>
            <w:tcW w:w="1418" w:type="dxa"/>
            <w:shd w:val="clear" w:color="auto" w:fill="auto"/>
          </w:tcPr>
          <w:p w:rsidR="009363C6" w:rsidRPr="005910AA" w:rsidRDefault="009363C6" w:rsidP="009363C6">
            <w:r w:rsidRPr="005910AA">
              <w:t xml:space="preserve">8704.31 </w:t>
            </w:r>
          </w:p>
        </w:tc>
        <w:tc>
          <w:tcPr>
            <w:tcW w:w="7150" w:type="dxa"/>
            <w:shd w:val="clear" w:color="auto" w:fill="auto"/>
          </w:tcPr>
          <w:p w:rsidR="009363C6" w:rsidRPr="005910AA" w:rsidRDefault="005718B0" w:rsidP="009363C6">
            <w:r>
              <w:t xml:space="preserve">-- </w:t>
            </w:r>
            <w:proofErr w:type="spellStart"/>
            <w:r w:rsidR="009363C6" w:rsidRPr="005910AA">
              <w:t>g.v.w</w:t>
            </w:r>
            <w:proofErr w:type="spellEnd"/>
            <w:r w:rsidR="009363C6" w:rsidRPr="005910AA">
              <w:t xml:space="preserve"> not exceeding St</w:t>
            </w:r>
          </w:p>
        </w:tc>
      </w:tr>
      <w:tr w:rsidR="009363C6" w:rsidTr="009363C6">
        <w:tc>
          <w:tcPr>
            <w:tcW w:w="675" w:type="dxa"/>
            <w:shd w:val="clear" w:color="auto" w:fill="auto"/>
          </w:tcPr>
          <w:p w:rsidR="009363C6" w:rsidRPr="005910AA" w:rsidRDefault="009363C6" w:rsidP="009363C6">
            <w:r w:rsidRPr="005910AA">
              <w:t xml:space="preserve">20 </w:t>
            </w:r>
          </w:p>
        </w:tc>
        <w:tc>
          <w:tcPr>
            <w:tcW w:w="1418" w:type="dxa"/>
            <w:shd w:val="clear" w:color="auto" w:fill="auto"/>
          </w:tcPr>
          <w:p w:rsidR="009363C6" w:rsidRPr="005910AA" w:rsidRDefault="009363C6" w:rsidP="009363C6">
            <w:r w:rsidRPr="005910AA">
              <w:t xml:space="preserve">8704.32 </w:t>
            </w:r>
          </w:p>
        </w:tc>
        <w:tc>
          <w:tcPr>
            <w:tcW w:w="7150" w:type="dxa"/>
            <w:shd w:val="clear" w:color="auto" w:fill="auto"/>
          </w:tcPr>
          <w:p w:rsidR="009363C6" w:rsidRPr="005910AA" w:rsidRDefault="005718B0" w:rsidP="009363C6">
            <w:r>
              <w:t xml:space="preserve">-- </w:t>
            </w:r>
            <w:proofErr w:type="spellStart"/>
            <w:r w:rsidR="009363C6" w:rsidRPr="005910AA">
              <w:t>g.v.w</w:t>
            </w:r>
            <w:proofErr w:type="spellEnd"/>
            <w:r w:rsidR="009363C6" w:rsidRPr="005910AA">
              <w:t>. exceeding 5t</w:t>
            </w:r>
          </w:p>
        </w:tc>
      </w:tr>
      <w:tr w:rsidR="009363C6" w:rsidTr="009363C6">
        <w:tc>
          <w:tcPr>
            <w:tcW w:w="675" w:type="dxa"/>
            <w:shd w:val="clear" w:color="auto" w:fill="auto"/>
          </w:tcPr>
          <w:p w:rsidR="009363C6" w:rsidRPr="005910AA" w:rsidRDefault="009363C6" w:rsidP="009363C6">
            <w:r w:rsidRPr="005910AA">
              <w:t xml:space="preserve">21 </w:t>
            </w:r>
          </w:p>
        </w:tc>
        <w:tc>
          <w:tcPr>
            <w:tcW w:w="1418" w:type="dxa"/>
            <w:shd w:val="clear" w:color="auto" w:fill="auto"/>
          </w:tcPr>
          <w:p w:rsidR="009363C6" w:rsidRPr="005910AA" w:rsidRDefault="009363C6" w:rsidP="009363C6">
            <w:r w:rsidRPr="005910AA">
              <w:t xml:space="preserve">8704.90 </w:t>
            </w:r>
          </w:p>
        </w:tc>
        <w:tc>
          <w:tcPr>
            <w:tcW w:w="7150" w:type="dxa"/>
            <w:shd w:val="clear" w:color="auto" w:fill="auto"/>
          </w:tcPr>
          <w:p w:rsidR="009363C6" w:rsidRPr="005910AA" w:rsidRDefault="005718B0" w:rsidP="009363C6">
            <w:r>
              <w:t xml:space="preserve">- </w:t>
            </w:r>
            <w:r w:rsidR="009363C6" w:rsidRPr="005910AA">
              <w:t>Other</w:t>
            </w:r>
          </w:p>
        </w:tc>
      </w:tr>
      <w:tr w:rsidR="009363C6" w:rsidTr="009363C6">
        <w:tc>
          <w:tcPr>
            <w:tcW w:w="675" w:type="dxa"/>
            <w:shd w:val="clear" w:color="auto" w:fill="auto"/>
          </w:tcPr>
          <w:p w:rsidR="009363C6" w:rsidRPr="005910AA" w:rsidRDefault="009363C6" w:rsidP="009363C6">
            <w:r w:rsidRPr="005910AA">
              <w:t xml:space="preserve">22 </w:t>
            </w:r>
          </w:p>
        </w:tc>
        <w:tc>
          <w:tcPr>
            <w:tcW w:w="1418" w:type="dxa"/>
            <w:shd w:val="clear" w:color="auto" w:fill="auto"/>
          </w:tcPr>
          <w:p w:rsidR="009363C6" w:rsidRPr="005910AA" w:rsidRDefault="009363C6" w:rsidP="009363C6">
            <w:r w:rsidRPr="005910AA">
              <w:t xml:space="preserve">8706.00 </w:t>
            </w:r>
          </w:p>
        </w:tc>
        <w:tc>
          <w:tcPr>
            <w:tcW w:w="7150" w:type="dxa"/>
            <w:shd w:val="clear" w:color="auto" w:fill="auto"/>
          </w:tcPr>
          <w:p w:rsidR="009363C6" w:rsidRPr="005910AA" w:rsidRDefault="009363C6" w:rsidP="009363C6">
            <w:r w:rsidRPr="005910AA">
              <w:t>Chassis fitted with engines, for the motor vehicles of headings 87.01 to 87.05.</w:t>
            </w:r>
          </w:p>
        </w:tc>
      </w:tr>
      <w:tr w:rsidR="009363C6" w:rsidTr="009363C6">
        <w:tc>
          <w:tcPr>
            <w:tcW w:w="675" w:type="dxa"/>
            <w:shd w:val="clear" w:color="auto" w:fill="auto"/>
          </w:tcPr>
          <w:p w:rsidR="009363C6" w:rsidRPr="005910AA" w:rsidRDefault="009363C6" w:rsidP="009363C6">
            <w:r w:rsidRPr="005910AA">
              <w:t xml:space="preserve">23 </w:t>
            </w:r>
          </w:p>
        </w:tc>
        <w:tc>
          <w:tcPr>
            <w:tcW w:w="1418" w:type="dxa"/>
            <w:shd w:val="clear" w:color="auto" w:fill="auto"/>
          </w:tcPr>
          <w:p w:rsidR="009363C6" w:rsidRPr="005910AA" w:rsidRDefault="009363C6" w:rsidP="009363C6">
            <w:r w:rsidRPr="005910AA">
              <w:t xml:space="preserve">8707.10 </w:t>
            </w:r>
          </w:p>
        </w:tc>
        <w:tc>
          <w:tcPr>
            <w:tcW w:w="7150" w:type="dxa"/>
            <w:shd w:val="clear" w:color="auto" w:fill="auto"/>
          </w:tcPr>
          <w:p w:rsidR="009363C6" w:rsidRPr="005910AA" w:rsidRDefault="005718B0" w:rsidP="009363C6">
            <w:r>
              <w:t xml:space="preserve">- </w:t>
            </w:r>
            <w:r w:rsidR="009363C6" w:rsidRPr="005910AA">
              <w:t>For the vehicles of 87.03</w:t>
            </w:r>
          </w:p>
        </w:tc>
      </w:tr>
      <w:tr w:rsidR="009363C6" w:rsidTr="009363C6">
        <w:tc>
          <w:tcPr>
            <w:tcW w:w="675" w:type="dxa"/>
            <w:shd w:val="clear" w:color="auto" w:fill="auto"/>
          </w:tcPr>
          <w:p w:rsidR="009363C6" w:rsidRPr="005910AA" w:rsidRDefault="009363C6" w:rsidP="009363C6">
            <w:r w:rsidRPr="005910AA">
              <w:t xml:space="preserve">24 </w:t>
            </w:r>
          </w:p>
        </w:tc>
        <w:tc>
          <w:tcPr>
            <w:tcW w:w="1418" w:type="dxa"/>
            <w:shd w:val="clear" w:color="auto" w:fill="auto"/>
          </w:tcPr>
          <w:p w:rsidR="009363C6" w:rsidRPr="005910AA" w:rsidRDefault="009363C6" w:rsidP="009363C6">
            <w:r w:rsidRPr="005910AA">
              <w:t xml:space="preserve">8707.90 </w:t>
            </w:r>
          </w:p>
        </w:tc>
        <w:tc>
          <w:tcPr>
            <w:tcW w:w="7150" w:type="dxa"/>
            <w:shd w:val="clear" w:color="auto" w:fill="auto"/>
          </w:tcPr>
          <w:p w:rsidR="009363C6" w:rsidRPr="005910AA" w:rsidRDefault="005718B0" w:rsidP="009363C6">
            <w:r>
              <w:t xml:space="preserve">- </w:t>
            </w:r>
            <w:r w:rsidR="009363C6" w:rsidRPr="005910AA">
              <w:t>Other</w:t>
            </w:r>
          </w:p>
        </w:tc>
      </w:tr>
      <w:tr w:rsidR="009363C6" w:rsidTr="009363C6">
        <w:tc>
          <w:tcPr>
            <w:tcW w:w="675" w:type="dxa"/>
            <w:shd w:val="clear" w:color="auto" w:fill="auto"/>
          </w:tcPr>
          <w:p w:rsidR="009363C6" w:rsidRPr="005910AA" w:rsidRDefault="009363C6" w:rsidP="009363C6">
            <w:r w:rsidRPr="005910AA">
              <w:t xml:space="preserve">25 </w:t>
            </w:r>
          </w:p>
        </w:tc>
        <w:tc>
          <w:tcPr>
            <w:tcW w:w="1418" w:type="dxa"/>
            <w:shd w:val="clear" w:color="auto" w:fill="auto"/>
          </w:tcPr>
          <w:p w:rsidR="009363C6" w:rsidRPr="005910AA" w:rsidRDefault="009363C6" w:rsidP="009363C6">
            <w:r w:rsidRPr="005910AA">
              <w:t xml:space="preserve">8708.10 </w:t>
            </w:r>
          </w:p>
        </w:tc>
        <w:tc>
          <w:tcPr>
            <w:tcW w:w="7150" w:type="dxa"/>
            <w:shd w:val="clear" w:color="auto" w:fill="auto"/>
          </w:tcPr>
          <w:p w:rsidR="009363C6" w:rsidRPr="005910AA" w:rsidRDefault="005718B0" w:rsidP="009363C6">
            <w:r>
              <w:t xml:space="preserve">- </w:t>
            </w:r>
            <w:r w:rsidR="009363C6" w:rsidRPr="005910AA">
              <w:t>Bumpers and parts thereof</w:t>
            </w:r>
          </w:p>
        </w:tc>
      </w:tr>
      <w:tr w:rsidR="009363C6" w:rsidTr="009363C6">
        <w:tc>
          <w:tcPr>
            <w:tcW w:w="675" w:type="dxa"/>
            <w:shd w:val="clear" w:color="auto" w:fill="auto"/>
          </w:tcPr>
          <w:p w:rsidR="009363C6" w:rsidRPr="005910AA" w:rsidRDefault="009363C6" w:rsidP="009363C6">
            <w:r w:rsidRPr="005910AA">
              <w:t xml:space="preserve">26 </w:t>
            </w:r>
          </w:p>
        </w:tc>
        <w:tc>
          <w:tcPr>
            <w:tcW w:w="1418" w:type="dxa"/>
            <w:shd w:val="clear" w:color="auto" w:fill="auto"/>
          </w:tcPr>
          <w:p w:rsidR="009363C6" w:rsidRPr="005910AA" w:rsidRDefault="009363C6" w:rsidP="009363C6">
            <w:r w:rsidRPr="005910AA">
              <w:t xml:space="preserve">8708.21 </w:t>
            </w:r>
          </w:p>
        </w:tc>
        <w:tc>
          <w:tcPr>
            <w:tcW w:w="7150" w:type="dxa"/>
            <w:shd w:val="clear" w:color="auto" w:fill="auto"/>
          </w:tcPr>
          <w:p w:rsidR="009363C6" w:rsidRPr="005910AA" w:rsidRDefault="005718B0" w:rsidP="009363C6">
            <w:r>
              <w:t xml:space="preserve">-- </w:t>
            </w:r>
            <w:r w:rsidR="009363C6" w:rsidRPr="005910AA">
              <w:t>Safety seat belts</w:t>
            </w:r>
          </w:p>
        </w:tc>
      </w:tr>
      <w:tr w:rsidR="009363C6" w:rsidTr="009363C6">
        <w:tc>
          <w:tcPr>
            <w:tcW w:w="675" w:type="dxa"/>
            <w:shd w:val="clear" w:color="auto" w:fill="auto"/>
          </w:tcPr>
          <w:p w:rsidR="009363C6" w:rsidRPr="005910AA" w:rsidRDefault="009363C6" w:rsidP="009363C6">
            <w:r w:rsidRPr="005910AA">
              <w:t xml:space="preserve">27 </w:t>
            </w:r>
          </w:p>
        </w:tc>
        <w:tc>
          <w:tcPr>
            <w:tcW w:w="1418" w:type="dxa"/>
            <w:shd w:val="clear" w:color="auto" w:fill="auto"/>
          </w:tcPr>
          <w:p w:rsidR="009363C6" w:rsidRPr="005910AA" w:rsidRDefault="009363C6" w:rsidP="009363C6">
            <w:r w:rsidRPr="005910AA">
              <w:t xml:space="preserve">8708.29 </w:t>
            </w:r>
          </w:p>
        </w:tc>
        <w:tc>
          <w:tcPr>
            <w:tcW w:w="7150" w:type="dxa"/>
            <w:shd w:val="clear" w:color="auto" w:fill="auto"/>
          </w:tcPr>
          <w:p w:rsidR="009363C6" w:rsidRPr="005910AA" w:rsidRDefault="005718B0" w:rsidP="009363C6">
            <w:r>
              <w:t xml:space="preserve">- </w:t>
            </w:r>
            <w:r w:rsidR="009363C6" w:rsidRPr="005910AA">
              <w:t>Other</w:t>
            </w:r>
          </w:p>
        </w:tc>
      </w:tr>
      <w:tr w:rsidR="009363C6" w:rsidTr="009363C6">
        <w:tc>
          <w:tcPr>
            <w:tcW w:w="675" w:type="dxa"/>
            <w:shd w:val="clear" w:color="auto" w:fill="auto"/>
          </w:tcPr>
          <w:p w:rsidR="009363C6" w:rsidRPr="005910AA" w:rsidRDefault="009363C6" w:rsidP="009363C6">
            <w:r w:rsidRPr="005910AA">
              <w:t xml:space="preserve">28 </w:t>
            </w:r>
          </w:p>
        </w:tc>
        <w:tc>
          <w:tcPr>
            <w:tcW w:w="1418" w:type="dxa"/>
            <w:shd w:val="clear" w:color="auto" w:fill="auto"/>
          </w:tcPr>
          <w:p w:rsidR="009363C6" w:rsidRPr="005910AA" w:rsidRDefault="009363C6" w:rsidP="009363C6">
            <w:r w:rsidRPr="005910AA">
              <w:t xml:space="preserve">8711.10 </w:t>
            </w:r>
          </w:p>
        </w:tc>
        <w:tc>
          <w:tcPr>
            <w:tcW w:w="7150" w:type="dxa"/>
            <w:shd w:val="clear" w:color="auto" w:fill="auto"/>
          </w:tcPr>
          <w:p w:rsidR="009363C6" w:rsidRPr="005910AA" w:rsidRDefault="005718B0" w:rsidP="009363C6">
            <w:r>
              <w:t xml:space="preserve">- </w:t>
            </w:r>
            <w:r w:rsidR="009363C6" w:rsidRPr="005910AA">
              <w:t>With reciprocating internal combustion piston engine of a cylinder capacity not exceeding 50cc</w:t>
            </w:r>
          </w:p>
        </w:tc>
      </w:tr>
      <w:tr w:rsidR="009363C6" w:rsidTr="009363C6">
        <w:tc>
          <w:tcPr>
            <w:tcW w:w="675" w:type="dxa"/>
            <w:shd w:val="clear" w:color="auto" w:fill="auto"/>
          </w:tcPr>
          <w:p w:rsidR="009363C6" w:rsidRPr="005910AA" w:rsidRDefault="009363C6" w:rsidP="009363C6">
            <w:r w:rsidRPr="005910AA">
              <w:t xml:space="preserve">29 </w:t>
            </w:r>
          </w:p>
        </w:tc>
        <w:tc>
          <w:tcPr>
            <w:tcW w:w="1418" w:type="dxa"/>
            <w:shd w:val="clear" w:color="auto" w:fill="auto"/>
          </w:tcPr>
          <w:p w:rsidR="009363C6" w:rsidRPr="005910AA" w:rsidRDefault="009363C6" w:rsidP="009363C6">
            <w:r w:rsidRPr="005910AA">
              <w:t xml:space="preserve">8711.20 </w:t>
            </w:r>
          </w:p>
        </w:tc>
        <w:tc>
          <w:tcPr>
            <w:tcW w:w="7150" w:type="dxa"/>
            <w:shd w:val="clear" w:color="auto" w:fill="auto"/>
          </w:tcPr>
          <w:p w:rsidR="009363C6" w:rsidRPr="005910AA" w:rsidRDefault="005718B0" w:rsidP="009363C6">
            <w:r>
              <w:t xml:space="preserve">- </w:t>
            </w:r>
            <w:r w:rsidR="009363C6" w:rsidRPr="005910AA">
              <w:t>With reciprocating internal combustion piston engine of a cylinder capacity exceeding 50cc but not exceeding 250cc</w:t>
            </w:r>
          </w:p>
        </w:tc>
      </w:tr>
      <w:tr w:rsidR="009363C6" w:rsidTr="009363C6">
        <w:tc>
          <w:tcPr>
            <w:tcW w:w="675" w:type="dxa"/>
            <w:shd w:val="clear" w:color="auto" w:fill="auto"/>
          </w:tcPr>
          <w:p w:rsidR="009363C6" w:rsidRPr="005910AA" w:rsidRDefault="009363C6" w:rsidP="009363C6">
            <w:r w:rsidRPr="005910AA">
              <w:t xml:space="preserve">30 </w:t>
            </w:r>
          </w:p>
        </w:tc>
        <w:tc>
          <w:tcPr>
            <w:tcW w:w="1418" w:type="dxa"/>
            <w:shd w:val="clear" w:color="auto" w:fill="auto"/>
          </w:tcPr>
          <w:p w:rsidR="009363C6" w:rsidRPr="005910AA" w:rsidRDefault="009363C6" w:rsidP="009363C6">
            <w:r w:rsidRPr="005910AA">
              <w:t xml:space="preserve">8711.30 </w:t>
            </w:r>
          </w:p>
        </w:tc>
        <w:tc>
          <w:tcPr>
            <w:tcW w:w="7150" w:type="dxa"/>
            <w:shd w:val="clear" w:color="auto" w:fill="auto"/>
          </w:tcPr>
          <w:p w:rsidR="009363C6" w:rsidRPr="005910AA" w:rsidRDefault="005718B0" w:rsidP="009363C6">
            <w:r>
              <w:t xml:space="preserve">- </w:t>
            </w:r>
            <w:r w:rsidR="009363C6" w:rsidRPr="005910AA">
              <w:t>With reciprocating internal combustion piston engine of a cylinder capacity exceeding 250cc but not exceeding 500cc</w:t>
            </w:r>
          </w:p>
        </w:tc>
      </w:tr>
      <w:tr w:rsidR="009363C6" w:rsidTr="009363C6">
        <w:tc>
          <w:tcPr>
            <w:tcW w:w="675" w:type="dxa"/>
            <w:shd w:val="clear" w:color="auto" w:fill="auto"/>
          </w:tcPr>
          <w:p w:rsidR="009363C6" w:rsidRPr="005910AA" w:rsidRDefault="009363C6" w:rsidP="009363C6">
            <w:r w:rsidRPr="005910AA">
              <w:t xml:space="preserve">31 </w:t>
            </w:r>
          </w:p>
        </w:tc>
        <w:tc>
          <w:tcPr>
            <w:tcW w:w="1418" w:type="dxa"/>
            <w:shd w:val="clear" w:color="auto" w:fill="auto"/>
          </w:tcPr>
          <w:p w:rsidR="009363C6" w:rsidRPr="005910AA" w:rsidRDefault="009363C6" w:rsidP="009363C6">
            <w:r w:rsidRPr="005910AA">
              <w:t xml:space="preserve">8711.40 </w:t>
            </w:r>
          </w:p>
        </w:tc>
        <w:tc>
          <w:tcPr>
            <w:tcW w:w="7150" w:type="dxa"/>
            <w:shd w:val="clear" w:color="auto" w:fill="auto"/>
          </w:tcPr>
          <w:p w:rsidR="009363C6" w:rsidRPr="005910AA" w:rsidRDefault="005718B0" w:rsidP="005718B0">
            <w:r>
              <w:t xml:space="preserve">- </w:t>
            </w:r>
            <w:r w:rsidR="009363C6" w:rsidRPr="005910AA">
              <w:t>With reciprocating internal combustion piston engine of a cylinder capacity exceeding 500cc but not exceeding 800cc</w:t>
            </w:r>
          </w:p>
        </w:tc>
      </w:tr>
      <w:tr w:rsidR="009363C6" w:rsidTr="009363C6">
        <w:tc>
          <w:tcPr>
            <w:tcW w:w="675" w:type="dxa"/>
            <w:shd w:val="clear" w:color="auto" w:fill="auto"/>
          </w:tcPr>
          <w:p w:rsidR="009363C6" w:rsidRPr="005910AA" w:rsidRDefault="009363C6" w:rsidP="009363C6">
            <w:r w:rsidRPr="005910AA">
              <w:t xml:space="preserve">32 </w:t>
            </w:r>
          </w:p>
        </w:tc>
        <w:tc>
          <w:tcPr>
            <w:tcW w:w="1418" w:type="dxa"/>
            <w:shd w:val="clear" w:color="auto" w:fill="auto"/>
          </w:tcPr>
          <w:p w:rsidR="009363C6" w:rsidRPr="005910AA" w:rsidRDefault="009363C6" w:rsidP="009363C6">
            <w:r w:rsidRPr="005910AA">
              <w:t xml:space="preserve">8711.50 </w:t>
            </w:r>
          </w:p>
        </w:tc>
        <w:tc>
          <w:tcPr>
            <w:tcW w:w="7150" w:type="dxa"/>
            <w:shd w:val="clear" w:color="auto" w:fill="auto"/>
          </w:tcPr>
          <w:p w:rsidR="009363C6" w:rsidRPr="005910AA" w:rsidRDefault="005718B0" w:rsidP="009363C6">
            <w:r>
              <w:t xml:space="preserve">- </w:t>
            </w:r>
            <w:r w:rsidR="009363C6" w:rsidRPr="005910AA">
              <w:t>With reciprocating internal combustion piston engine or a cylinder capacity exceeding 800cc</w:t>
            </w:r>
          </w:p>
        </w:tc>
      </w:tr>
    </w:tbl>
    <w:p w:rsidR="009363C6" w:rsidRDefault="009363C6" w:rsidP="009363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01"/>
        <w:gridCol w:w="6947"/>
      </w:tblGrid>
      <w:tr w:rsidR="002258BE" w:rsidTr="009363C6">
        <w:tc>
          <w:tcPr>
            <w:tcW w:w="675" w:type="dxa"/>
            <w:shd w:val="clear" w:color="auto" w:fill="auto"/>
          </w:tcPr>
          <w:p w:rsidR="009363C6" w:rsidRPr="009363C6" w:rsidRDefault="009363C6" w:rsidP="009363C6">
            <w:pPr>
              <w:rPr>
                <w:b/>
              </w:rPr>
            </w:pPr>
            <w:r w:rsidRPr="009363C6">
              <w:rPr>
                <w:b/>
              </w:rPr>
              <w:lastRenderedPageBreak/>
              <w:t xml:space="preserve">NO </w:t>
            </w:r>
          </w:p>
        </w:tc>
        <w:tc>
          <w:tcPr>
            <w:tcW w:w="1418" w:type="dxa"/>
            <w:shd w:val="clear" w:color="auto" w:fill="auto"/>
          </w:tcPr>
          <w:p w:rsidR="009363C6" w:rsidRPr="009363C6" w:rsidRDefault="009363C6" w:rsidP="009363C6">
            <w:pPr>
              <w:rPr>
                <w:b/>
              </w:rPr>
            </w:pPr>
            <w:r w:rsidRPr="009363C6">
              <w:rPr>
                <w:b/>
              </w:rPr>
              <w:t xml:space="preserve">HS CODE </w:t>
            </w:r>
          </w:p>
        </w:tc>
        <w:tc>
          <w:tcPr>
            <w:tcW w:w="7150" w:type="dxa"/>
            <w:shd w:val="clear" w:color="auto" w:fill="auto"/>
          </w:tcPr>
          <w:p w:rsidR="009363C6" w:rsidRPr="009363C6" w:rsidRDefault="009363C6" w:rsidP="009363C6">
            <w:pPr>
              <w:rPr>
                <w:b/>
              </w:rPr>
            </w:pPr>
            <w:r w:rsidRPr="009363C6">
              <w:rPr>
                <w:b/>
              </w:rPr>
              <w:t>DESCRIPTION</w:t>
            </w:r>
          </w:p>
        </w:tc>
      </w:tr>
      <w:tr w:rsidR="009363C6" w:rsidTr="009363C6">
        <w:tc>
          <w:tcPr>
            <w:tcW w:w="675" w:type="dxa"/>
            <w:shd w:val="clear" w:color="auto" w:fill="auto"/>
          </w:tcPr>
          <w:p w:rsidR="009363C6" w:rsidRPr="005910AA" w:rsidRDefault="009363C6" w:rsidP="009363C6">
            <w:r w:rsidRPr="005910AA">
              <w:t xml:space="preserve">33 </w:t>
            </w:r>
          </w:p>
        </w:tc>
        <w:tc>
          <w:tcPr>
            <w:tcW w:w="1418" w:type="dxa"/>
            <w:shd w:val="clear" w:color="auto" w:fill="auto"/>
          </w:tcPr>
          <w:p w:rsidR="009363C6" w:rsidRPr="005910AA" w:rsidRDefault="009363C6" w:rsidP="009363C6">
            <w:r w:rsidRPr="005910AA">
              <w:t xml:space="preserve">8711.90 </w:t>
            </w:r>
          </w:p>
        </w:tc>
        <w:tc>
          <w:tcPr>
            <w:tcW w:w="7150" w:type="dxa"/>
            <w:shd w:val="clear" w:color="auto" w:fill="auto"/>
          </w:tcPr>
          <w:p w:rsidR="009363C6" w:rsidRPr="005910AA" w:rsidRDefault="005718B0" w:rsidP="009363C6">
            <w:r>
              <w:t xml:space="preserve">- </w:t>
            </w:r>
            <w:r w:rsidR="009363C6" w:rsidRPr="005910AA">
              <w:t>Other</w:t>
            </w:r>
          </w:p>
        </w:tc>
      </w:tr>
      <w:tr w:rsidR="009363C6" w:rsidTr="009363C6">
        <w:tc>
          <w:tcPr>
            <w:tcW w:w="675" w:type="dxa"/>
            <w:shd w:val="clear" w:color="auto" w:fill="auto"/>
          </w:tcPr>
          <w:p w:rsidR="009363C6" w:rsidRPr="005910AA" w:rsidRDefault="009363C6" w:rsidP="009363C6">
            <w:r w:rsidRPr="005910AA">
              <w:t xml:space="preserve">34 </w:t>
            </w:r>
          </w:p>
        </w:tc>
        <w:tc>
          <w:tcPr>
            <w:tcW w:w="1418" w:type="dxa"/>
            <w:shd w:val="clear" w:color="auto" w:fill="auto"/>
          </w:tcPr>
          <w:p w:rsidR="009363C6" w:rsidRPr="005910AA" w:rsidRDefault="009363C6" w:rsidP="009363C6">
            <w:r w:rsidRPr="005910AA">
              <w:t xml:space="preserve">8714.11 </w:t>
            </w:r>
          </w:p>
        </w:tc>
        <w:tc>
          <w:tcPr>
            <w:tcW w:w="7150" w:type="dxa"/>
            <w:shd w:val="clear" w:color="auto" w:fill="auto"/>
          </w:tcPr>
          <w:p w:rsidR="009363C6" w:rsidRPr="005910AA" w:rsidRDefault="005718B0" w:rsidP="009363C6">
            <w:r>
              <w:t xml:space="preserve">-- </w:t>
            </w:r>
            <w:r w:rsidR="009363C6" w:rsidRPr="005910AA">
              <w:t>Saddles</w:t>
            </w:r>
          </w:p>
        </w:tc>
      </w:tr>
      <w:tr w:rsidR="009363C6" w:rsidTr="009363C6">
        <w:tc>
          <w:tcPr>
            <w:tcW w:w="675" w:type="dxa"/>
            <w:shd w:val="clear" w:color="auto" w:fill="auto"/>
          </w:tcPr>
          <w:p w:rsidR="009363C6" w:rsidRPr="005910AA" w:rsidRDefault="009363C6" w:rsidP="009363C6">
            <w:r w:rsidRPr="005910AA">
              <w:t xml:space="preserve">35 </w:t>
            </w:r>
          </w:p>
        </w:tc>
        <w:tc>
          <w:tcPr>
            <w:tcW w:w="1418" w:type="dxa"/>
            <w:shd w:val="clear" w:color="auto" w:fill="auto"/>
          </w:tcPr>
          <w:p w:rsidR="009363C6" w:rsidRPr="005910AA" w:rsidRDefault="009363C6" w:rsidP="009363C6">
            <w:r w:rsidRPr="005910AA">
              <w:t xml:space="preserve">8714.19 </w:t>
            </w:r>
          </w:p>
        </w:tc>
        <w:tc>
          <w:tcPr>
            <w:tcW w:w="7150" w:type="dxa"/>
            <w:shd w:val="clear" w:color="auto" w:fill="auto"/>
          </w:tcPr>
          <w:p w:rsidR="009363C6" w:rsidRPr="005910AA" w:rsidRDefault="005718B0" w:rsidP="009363C6">
            <w:r>
              <w:t xml:space="preserve">-- </w:t>
            </w:r>
            <w:r w:rsidR="009363C6" w:rsidRPr="005910AA">
              <w:t>Other</w:t>
            </w:r>
          </w:p>
        </w:tc>
      </w:tr>
      <w:tr w:rsidR="009363C6" w:rsidTr="009363C6">
        <w:tc>
          <w:tcPr>
            <w:tcW w:w="675" w:type="dxa"/>
            <w:shd w:val="clear" w:color="auto" w:fill="auto"/>
          </w:tcPr>
          <w:p w:rsidR="009363C6" w:rsidRPr="005910AA" w:rsidRDefault="009363C6" w:rsidP="009363C6">
            <w:r w:rsidRPr="005910AA">
              <w:t xml:space="preserve">36 </w:t>
            </w:r>
          </w:p>
        </w:tc>
        <w:tc>
          <w:tcPr>
            <w:tcW w:w="1418" w:type="dxa"/>
            <w:shd w:val="clear" w:color="auto" w:fill="auto"/>
          </w:tcPr>
          <w:p w:rsidR="009363C6" w:rsidRPr="005910AA" w:rsidRDefault="009363C6" w:rsidP="009363C6">
            <w:r w:rsidRPr="005910AA">
              <w:t xml:space="preserve">8714.91 </w:t>
            </w:r>
          </w:p>
        </w:tc>
        <w:tc>
          <w:tcPr>
            <w:tcW w:w="7150" w:type="dxa"/>
            <w:shd w:val="clear" w:color="auto" w:fill="auto"/>
          </w:tcPr>
          <w:p w:rsidR="009363C6" w:rsidRPr="005910AA" w:rsidRDefault="005718B0" w:rsidP="009363C6">
            <w:r>
              <w:t xml:space="preserve">-- </w:t>
            </w:r>
            <w:r w:rsidR="009363C6" w:rsidRPr="005910AA">
              <w:t>Frames and forks, and parts thereof</w:t>
            </w:r>
          </w:p>
        </w:tc>
      </w:tr>
      <w:tr w:rsidR="009363C6" w:rsidTr="009363C6">
        <w:tc>
          <w:tcPr>
            <w:tcW w:w="675" w:type="dxa"/>
            <w:shd w:val="clear" w:color="auto" w:fill="auto"/>
          </w:tcPr>
          <w:p w:rsidR="009363C6" w:rsidRPr="005910AA" w:rsidRDefault="009363C6" w:rsidP="009363C6">
            <w:r w:rsidRPr="005910AA">
              <w:t xml:space="preserve">37 </w:t>
            </w:r>
          </w:p>
        </w:tc>
        <w:tc>
          <w:tcPr>
            <w:tcW w:w="1418" w:type="dxa"/>
            <w:shd w:val="clear" w:color="auto" w:fill="auto"/>
          </w:tcPr>
          <w:p w:rsidR="009363C6" w:rsidRPr="005910AA" w:rsidRDefault="009363C6" w:rsidP="009363C6">
            <w:r w:rsidRPr="005910AA">
              <w:t xml:space="preserve">8714.92 </w:t>
            </w:r>
          </w:p>
        </w:tc>
        <w:tc>
          <w:tcPr>
            <w:tcW w:w="7150" w:type="dxa"/>
            <w:shd w:val="clear" w:color="auto" w:fill="auto"/>
          </w:tcPr>
          <w:p w:rsidR="009363C6" w:rsidRPr="005910AA" w:rsidRDefault="005718B0" w:rsidP="009363C6">
            <w:r>
              <w:t xml:space="preserve">-- </w:t>
            </w:r>
            <w:r w:rsidR="009363C6" w:rsidRPr="005910AA">
              <w:t>Wheel rims and spokes</w:t>
            </w:r>
          </w:p>
        </w:tc>
      </w:tr>
      <w:tr w:rsidR="009363C6" w:rsidTr="009363C6">
        <w:tc>
          <w:tcPr>
            <w:tcW w:w="675" w:type="dxa"/>
            <w:shd w:val="clear" w:color="auto" w:fill="auto"/>
          </w:tcPr>
          <w:p w:rsidR="009363C6" w:rsidRPr="005910AA" w:rsidRDefault="009363C6" w:rsidP="009363C6">
            <w:r w:rsidRPr="005910AA">
              <w:t xml:space="preserve">38 </w:t>
            </w:r>
          </w:p>
        </w:tc>
        <w:tc>
          <w:tcPr>
            <w:tcW w:w="1418" w:type="dxa"/>
            <w:shd w:val="clear" w:color="auto" w:fill="auto"/>
          </w:tcPr>
          <w:p w:rsidR="009363C6" w:rsidRPr="005910AA" w:rsidRDefault="009363C6" w:rsidP="009363C6">
            <w:r w:rsidRPr="005910AA">
              <w:t xml:space="preserve">9504.10 </w:t>
            </w:r>
          </w:p>
        </w:tc>
        <w:tc>
          <w:tcPr>
            <w:tcW w:w="7150" w:type="dxa"/>
            <w:shd w:val="clear" w:color="auto" w:fill="auto"/>
          </w:tcPr>
          <w:p w:rsidR="009363C6" w:rsidRPr="005910AA" w:rsidRDefault="005718B0" w:rsidP="009363C6">
            <w:r>
              <w:t xml:space="preserve">- </w:t>
            </w:r>
            <w:r w:rsidR="009363C6" w:rsidRPr="005910AA">
              <w:t>Video games of a kind used with a television receiver</w:t>
            </w:r>
          </w:p>
        </w:tc>
      </w:tr>
      <w:tr w:rsidR="009363C6" w:rsidTr="009363C6">
        <w:tc>
          <w:tcPr>
            <w:tcW w:w="675" w:type="dxa"/>
            <w:shd w:val="clear" w:color="auto" w:fill="auto"/>
          </w:tcPr>
          <w:p w:rsidR="009363C6" w:rsidRPr="005910AA" w:rsidRDefault="009363C6" w:rsidP="009363C6">
            <w:r w:rsidRPr="005910AA">
              <w:t xml:space="preserve">39 </w:t>
            </w:r>
          </w:p>
        </w:tc>
        <w:tc>
          <w:tcPr>
            <w:tcW w:w="1418" w:type="dxa"/>
            <w:shd w:val="clear" w:color="auto" w:fill="auto"/>
          </w:tcPr>
          <w:p w:rsidR="009363C6" w:rsidRPr="005910AA" w:rsidRDefault="009363C6" w:rsidP="009363C6">
            <w:r w:rsidRPr="005910AA">
              <w:t xml:space="preserve">9504.30 </w:t>
            </w:r>
          </w:p>
        </w:tc>
        <w:tc>
          <w:tcPr>
            <w:tcW w:w="7150" w:type="dxa"/>
            <w:shd w:val="clear" w:color="auto" w:fill="auto"/>
          </w:tcPr>
          <w:p w:rsidR="009363C6" w:rsidRPr="005910AA" w:rsidRDefault="005718B0" w:rsidP="009363C6">
            <w:r>
              <w:t xml:space="preserve">- </w:t>
            </w:r>
            <w:r w:rsidR="009363C6" w:rsidRPr="005910AA">
              <w:t>Other games, operated by coins, banknotes (paper currency), discs or other similar articles, other than bowling alley equipment</w:t>
            </w:r>
          </w:p>
        </w:tc>
      </w:tr>
      <w:tr w:rsidR="009363C6" w:rsidTr="009363C6">
        <w:tc>
          <w:tcPr>
            <w:tcW w:w="675" w:type="dxa"/>
            <w:shd w:val="clear" w:color="auto" w:fill="auto"/>
          </w:tcPr>
          <w:p w:rsidR="009363C6" w:rsidRPr="005910AA" w:rsidRDefault="009363C6" w:rsidP="009363C6">
            <w:r w:rsidRPr="005910AA">
              <w:t xml:space="preserve">40 </w:t>
            </w:r>
          </w:p>
        </w:tc>
        <w:tc>
          <w:tcPr>
            <w:tcW w:w="1418" w:type="dxa"/>
            <w:shd w:val="clear" w:color="auto" w:fill="auto"/>
          </w:tcPr>
          <w:p w:rsidR="009363C6" w:rsidRPr="005910AA" w:rsidRDefault="009363C6" w:rsidP="009363C6">
            <w:r w:rsidRPr="005910AA">
              <w:t xml:space="preserve">9504.90 </w:t>
            </w:r>
          </w:p>
        </w:tc>
        <w:tc>
          <w:tcPr>
            <w:tcW w:w="7150" w:type="dxa"/>
            <w:shd w:val="clear" w:color="auto" w:fill="auto"/>
          </w:tcPr>
          <w:p w:rsidR="009363C6" w:rsidRPr="005910AA" w:rsidRDefault="005718B0" w:rsidP="009363C6">
            <w:r>
              <w:t xml:space="preserve">- </w:t>
            </w:r>
            <w:r w:rsidR="009363C6" w:rsidRPr="005910AA">
              <w:t>Other</w:t>
            </w:r>
          </w:p>
        </w:tc>
      </w:tr>
    </w:tbl>
    <w:p w:rsidR="008A32DF" w:rsidRPr="009C1F90" w:rsidRDefault="008A32DF" w:rsidP="009363C6"/>
    <w:sectPr w:rsidR="008A32D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54" w:rsidRDefault="00E53654" w:rsidP="00F61B4F">
      <w:pPr>
        <w:spacing w:before="0" w:after="0" w:line="240" w:lineRule="auto"/>
      </w:pPr>
      <w:r>
        <w:separator/>
      </w:r>
    </w:p>
  </w:endnote>
  <w:endnote w:type="continuationSeparator" w:id="0">
    <w:p w:rsidR="00E53654" w:rsidRDefault="00E5365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13EB">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13EB">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54" w:rsidRDefault="00E53654" w:rsidP="00F61B4F">
      <w:pPr>
        <w:spacing w:before="0" w:after="0" w:line="240" w:lineRule="auto"/>
      </w:pPr>
      <w:r>
        <w:separator/>
      </w:r>
    </w:p>
  </w:footnote>
  <w:footnote w:type="continuationSeparator" w:id="0">
    <w:p w:rsidR="00E53654" w:rsidRDefault="00E5365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7D7FB5" w:rsidP="00F61B4F">
    <w:pPr>
      <w:pStyle w:val="Header"/>
      <w:pBdr>
        <w:bottom w:val="single" w:sz="8" w:space="1" w:color="auto"/>
      </w:pBdr>
      <w:rPr>
        <w:rFonts w:cs="Arial"/>
        <w:caps/>
        <w:color w:val="808080"/>
        <w:sz w:val="16"/>
        <w:szCs w:val="16"/>
      </w:rPr>
    </w:pPr>
    <w:r>
      <w:rPr>
        <w:rFonts w:cs="Arial"/>
        <w:caps/>
        <w:color w:val="808080"/>
        <w:sz w:val="16"/>
        <w:szCs w:val="16"/>
      </w:rPr>
      <w:t>2010 protocol to amend the</w:t>
    </w:r>
    <w:r w:rsidR="005718B0">
      <w:rPr>
        <w:rFonts w:cs="Arial"/>
        <w:caps/>
        <w:color w:val="808080"/>
        <w:sz w:val="16"/>
        <w:szCs w:val="16"/>
      </w:rPr>
      <w:t xml:space="preserve"> ASEAN-ROK</w:t>
    </w:r>
    <w:r>
      <w:rPr>
        <w:rFonts w:cs="Arial"/>
        <w:caps/>
        <w:color w:val="808080"/>
        <w:sz w:val="16"/>
        <w:szCs w:val="16"/>
      </w:rPr>
      <w:t xml:space="preserve"> agreement on trade in goods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D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258BE"/>
    <w:rsid w:val="00232A10"/>
    <w:rsid w:val="002423B7"/>
    <w:rsid w:val="00244645"/>
    <w:rsid w:val="00245531"/>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0AC8"/>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18B0"/>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16EE"/>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7FB5"/>
    <w:rsid w:val="007E4920"/>
    <w:rsid w:val="007E7C82"/>
    <w:rsid w:val="007F13EB"/>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04EC"/>
    <w:rsid w:val="0089392A"/>
    <w:rsid w:val="008A2C17"/>
    <w:rsid w:val="008A32DF"/>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363C6"/>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3736"/>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4B39"/>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654"/>
    <w:rsid w:val="00E53F2E"/>
    <w:rsid w:val="00E71017"/>
    <w:rsid w:val="00E71A6F"/>
    <w:rsid w:val="00E71AEC"/>
    <w:rsid w:val="00E80D04"/>
    <w:rsid w:val="00E82ED4"/>
    <w:rsid w:val="00E853A3"/>
    <w:rsid w:val="00E854D8"/>
    <w:rsid w:val="00E87AA3"/>
    <w:rsid w:val="00E925D7"/>
    <w:rsid w:val="00E9353A"/>
    <w:rsid w:val="00E94458"/>
    <w:rsid w:val="00E9659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F6F4"/>
  <w15:chartTrackingRefBased/>
  <w15:docId w15:val="{C2911FC1-1FAF-420C-8F86-5FAC463D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93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DCFC-9F32-473B-A6E2-D5C926E4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33</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Links>
    <vt:vector size="48" baseType="variant">
      <vt:variant>
        <vt:i4>1114164</vt:i4>
      </vt:variant>
      <vt:variant>
        <vt:i4>32</vt:i4>
      </vt:variant>
      <vt:variant>
        <vt:i4>0</vt:i4>
      </vt:variant>
      <vt:variant>
        <vt:i4>5</vt:i4>
      </vt:variant>
      <vt:variant>
        <vt:lpwstr/>
      </vt:variant>
      <vt:variant>
        <vt:lpwstr>_Toc476336544</vt:lpwstr>
      </vt:variant>
      <vt:variant>
        <vt:i4>1114164</vt:i4>
      </vt:variant>
      <vt:variant>
        <vt:i4>26</vt:i4>
      </vt:variant>
      <vt:variant>
        <vt:i4>0</vt:i4>
      </vt:variant>
      <vt:variant>
        <vt:i4>5</vt:i4>
      </vt:variant>
      <vt:variant>
        <vt:lpwstr/>
      </vt:variant>
      <vt:variant>
        <vt:lpwstr>_Toc476336543</vt:lpwstr>
      </vt:variant>
      <vt:variant>
        <vt:i4>1114164</vt:i4>
      </vt:variant>
      <vt:variant>
        <vt:i4>20</vt:i4>
      </vt:variant>
      <vt:variant>
        <vt:i4>0</vt:i4>
      </vt:variant>
      <vt:variant>
        <vt:i4>5</vt:i4>
      </vt:variant>
      <vt:variant>
        <vt:lpwstr/>
      </vt:variant>
      <vt:variant>
        <vt:lpwstr>_Toc476336542</vt:lpwstr>
      </vt:variant>
      <vt:variant>
        <vt:i4>1114164</vt:i4>
      </vt:variant>
      <vt:variant>
        <vt:i4>14</vt:i4>
      </vt:variant>
      <vt:variant>
        <vt:i4>0</vt:i4>
      </vt:variant>
      <vt:variant>
        <vt:i4>5</vt:i4>
      </vt:variant>
      <vt:variant>
        <vt:lpwstr/>
      </vt:variant>
      <vt:variant>
        <vt:lpwstr>_Toc476336541</vt:lpwstr>
      </vt:variant>
      <vt:variant>
        <vt:i4>1114164</vt:i4>
      </vt:variant>
      <vt:variant>
        <vt:i4>8</vt:i4>
      </vt:variant>
      <vt:variant>
        <vt:i4>0</vt:i4>
      </vt:variant>
      <vt:variant>
        <vt:i4>5</vt:i4>
      </vt:variant>
      <vt:variant>
        <vt:lpwstr/>
      </vt:variant>
      <vt:variant>
        <vt:lpwstr>_Toc476336540</vt:lpwstr>
      </vt:variant>
      <vt:variant>
        <vt:i4>1441844</vt:i4>
      </vt:variant>
      <vt:variant>
        <vt:i4>2</vt:i4>
      </vt:variant>
      <vt:variant>
        <vt:i4>0</vt:i4>
      </vt:variant>
      <vt:variant>
        <vt:i4>5</vt:i4>
      </vt:variant>
      <vt:variant>
        <vt:lpwstr/>
      </vt:variant>
      <vt:variant>
        <vt:lpwstr>_Toc476336539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Yuen Ai Zhen Carol</cp:lastModifiedBy>
  <cp:revision>6</cp:revision>
  <cp:lastPrinted>2019-06-19T05:52:00Z</cp:lastPrinted>
  <dcterms:created xsi:type="dcterms:W3CDTF">2019-06-19T05:19:00Z</dcterms:created>
  <dcterms:modified xsi:type="dcterms:W3CDTF">2019-06-19T05:52:00Z</dcterms:modified>
</cp:coreProperties>
</file>