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D7" w:rsidRDefault="00EE0DD7" w:rsidP="00EE0DD7">
      <w:pPr>
        <w:pStyle w:val="CILTitle"/>
      </w:pPr>
      <w:r>
        <w:t xml:space="preserve">2015 </w:t>
      </w:r>
      <w:r w:rsidRPr="00FA50C5">
        <w:t>KUALA LUMPUR DECLARATION ON A PEOPLE-ORIENTED, PEOPLE-CENTRED</w:t>
      </w:r>
      <w:r>
        <w:t xml:space="preserve"> </w:t>
      </w:r>
      <w:r w:rsidRPr="00FA50C5">
        <w:t>ASEAN</w:t>
      </w:r>
    </w:p>
    <w:p w:rsidR="00EE0DD7" w:rsidRDefault="00EE0DD7" w:rsidP="00EE0DD7">
      <w:pPr>
        <w:pStyle w:val="CILSubtitle"/>
      </w:pPr>
      <w:r>
        <w:t>Adopted in Kuala Lumpur, Malaysia on 27 April 2015</w:t>
      </w:r>
    </w:p>
    <w:p w:rsidR="00EE0DD7" w:rsidRDefault="00EE0DD7" w:rsidP="00FA50C5">
      <w:pPr>
        <w:spacing w:before="240" w:after="120" w:line="276" w:lineRule="auto"/>
        <w:jc w:val="both"/>
        <w:rPr>
          <w:rFonts w:ascii="Arial" w:hAnsi="Arial" w:cs="Arial"/>
        </w:rPr>
      </w:pPr>
    </w:p>
    <w:p w:rsid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  <w:sectPr w:rsidR="00FA50C5" w:rsidSect="00EE0DD7">
          <w:headerReference w:type="default" r:id="rId7"/>
          <w:footerReference w:type="default" r:id="rId8"/>
          <w:foot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6647A3">
        <w:rPr>
          <w:rFonts w:ascii="Arial" w:hAnsi="Arial" w:cs="Arial"/>
          <w:b/>
        </w:rPr>
        <w:t>WE</w:t>
      </w:r>
      <w:r w:rsidRPr="00FA50C5">
        <w:rPr>
          <w:rFonts w:ascii="Arial" w:hAnsi="Arial" w:cs="Arial"/>
        </w:rPr>
        <w:t>, the Heads of State/Government of Brunei Darussalam, Kingdom of Cambodia, the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Republic of Indonesia, the Lao People’s Democratic Republic, Malaysia, the Republic of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the Union of Myanmar, the Republic of the Philippines, the Republic of Singapore, the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Kingdom of Thailand, and the Socialist Republic of Viet Nam, on the occasion of the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26th ASEAN Summit in Kuala Lumpur, Malaysia, on 27 April 2015;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6647A3">
        <w:rPr>
          <w:rFonts w:ascii="Arial" w:hAnsi="Arial" w:cs="Arial"/>
          <w:b/>
        </w:rPr>
        <w:t>UNDERLINING</w:t>
      </w:r>
      <w:r w:rsidRPr="00FA50C5">
        <w:rPr>
          <w:rFonts w:ascii="Arial" w:hAnsi="Arial" w:cs="Arial"/>
        </w:rPr>
        <w:t xml:space="preserve"> the ASEAN Charter as the basis of ASEAN’s core principles and values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to which we adhere;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6647A3">
        <w:rPr>
          <w:rFonts w:ascii="Arial" w:hAnsi="Arial" w:cs="Arial"/>
          <w:b/>
        </w:rPr>
        <w:t>REAFFIRMING</w:t>
      </w:r>
      <w:r w:rsidRPr="00FA50C5">
        <w:rPr>
          <w:rFonts w:ascii="Arial" w:hAnsi="Arial" w:cs="Arial"/>
        </w:rPr>
        <w:t xml:space="preserve"> ASEAN’s establishment as a platform for common action to promote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regional cooperation in Southeast Asia and the need to further strengthen the existing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bonds of regional solidarity and cooperation;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6647A3">
        <w:rPr>
          <w:rFonts w:ascii="Arial" w:hAnsi="Arial" w:cs="Arial"/>
          <w:b/>
        </w:rPr>
        <w:t>FURTHER REAFFIRMING</w:t>
      </w:r>
      <w:r w:rsidRPr="00FA50C5">
        <w:rPr>
          <w:rFonts w:ascii="Arial" w:hAnsi="Arial" w:cs="Arial"/>
        </w:rPr>
        <w:t xml:space="preserve"> the Bandar Seri Begawan Declaration and Nay Pyi Taw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Declaration on the ASEAN Community’s Post-2015 Vision which reiterate our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determination to create a people-oriented, people-centred and rules-based ASEAN, and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the Bali Concord III and its Plan of Action (2013-2017), which contribute to efforts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thereto;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6647A3">
        <w:rPr>
          <w:rFonts w:ascii="Arial" w:hAnsi="Arial" w:cs="Arial"/>
          <w:b/>
        </w:rPr>
        <w:t>RECOGNISING</w:t>
      </w:r>
      <w:r w:rsidRPr="00FA50C5">
        <w:rPr>
          <w:rFonts w:ascii="Arial" w:hAnsi="Arial" w:cs="Arial"/>
        </w:rPr>
        <w:t xml:space="preserve"> the United Nations Millennium Declaration and the Millennium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Development Goals as well as the upcoming United Nations Post-2015 Development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Agenda, which place people and the planet at the centre of a new era of sustainable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development;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6647A3">
        <w:rPr>
          <w:rFonts w:ascii="Arial" w:hAnsi="Arial" w:cs="Arial"/>
          <w:b/>
        </w:rPr>
        <w:t>MINDFUL</w:t>
      </w:r>
      <w:r w:rsidRPr="00FA50C5">
        <w:rPr>
          <w:rFonts w:ascii="Arial" w:hAnsi="Arial" w:cs="Arial"/>
        </w:rPr>
        <w:t xml:space="preserve"> of the progress achieved within the region and the need for managing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change and transformation effectively at the regional and global levels as well as the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need to confront challenges to promote peace, security and prosperity in Southeast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Asia;</w:t>
      </w:r>
    </w:p>
    <w:p w:rsidR="00FA50C5" w:rsidRPr="006647A3" w:rsidRDefault="00FA50C5" w:rsidP="00FA50C5">
      <w:pPr>
        <w:spacing w:before="240" w:after="120" w:line="276" w:lineRule="auto"/>
        <w:jc w:val="both"/>
        <w:rPr>
          <w:rFonts w:ascii="Arial" w:hAnsi="Arial" w:cs="Arial"/>
          <w:b/>
        </w:rPr>
      </w:pPr>
      <w:r w:rsidRPr="006647A3">
        <w:rPr>
          <w:rFonts w:ascii="Arial" w:hAnsi="Arial" w:cs="Arial"/>
          <w:b/>
        </w:rPr>
        <w:t>WE HEREBY AGREE TO: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Continue establishing a people-oriented, people-centred and rules-based ASEAN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Community where all people, stakeholders and sectors of society can contribute to and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enjoy the benefits from a more integrated and connected Community encompassing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enhanced cooperation in the political-security, economic and socio-cultural pillars for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sustainable, equita</w:t>
      </w:r>
      <w:r>
        <w:rPr>
          <w:rFonts w:ascii="Arial" w:hAnsi="Arial" w:cs="Arial"/>
        </w:rPr>
        <w:t xml:space="preserve">ble and inclusive development. </w:t>
      </w:r>
    </w:p>
    <w:p w:rsidR="00FA50C5" w:rsidRPr="00FA50C5" w:rsidRDefault="00FA50C5" w:rsidP="006647A3">
      <w:pPr>
        <w:pStyle w:val="Heading2"/>
      </w:pPr>
      <w:bookmarkStart w:id="0" w:name="_Toc457328306"/>
      <w:r w:rsidRPr="00FA50C5">
        <w:t>Political-Security</w:t>
      </w:r>
      <w:bookmarkEnd w:id="0"/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Continue to promote the principles of democracy, rule of law and good governance,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social justice, as well as to promote and protect human rights and respect for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fundamental freedoms;</w:t>
      </w:r>
    </w:p>
    <w:p w:rsidR="00FA50C5" w:rsidRPr="00FA50C5" w:rsidRDefault="00C84338" w:rsidP="00FA50C5">
      <w:pPr>
        <w:spacing w:before="24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A50C5" w:rsidRPr="00FA50C5">
        <w:rPr>
          <w:rFonts w:ascii="Arial" w:hAnsi="Arial" w:cs="Arial"/>
        </w:rPr>
        <w:lastRenderedPageBreak/>
        <w:t>Encourage the ASEAN Inter-Governmental Commission on Human Rights and other</w:t>
      </w:r>
      <w:r w:rsidR="00FA50C5">
        <w:rPr>
          <w:rFonts w:ascii="Arial" w:hAnsi="Arial" w:cs="Arial"/>
        </w:rPr>
        <w:t xml:space="preserve"> </w:t>
      </w:r>
      <w:r w:rsidR="00FA50C5" w:rsidRPr="00FA50C5">
        <w:rPr>
          <w:rFonts w:ascii="Arial" w:hAnsi="Arial" w:cs="Arial"/>
        </w:rPr>
        <w:t>Sectoral Bodies related to human rights to continue to have meaningful and constructive</w:t>
      </w:r>
      <w:r w:rsidR="00FA50C5">
        <w:rPr>
          <w:rFonts w:ascii="Arial" w:hAnsi="Arial" w:cs="Arial"/>
        </w:rPr>
        <w:t xml:space="preserve"> </w:t>
      </w:r>
      <w:r w:rsidR="00FA50C5" w:rsidRPr="00FA50C5">
        <w:rPr>
          <w:rFonts w:ascii="Arial" w:hAnsi="Arial" w:cs="Arial"/>
        </w:rPr>
        <w:t>engagement with relevant stakeholders, including accredited civil society organisations,</w:t>
      </w:r>
      <w:r w:rsidR="00FA50C5">
        <w:rPr>
          <w:rFonts w:ascii="Arial" w:hAnsi="Arial" w:cs="Arial"/>
        </w:rPr>
        <w:t xml:space="preserve"> </w:t>
      </w:r>
      <w:r w:rsidR="00FA50C5" w:rsidRPr="00FA50C5">
        <w:rPr>
          <w:rFonts w:ascii="Arial" w:hAnsi="Arial" w:cs="Arial"/>
        </w:rPr>
        <w:t>in the promotion and protection of human rights and fundamental freedoms, in</w:t>
      </w:r>
      <w:r w:rsidR="00FA50C5">
        <w:rPr>
          <w:rFonts w:ascii="Arial" w:hAnsi="Arial" w:cs="Arial"/>
        </w:rPr>
        <w:t xml:space="preserve"> </w:t>
      </w:r>
      <w:r w:rsidR="00FA50C5" w:rsidRPr="00FA50C5">
        <w:rPr>
          <w:rFonts w:ascii="Arial" w:hAnsi="Arial" w:cs="Arial"/>
        </w:rPr>
        <w:t>accordance with the ASEAN Human Rights Declaration;</w:t>
      </w:r>
    </w:p>
    <w:p w:rsid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Further enhance judicial systems and legal infrastructure to maintain a peaceful and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harmonious environment, as well as engagement between legislative and executive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branches in the process of the establishment of a rules-based ASEAN Community;</w:t>
      </w:r>
      <w:r>
        <w:rPr>
          <w:rFonts w:ascii="Arial" w:hAnsi="Arial" w:cs="Arial"/>
        </w:rPr>
        <w:t xml:space="preserve"> 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Continue to preserve Southeast Asia as a peaceful and prosperous region, free of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conflict, nuclear weapons and other weapons of mass destruction;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Further promote and strengthen peace-oriented values and reconciliation in ASEAN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through inclusive engagement with all relevant stakeholders as well as enhancing and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supporting the work of the ASEAN Institute for Peace and Reconciliation (AIPR); and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Continue strengthening good governance and integrity in the public sector in ASEAN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Member States.</w:t>
      </w:r>
    </w:p>
    <w:p w:rsidR="00FA50C5" w:rsidRPr="00FA50C5" w:rsidRDefault="00FA50C5" w:rsidP="006647A3">
      <w:pPr>
        <w:pStyle w:val="Heading2"/>
      </w:pPr>
      <w:bookmarkStart w:id="1" w:name="_Toc457328307"/>
      <w:r w:rsidRPr="00FA50C5">
        <w:t>Economic</w:t>
      </w:r>
      <w:bookmarkEnd w:id="1"/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Promote an integrated, stable, prosperous and highly cohesive regional economy which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encompasses all sectors of society, as well as encourage the participation of women,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the elderly and youth in building a competitive, innovative and dynamic ASEAN;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Promote the development of Small and Medium Enterprises as a driving force for the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ASEAN Economic Community, including providing an enabling environment conducive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to their business activities, access to the formal financial system and continue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promoting public-private sector partnership;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Encourage more engagement and interaction between ASEAN and business leaders,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including Small and Medium Enterprises, support the Initiative for ASEAN Integration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(IAI) Work Plan II and its successor documents to narrow the development gaps among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ASEAN Member States, as well as facilitate movement of business persons, skilled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labour and talents;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 xml:space="preserve">Integrate the elements of health, climate change, environment, sustainable </w:t>
      </w:r>
      <w:r>
        <w:rPr>
          <w:rFonts w:ascii="Arial" w:hAnsi="Arial" w:cs="Arial"/>
        </w:rPr>
        <w:t xml:space="preserve">utilization </w:t>
      </w:r>
      <w:r w:rsidRPr="00FA50C5">
        <w:rPr>
          <w:rFonts w:ascii="Arial" w:hAnsi="Arial" w:cs="Arial"/>
        </w:rPr>
        <w:t>and management of natural resources, proactive disaster risk reduction and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management strategies, and harmonious socio-cultural diversity in promoting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connectivity, higher productivity, sustaining economic development and building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resilience in the region;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Continue capacity building initiatives to enable all ASEAN economies to fully participate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in the on-going integration efforts;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Realise the vision of a competitive, inclusive, resilient and sustainable food, agriculture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and forestry sector integrated with the global economy, based on a single-market and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production base contributing to food and nutritional security and prosperity in the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ASEAN Community; and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Raise awareness, promote and develop social business in empowering communities to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generate revenue and social returns to improve the well-being and livelihood of our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people.</w:t>
      </w:r>
    </w:p>
    <w:p w:rsidR="00FA50C5" w:rsidRPr="00FA50C5" w:rsidRDefault="00FA50C5" w:rsidP="006647A3">
      <w:pPr>
        <w:pStyle w:val="Heading2"/>
      </w:pPr>
      <w:bookmarkStart w:id="2" w:name="_Toc457328308"/>
      <w:r w:rsidRPr="00FA50C5">
        <w:lastRenderedPageBreak/>
        <w:t>Socio-Cultural</w:t>
      </w:r>
      <w:bookmarkEnd w:id="2"/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Strengthen efforts to build a people-oriented, people-centred and socially responsible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socio-cultural community with a view to achieving enduring solidarity and unity among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the ASEAN peoples by instilling a shared appreciation of cultural diversity as well as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promoting the well-being and welfare of the peoples;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Promote and protect the rights of women, children, youth and elderly persons as well as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those of migrant workers, indigenous peoples, persons with disabilities, ethnic minority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groups, people in vulnerable situations and marginalised groups, and promote their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interests and welfare in ASEAN’s future agenda including through the ASEAN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Community’s Post-2015 Vision and its attendant documents;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Alleviate poverty and narrow the development gap by increasing access to basic needs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and work towards achieving adequate standards of living in line with our global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commitment on poverty eradication;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Ensure our people’s access to clean water, clean air, basic healthcare and other social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services so that they may lead healthy and productive lives and thereby contribute to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the ASEAN Community;</w:t>
      </w:r>
    </w:p>
    <w:p w:rsid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Enhance people-to-people contacts and awareness of ASEAN identity among young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people by increasing youth interaction and exchanges within ASEAN;</w:t>
      </w:r>
      <w:r>
        <w:rPr>
          <w:rFonts w:ascii="Arial" w:hAnsi="Arial" w:cs="Arial"/>
        </w:rPr>
        <w:t xml:space="preserve"> 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Promote sustainable cities in ASEAN with emphasis on robust economic activities, a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safe and healthy living environment and eco-friendly and sustainable urban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infrastructure;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Promote regional resilience by addressing socio-cultural and socio-economic issues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that may result from climate change and other environmental impacts, including trans</w:t>
      </w:r>
      <w:r>
        <w:rPr>
          <w:rFonts w:ascii="Arial" w:hAnsi="Arial" w:cs="Arial"/>
        </w:rPr>
        <w:t>-</w:t>
      </w:r>
      <w:r w:rsidRPr="00FA50C5">
        <w:rPr>
          <w:rFonts w:ascii="Arial" w:hAnsi="Arial" w:cs="Arial"/>
        </w:rPr>
        <w:t>boundary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 xml:space="preserve">environmental pollution, as contained in </w:t>
      </w:r>
      <w:r>
        <w:rPr>
          <w:rFonts w:ascii="Arial" w:hAnsi="Arial" w:cs="Arial"/>
        </w:rPr>
        <w:t xml:space="preserve">the ASEAN Charter and the ASEAN </w:t>
      </w:r>
      <w:r w:rsidRPr="00FA50C5">
        <w:rPr>
          <w:rFonts w:ascii="Arial" w:hAnsi="Arial" w:cs="Arial"/>
        </w:rPr>
        <w:t>Socio-Cultural Community Blueprint, through the full and effective implementation of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related ASEAN agreements;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Promote enhanced cooperation on disaster management and emergency response to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strengthen disaster resilience at all levels and reduce vulnerabilities of affected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populations;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Ensure ASEAN’s rich biological diversity is conserved and sustainably managed toward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enhancing social, economic and environmental well-being;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Enhance cooperation in education by encouraging regional student exchanges,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academic mobility and higher quality of education; and</w:t>
      </w:r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Enhance cooperation among ASEAN Member States to create a high performing,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dynamic and people-oriented, people-centred civil service to support a prosperous and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resilient ASEAN Community.</w:t>
      </w:r>
    </w:p>
    <w:p w:rsidR="00FA50C5" w:rsidRPr="00FA50C5" w:rsidRDefault="00FA50C5" w:rsidP="006647A3">
      <w:pPr>
        <w:pStyle w:val="Heading2"/>
      </w:pPr>
      <w:bookmarkStart w:id="3" w:name="_Toc457328309"/>
      <w:r w:rsidRPr="00FA50C5">
        <w:t>External Cooperation</w:t>
      </w:r>
      <w:bookmarkEnd w:id="3"/>
    </w:p>
    <w:p w:rsidR="00FA50C5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FA50C5">
        <w:rPr>
          <w:rFonts w:ascii="Arial" w:hAnsi="Arial" w:cs="Arial"/>
        </w:rPr>
        <w:t>Enhance ASEAN cooperation with its dialogue partners and relevant external parties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within the framework of ASEAN-led mechanisms in all three pillars of the ASEAN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Community that would complement regional efforts to strengthen a people-oriented,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people-centred and rules-based ASEAN.</w:t>
      </w:r>
    </w:p>
    <w:p w:rsidR="00FA50C5" w:rsidRPr="00FA50C5" w:rsidRDefault="006647A3" w:rsidP="00FA50C5">
      <w:pPr>
        <w:spacing w:before="24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FA50C5" w:rsidRPr="006647A3">
        <w:rPr>
          <w:rFonts w:ascii="Arial" w:hAnsi="Arial" w:cs="Arial"/>
          <w:b/>
        </w:rPr>
        <w:lastRenderedPageBreak/>
        <w:t>WE</w:t>
      </w:r>
      <w:r w:rsidR="00FA50C5" w:rsidRPr="00FA50C5">
        <w:rPr>
          <w:rFonts w:ascii="Arial" w:hAnsi="Arial" w:cs="Arial"/>
        </w:rPr>
        <w:t xml:space="preserve"> are committed to the above aspirations, which shall serve as guiding principles in</w:t>
      </w:r>
      <w:r w:rsidR="00FA50C5">
        <w:rPr>
          <w:rFonts w:ascii="Arial" w:hAnsi="Arial" w:cs="Arial"/>
        </w:rPr>
        <w:t xml:space="preserve"> </w:t>
      </w:r>
      <w:r w:rsidR="00FA50C5" w:rsidRPr="00FA50C5">
        <w:rPr>
          <w:rFonts w:ascii="Arial" w:hAnsi="Arial" w:cs="Arial"/>
        </w:rPr>
        <w:t>promoting a people-oriented, people-centred, and rules-based ASEAN.</w:t>
      </w:r>
    </w:p>
    <w:p w:rsidR="00C573FC" w:rsidRPr="00FA50C5" w:rsidRDefault="00FA50C5" w:rsidP="00FA50C5">
      <w:pPr>
        <w:spacing w:before="240" w:after="120" w:line="276" w:lineRule="auto"/>
        <w:jc w:val="both"/>
        <w:rPr>
          <w:rFonts w:ascii="Arial" w:hAnsi="Arial" w:cs="Arial"/>
        </w:rPr>
      </w:pPr>
      <w:r w:rsidRPr="006647A3">
        <w:rPr>
          <w:rFonts w:ascii="Arial" w:hAnsi="Arial" w:cs="Arial"/>
          <w:b/>
        </w:rPr>
        <w:t>ADOPTED</w:t>
      </w:r>
      <w:r w:rsidRPr="00FA50C5">
        <w:rPr>
          <w:rFonts w:ascii="Arial" w:hAnsi="Arial" w:cs="Arial"/>
        </w:rPr>
        <w:t xml:space="preserve"> in Kuala Lumpur, Malaysia, on the Twenty Seventh Day of April in the Year</w:t>
      </w:r>
      <w:r>
        <w:rPr>
          <w:rFonts w:ascii="Arial" w:hAnsi="Arial" w:cs="Arial"/>
        </w:rPr>
        <w:t xml:space="preserve"> </w:t>
      </w:r>
      <w:r w:rsidRPr="00FA50C5">
        <w:rPr>
          <w:rFonts w:ascii="Arial" w:hAnsi="Arial" w:cs="Arial"/>
        </w:rPr>
        <w:t>Two Thousand and Fifteen.</w:t>
      </w:r>
      <w:bookmarkStart w:id="4" w:name="_GoBack"/>
      <w:bookmarkEnd w:id="4"/>
    </w:p>
    <w:sectPr w:rsidR="00C573FC" w:rsidRPr="00FA50C5" w:rsidSect="00EE0DD7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0C" w:rsidRDefault="00092F0C" w:rsidP="00FA50C5">
      <w:r>
        <w:separator/>
      </w:r>
    </w:p>
  </w:endnote>
  <w:endnote w:type="continuationSeparator" w:id="0">
    <w:p w:rsidR="00092F0C" w:rsidRDefault="00092F0C" w:rsidP="00FA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C5" w:rsidRPr="00963749" w:rsidRDefault="00EE0DD7" w:rsidP="00EE0DD7">
    <w:pPr>
      <w:pStyle w:val="Footer"/>
      <w:pBdr>
        <w:top w:val="single" w:sz="4" w:space="8" w:color="auto"/>
      </w:pBdr>
      <w:rPr>
        <w:rFonts w:ascii="Arial" w:hAnsi="Arial" w:cs="Arial"/>
        <w:color w:val="7F7F7F"/>
        <w:sz w:val="16"/>
        <w:szCs w:val="16"/>
      </w:rPr>
    </w:pPr>
    <w:r w:rsidRPr="00963749">
      <w:rPr>
        <w:rFonts w:ascii="Arial" w:hAnsi="Arial"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963749">
        <w:rPr>
          <w:rStyle w:val="Hyperlink"/>
          <w:rFonts w:ascii="Arial" w:hAnsi="Arial" w:cs="Arial"/>
          <w:color w:val="7F7F7F"/>
          <w:sz w:val="16"/>
          <w:szCs w:val="16"/>
        </w:rPr>
        <w:t>www.cil.nus.edu.sg</w:t>
      </w:r>
    </w:hyperlink>
    <w:r w:rsidRPr="00963749">
      <w:rPr>
        <w:rFonts w:ascii="Arial" w:hAnsi="Arial" w:cs="Arial"/>
        <w:color w:val="7F7F7F"/>
        <w:sz w:val="16"/>
        <w:szCs w:val="16"/>
      </w:rPr>
      <w:t xml:space="preserve">                                  </w:t>
    </w:r>
    <w:r w:rsidRPr="00963749">
      <w:rPr>
        <w:rFonts w:ascii="Arial" w:hAnsi="Arial" w:cs="Arial"/>
        <w:color w:val="7F7F7F"/>
        <w:sz w:val="16"/>
        <w:szCs w:val="16"/>
      </w:rPr>
      <w:tab/>
      <w:t xml:space="preserve">Page </w:t>
    </w:r>
    <w:r w:rsidRPr="00963749">
      <w:rPr>
        <w:rFonts w:ascii="Arial" w:hAnsi="Arial" w:cs="Arial"/>
        <w:color w:val="7F7F7F"/>
        <w:sz w:val="16"/>
        <w:szCs w:val="16"/>
      </w:rPr>
      <w:fldChar w:fldCharType="begin"/>
    </w:r>
    <w:r w:rsidRPr="00963749">
      <w:rPr>
        <w:rFonts w:ascii="Arial" w:hAnsi="Arial" w:cs="Arial"/>
        <w:color w:val="7F7F7F"/>
        <w:sz w:val="16"/>
        <w:szCs w:val="16"/>
      </w:rPr>
      <w:instrText xml:space="preserve"> PAGE </w:instrText>
    </w:r>
    <w:r w:rsidRPr="00963749">
      <w:rPr>
        <w:rFonts w:ascii="Arial" w:hAnsi="Arial" w:cs="Arial"/>
        <w:color w:val="7F7F7F"/>
        <w:sz w:val="16"/>
        <w:szCs w:val="16"/>
      </w:rPr>
      <w:fldChar w:fldCharType="separate"/>
    </w:r>
    <w:r w:rsidR="00783431">
      <w:rPr>
        <w:rFonts w:ascii="Arial" w:hAnsi="Arial" w:cs="Arial"/>
        <w:noProof/>
        <w:color w:val="7F7F7F"/>
        <w:sz w:val="16"/>
        <w:szCs w:val="16"/>
      </w:rPr>
      <w:t>3</w:t>
    </w:r>
    <w:r w:rsidRPr="00963749">
      <w:rPr>
        <w:rFonts w:ascii="Arial" w:hAnsi="Arial" w:cs="Arial"/>
        <w:color w:val="7F7F7F"/>
        <w:sz w:val="16"/>
        <w:szCs w:val="16"/>
      </w:rPr>
      <w:fldChar w:fldCharType="end"/>
    </w:r>
    <w:r w:rsidRPr="00963749">
      <w:rPr>
        <w:rFonts w:ascii="Arial" w:hAnsi="Arial" w:cs="Arial"/>
        <w:color w:val="7F7F7F"/>
        <w:sz w:val="16"/>
        <w:szCs w:val="16"/>
      </w:rPr>
      <w:t xml:space="preserve"> of </w:t>
    </w:r>
    <w:r w:rsidRPr="00963749">
      <w:rPr>
        <w:rFonts w:ascii="Arial" w:hAnsi="Arial" w:cs="Arial"/>
        <w:color w:val="7F7F7F"/>
        <w:sz w:val="16"/>
        <w:szCs w:val="16"/>
      </w:rPr>
      <w:fldChar w:fldCharType="begin"/>
    </w:r>
    <w:r w:rsidRPr="00963749">
      <w:rPr>
        <w:rFonts w:ascii="Arial" w:hAnsi="Arial" w:cs="Arial"/>
        <w:color w:val="7F7F7F"/>
        <w:sz w:val="16"/>
        <w:szCs w:val="16"/>
      </w:rPr>
      <w:instrText xml:space="preserve"> NUMPAGES  </w:instrText>
    </w:r>
    <w:r w:rsidRPr="00963749">
      <w:rPr>
        <w:rFonts w:ascii="Arial" w:hAnsi="Arial" w:cs="Arial"/>
        <w:color w:val="7F7F7F"/>
        <w:sz w:val="16"/>
        <w:szCs w:val="16"/>
      </w:rPr>
      <w:fldChar w:fldCharType="separate"/>
    </w:r>
    <w:r w:rsidR="00783431">
      <w:rPr>
        <w:rFonts w:ascii="Arial" w:hAnsi="Arial" w:cs="Arial"/>
        <w:noProof/>
        <w:color w:val="7F7F7F"/>
        <w:sz w:val="16"/>
        <w:szCs w:val="16"/>
      </w:rPr>
      <w:t>4</w:t>
    </w:r>
    <w:r w:rsidRPr="00963749">
      <w:rPr>
        <w:rFonts w:ascii="Arial" w:hAnsi="Arial"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C5" w:rsidRPr="00963749" w:rsidRDefault="00EE0DD7" w:rsidP="00EE0DD7">
    <w:pPr>
      <w:pStyle w:val="Footer"/>
      <w:pBdr>
        <w:top w:val="single" w:sz="4" w:space="8" w:color="auto"/>
      </w:pBdr>
      <w:rPr>
        <w:rFonts w:ascii="Arial" w:hAnsi="Arial" w:cs="Arial"/>
        <w:color w:val="7F7F7F"/>
        <w:sz w:val="16"/>
        <w:szCs w:val="16"/>
      </w:rPr>
    </w:pPr>
    <w:r w:rsidRPr="00963749">
      <w:rPr>
        <w:rFonts w:ascii="Arial" w:hAnsi="Arial"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963749">
        <w:rPr>
          <w:rStyle w:val="Hyperlink"/>
          <w:rFonts w:ascii="Arial" w:hAnsi="Arial" w:cs="Arial"/>
          <w:color w:val="7F7F7F"/>
          <w:sz w:val="16"/>
          <w:szCs w:val="16"/>
        </w:rPr>
        <w:t>www.cil.nus.edu.sg</w:t>
      </w:r>
    </w:hyperlink>
    <w:r w:rsidRPr="00963749">
      <w:rPr>
        <w:rFonts w:ascii="Arial" w:hAnsi="Arial" w:cs="Arial"/>
        <w:color w:val="7F7F7F"/>
        <w:sz w:val="16"/>
        <w:szCs w:val="16"/>
      </w:rPr>
      <w:t xml:space="preserve">                                  </w:t>
    </w:r>
    <w:r w:rsidRPr="00963749"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0C" w:rsidRDefault="00092F0C" w:rsidP="00FA50C5">
      <w:r>
        <w:separator/>
      </w:r>
    </w:p>
  </w:footnote>
  <w:footnote w:type="continuationSeparator" w:id="0">
    <w:p w:rsidR="00092F0C" w:rsidRDefault="00092F0C" w:rsidP="00FA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C5" w:rsidRPr="00963749" w:rsidRDefault="00EE0DD7" w:rsidP="006647A3">
    <w:pPr>
      <w:pStyle w:val="Header"/>
      <w:pBdr>
        <w:bottom w:val="single" w:sz="4" w:space="1" w:color="auto"/>
      </w:pBdr>
      <w:rPr>
        <w:rFonts w:ascii="Arial" w:hAnsi="Arial" w:cs="Arial"/>
        <w:caps/>
        <w:color w:val="808080"/>
        <w:sz w:val="16"/>
        <w:szCs w:val="16"/>
      </w:rPr>
    </w:pPr>
    <w:r w:rsidRPr="00963749">
      <w:rPr>
        <w:rFonts w:ascii="Arial" w:hAnsi="Arial" w:cs="Arial"/>
        <w:caps/>
        <w:color w:val="808080"/>
        <w:sz w:val="16"/>
        <w:szCs w:val="16"/>
      </w:rPr>
      <w:t>2015 kuala lumpur declarationon a people-oriented, people-centred asean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C5"/>
    <w:rsid w:val="000043E5"/>
    <w:rsid w:val="00022AE1"/>
    <w:rsid w:val="00025831"/>
    <w:rsid w:val="00032623"/>
    <w:rsid w:val="00032C84"/>
    <w:rsid w:val="0003432F"/>
    <w:rsid w:val="00040670"/>
    <w:rsid w:val="00045076"/>
    <w:rsid w:val="00045F9A"/>
    <w:rsid w:val="000460FD"/>
    <w:rsid w:val="00046C7E"/>
    <w:rsid w:val="00055923"/>
    <w:rsid w:val="00061193"/>
    <w:rsid w:val="00061B8B"/>
    <w:rsid w:val="0007234F"/>
    <w:rsid w:val="00074AFA"/>
    <w:rsid w:val="00080879"/>
    <w:rsid w:val="00080FD6"/>
    <w:rsid w:val="00081E70"/>
    <w:rsid w:val="00082260"/>
    <w:rsid w:val="00083AB9"/>
    <w:rsid w:val="000922A6"/>
    <w:rsid w:val="00092F0C"/>
    <w:rsid w:val="000A329C"/>
    <w:rsid w:val="000C2967"/>
    <w:rsid w:val="000C5A1A"/>
    <w:rsid w:val="000D6DF5"/>
    <w:rsid w:val="000E1DDB"/>
    <w:rsid w:val="001013AD"/>
    <w:rsid w:val="00111688"/>
    <w:rsid w:val="00111A4C"/>
    <w:rsid w:val="00112A51"/>
    <w:rsid w:val="001142FA"/>
    <w:rsid w:val="001207E1"/>
    <w:rsid w:val="0012281C"/>
    <w:rsid w:val="00122EC8"/>
    <w:rsid w:val="001246A1"/>
    <w:rsid w:val="00126FEA"/>
    <w:rsid w:val="00130E46"/>
    <w:rsid w:val="00143BCA"/>
    <w:rsid w:val="001462AA"/>
    <w:rsid w:val="001648EA"/>
    <w:rsid w:val="001669E3"/>
    <w:rsid w:val="001728AB"/>
    <w:rsid w:val="00172E71"/>
    <w:rsid w:val="0018065C"/>
    <w:rsid w:val="00183009"/>
    <w:rsid w:val="00194639"/>
    <w:rsid w:val="0019674F"/>
    <w:rsid w:val="001C50F5"/>
    <w:rsid w:val="001C7B98"/>
    <w:rsid w:val="001D116B"/>
    <w:rsid w:val="001D2E66"/>
    <w:rsid w:val="001D7F95"/>
    <w:rsid w:val="001E52A5"/>
    <w:rsid w:val="001F2B50"/>
    <w:rsid w:val="00200AA3"/>
    <w:rsid w:val="0020147F"/>
    <w:rsid w:val="00221073"/>
    <w:rsid w:val="002226CD"/>
    <w:rsid w:val="002238CF"/>
    <w:rsid w:val="00224582"/>
    <w:rsid w:val="00224E12"/>
    <w:rsid w:val="00260086"/>
    <w:rsid w:val="002653B1"/>
    <w:rsid w:val="00274C7A"/>
    <w:rsid w:val="002750EF"/>
    <w:rsid w:val="00275D0D"/>
    <w:rsid w:val="00286C13"/>
    <w:rsid w:val="00294CBA"/>
    <w:rsid w:val="00297B32"/>
    <w:rsid w:val="002A32A5"/>
    <w:rsid w:val="002A4172"/>
    <w:rsid w:val="002B473E"/>
    <w:rsid w:val="002B7265"/>
    <w:rsid w:val="002C506E"/>
    <w:rsid w:val="002C67E0"/>
    <w:rsid w:val="002D3A06"/>
    <w:rsid w:val="002E0A92"/>
    <w:rsid w:val="002E6283"/>
    <w:rsid w:val="002F1577"/>
    <w:rsid w:val="002F7DA0"/>
    <w:rsid w:val="003035FA"/>
    <w:rsid w:val="00311F88"/>
    <w:rsid w:val="00321387"/>
    <w:rsid w:val="0032159B"/>
    <w:rsid w:val="00321890"/>
    <w:rsid w:val="00326D39"/>
    <w:rsid w:val="003316EF"/>
    <w:rsid w:val="0033544F"/>
    <w:rsid w:val="0034084B"/>
    <w:rsid w:val="00343E97"/>
    <w:rsid w:val="00351FC7"/>
    <w:rsid w:val="00355356"/>
    <w:rsid w:val="00382037"/>
    <w:rsid w:val="00386AC0"/>
    <w:rsid w:val="003A2B2D"/>
    <w:rsid w:val="003A4607"/>
    <w:rsid w:val="003A46AB"/>
    <w:rsid w:val="003C4214"/>
    <w:rsid w:val="003C696E"/>
    <w:rsid w:val="003C70F3"/>
    <w:rsid w:val="003D682E"/>
    <w:rsid w:val="003D6E5B"/>
    <w:rsid w:val="003E0C85"/>
    <w:rsid w:val="003F1817"/>
    <w:rsid w:val="0042164B"/>
    <w:rsid w:val="0042562D"/>
    <w:rsid w:val="004410EB"/>
    <w:rsid w:val="00453E7C"/>
    <w:rsid w:val="00454C15"/>
    <w:rsid w:val="00457A36"/>
    <w:rsid w:val="00460285"/>
    <w:rsid w:val="00461169"/>
    <w:rsid w:val="0046281B"/>
    <w:rsid w:val="00464378"/>
    <w:rsid w:val="00464582"/>
    <w:rsid w:val="004715DF"/>
    <w:rsid w:val="0049074B"/>
    <w:rsid w:val="00495B5C"/>
    <w:rsid w:val="00496452"/>
    <w:rsid w:val="004A0D08"/>
    <w:rsid w:val="004A31A0"/>
    <w:rsid w:val="004A5865"/>
    <w:rsid w:val="004B3D8B"/>
    <w:rsid w:val="004B6693"/>
    <w:rsid w:val="004B7073"/>
    <w:rsid w:val="004D6797"/>
    <w:rsid w:val="004E0ED9"/>
    <w:rsid w:val="004E1378"/>
    <w:rsid w:val="004E2177"/>
    <w:rsid w:val="004F129B"/>
    <w:rsid w:val="00504C42"/>
    <w:rsid w:val="005078E1"/>
    <w:rsid w:val="0051026B"/>
    <w:rsid w:val="00510555"/>
    <w:rsid w:val="00516331"/>
    <w:rsid w:val="00522388"/>
    <w:rsid w:val="00535BF3"/>
    <w:rsid w:val="00537A67"/>
    <w:rsid w:val="00537D81"/>
    <w:rsid w:val="005627AF"/>
    <w:rsid w:val="00564EBA"/>
    <w:rsid w:val="00565B5D"/>
    <w:rsid w:val="005827A5"/>
    <w:rsid w:val="00584C90"/>
    <w:rsid w:val="005865AA"/>
    <w:rsid w:val="0058716E"/>
    <w:rsid w:val="00590C4E"/>
    <w:rsid w:val="0059630D"/>
    <w:rsid w:val="00597551"/>
    <w:rsid w:val="005A0C6D"/>
    <w:rsid w:val="005A418E"/>
    <w:rsid w:val="005B2D91"/>
    <w:rsid w:val="005C46EA"/>
    <w:rsid w:val="005C6ADE"/>
    <w:rsid w:val="005D3068"/>
    <w:rsid w:val="005D5714"/>
    <w:rsid w:val="005D59E8"/>
    <w:rsid w:val="005E264A"/>
    <w:rsid w:val="005E2E8D"/>
    <w:rsid w:val="005E6807"/>
    <w:rsid w:val="005F25E1"/>
    <w:rsid w:val="00615E91"/>
    <w:rsid w:val="00624B74"/>
    <w:rsid w:val="0062758C"/>
    <w:rsid w:val="00642035"/>
    <w:rsid w:val="0064206B"/>
    <w:rsid w:val="00646905"/>
    <w:rsid w:val="006477C3"/>
    <w:rsid w:val="006633EA"/>
    <w:rsid w:val="006647A3"/>
    <w:rsid w:val="006829B2"/>
    <w:rsid w:val="00686294"/>
    <w:rsid w:val="006A181F"/>
    <w:rsid w:val="006A368A"/>
    <w:rsid w:val="006B0864"/>
    <w:rsid w:val="006C2FAC"/>
    <w:rsid w:val="006D35BA"/>
    <w:rsid w:val="006D6826"/>
    <w:rsid w:val="006E6F86"/>
    <w:rsid w:val="00707B16"/>
    <w:rsid w:val="00711FF8"/>
    <w:rsid w:val="0072576B"/>
    <w:rsid w:val="0073568E"/>
    <w:rsid w:val="00744927"/>
    <w:rsid w:val="00744A85"/>
    <w:rsid w:val="00745023"/>
    <w:rsid w:val="00751EA6"/>
    <w:rsid w:val="00755A12"/>
    <w:rsid w:val="00760BCF"/>
    <w:rsid w:val="00761521"/>
    <w:rsid w:val="00762A99"/>
    <w:rsid w:val="00771744"/>
    <w:rsid w:val="00776086"/>
    <w:rsid w:val="00783431"/>
    <w:rsid w:val="007951DD"/>
    <w:rsid w:val="007A5CE9"/>
    <w:rsid w:val="007B6E2C"/>
    <w:rsid w:val="007B7706"/>
    <w:rsid w:val="007C0404"/>
    <w:rsid w:val="007C74A6"/>
    <w:rsid w:val="007C7558"/>
    <w:rsid w:val="007D197A"/>
    <w:rsid w:val="007D2AC8"/>
    <w:rsid w:val="007D308E"/>
    <w:rsid w:val="007F1538"/>
    <w:rsid w:val="007F2FCB"/>
    <w:rsid w:val="007F7F17"/>
    <w:rsid w:val="008016D1"/>
    <w:rsid w:val="00803BE9"/>
    <w:rsid w:val="00812B21"/>
    <w:rsid w:val="00821388"/>
    <w:rsid w:val="00822E73"/>
    <w:rsid w:val="00824DEF"/>
    <w:rsid w:val="008262AF"/>
    <w:rsid w:val="00863AA4"/>
    <w:rsid w:val="00871D6D"/>
    <w:rsid w:val="00875863"/>
    <w:rsid w:val="008761FC"/>
    <w:rsid w:val="008B0875"/>
    <w:rsid w:val="008B1645"/>
    <w:rsid w:val="008C6A9C"/>
    <w:rsid w:val="008D292D"/>
    <w:rsid w:val="008E0D66"/>
    <w:rsid w:val="008E41DC"/>
    <w:rsid w:val="008E6E93"/>
    <w:rsid w:val="008E7703"/>
    <w:rsid w:val="008F5246"/>
    <w:rsid w:val="008F7A5C"/>
    <w:rsid w:val="009217B0"/>
    <w:rsid w:val="00921DB5"/>
    <w:rsid w:val="00923519"/>
    <w:rsid w:val="00926EA3"/>
    <w:rsid w:val="009303E7"/>
    <w:rsid w:val="00933064"/>
    <w:rsid w:val="00963749"/>
    <w:rsid w:val="00965ACC"/>
    <w:rsid w:val="0098008C"/>
    <w:rsid w:val="00982034"/>
    <w:rsid w:val="00982B34"/>
    <w:rsid w:val="009842E6"/>
    <w:rsid w:val="00991C17"/>
    <w:rsid w:val="00992233"/>
    <w:rsid w:val="00997244"/>
    <w:rsid w:val="00997B54"/>
    <w:rsid w:val="009A068F"/>
    <w:rsid w:val="009A0BE7"/>
    <w:rsid w:val="009B12F0"/>
    <w:rsid w:val="009B7700"/>
    <w:rsid w:val="009C3725"/>
    <w:rsid w:val="009D1B8A"/>
    <w:rsid w:val="009E21A2"/>
    <w:rsid w:val="009E2828"/>
    <w:rsid w:val="009E4818"/>
    <w:rsid w:val="00A0085A"/>
    <w:rsid w:val="00A03EE4"/>
    <w:rsid w:val="00A05490"/>
    <w:rsid w:val="00A07327"/>
    <w:rsid w:val="00A12E87"/>
    <w:rsid w:val="00A14655"/>
    <w:rsid w:val="00A149F0"/>
    <w:rsid w:val="00A152B4"/>
    <w:rsid w:val="00A1553E"/>
    <w:rsid w:val="00A16CEA"/>
    <w:rsid w:val="00A3329A"/>
    <w:rsid w:val="00A359D5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94579"/>
    <w:rsid w:val="00AA6802"/>
    <w:rsid w:val="00AB6F60"/>
    <w:rsid w:val="00AC1CA8"/>
    <w:rsid w:val="00AE05B5"/>
    <w:rsid w:val="00AE3DAE"/>
    <w:rsid w:val="00AE3DEB"/>
    <w:rsid w:val="00AE6181"/>
    <w:rsid w:val="00B01951"/>
    <w:rsid w:val="00B05254"/>
    <w:rsid w:val="00B05F3A"/>
    <w:rsid w:val="00B14396"/>
    <w:rsid w:val="00B267DC"/>
    <w:rsid w:val="00B308F2"/>
    <w:rsid w:val="00B30DEB"/>
    <w:rsid w:val="00B34B14"/>
    <w:rsid w:val="00B456B7"/>
    <w:rsid w:val="00B61944"/>
    <w:rsid w:val="00B62E0A"/>
    <w:rsid w:val="00B6351C"/>
    <w:rsid w:val="00B74778"/>
    <w:rsid w:val="00B74FC8"/>
    <w:rsid w:val="00B85DB0"/>
    <w:rsid w:val="00B96E99"/>
    <w:rsid w:val="00BA3538"/>
    <w:rsid w:val="00BA7E2B"/>
    <w:rsid w:val="00BB5610"/>
    <w:rsid w:val="00BC5DE2"/>
    <w:rsid w:val="00BD1600"/>
    <w:rsid w:val="00BD36A4"/>
    <w:rsid w:val="00BD3EF7"/>
    <w:rsid w:val="00BE0D36"/>
    <w:rsid w:val="00BE21D1"/>
    <w:rsid w:val="00BE4E55"/>
    <w:rsid w:val="00BF3AB0"/>
    <w:rsid w:val="00C0692C"/>
    <w:rsid w:val="00C12E92"/>
    <w:rsid w:val="00C27F88"/>
    <w:rsid w:val="00C33322"/>
    <w:rsid w:val="00C3632D"/>
    <w:rsid w:val="00C436C7"/>
    <w:rsid w:val="00C539B9"/>
    <w:rsid w:val="00C55B05"/>
    <w:rsid w:val="00C573FC"/>
    <w:rsid w:val="00C6101A"/>
    <w:rsid w:val="00C61524"/>
    <w:rsid w:val="00C617E1"/>
    <w:rsid w:val="00C666BA"/>
    <w:rsid w:val="00C73155"/>
    <w:rsid w:val="00C84338"/>
    <w:rsid w:val="00C91236"/>
    <w:rsid w:val="00CA21A1"/>
    <w:rsid w:val="00CA449F"/>
    <w:rsid w:val="00CA540E"/>
    <w:rsid w:val="00CA5A41"/>
    <w:rsid w:val="00CB485A"/>
    <w:rsid w:val="00CC2F8C"/>
    <w:rsid w:val="00CD6EC7"/>
    <w:rsid w:val="00CE31C8"/>
    <w:rsid w:val="00CE567F"/>
    <w:rsid w:val="00CF4CBB"/>
    <w:rsid w:val="00D01E47"/>
    <w:rsid w:val="00D07EE1"/>
    <w:rsid w:val="00D13015"/>
    <w:rsid w:val="00D133A2"/>
    <w:rsid w:val="00D13F5C"/>
    <w:rsid w:val="00D1649F"/>
    <w:rsid w:val="00D20538"/>
    <w:rsid w:val="00D211DC"/>
    <w:rsid w:val="00D250B0"/>
    <w:rsid w:val="00D43EA3"/>
    <w:rsid w:val="00D45FAB"/>
    <w:rsid w:val="00D52236"/>
    <w:rsid w:val="00D528FE"/>
    <w:rsid w:val="00D67A09"/>
    <w:rsid w:val="00D804A1"/>
    <w:rsid w:val="00D86B2E"/>
    <w:rsid w:val="00D901BD"/>
    <w:rsid w:val="00D92975"/>
    <w:rsid w:val="00DB7B56"/>
    <w:rsid w:val="00DC27F4"/>
    <w:rsid w:val="00DC3275"/>
    <w:rsid w:val="00DC5022"/>
    <w:rsid w:val="00DD1735"/>
    <w:rsid w:val="00DD2204"/>
    <w:rsid w:val="00DD7A7D"/>
    <w:rsid w:val="00DE57D4"/>
    <w:rsid w:val="00DF3DF6"/>
    <w:rsid w:val="00DF4E11"/>
    <w:rsid w:val="00E005B9"/>
    <w:rsid w:val="00E01EB2"/>
    <w:rsid w:val="00E13279"/>
    <w:rsid w:val="00E15214"/>
    <w:rsid w:val="00E22F62"/>
    <w:rsid w:val="00E2703D"/>
    <w:rsid w:val="00E36432"/>
    <w:rsid w:val="00E42A9B"/>
    <w:rsid w:val="00E46A83"/>
    <w:rsid w:val="00E47C45"/>
    <w:rsid w:val="00E71017"/>
    <w:rsid w:val="00E80D04"/>
    <w:rsid w:val="00E82ED4"/>
    <w:rsid w:val="00E853A3"/>
    <w:rsid w:val="00E854D8"/>
    <w:rsid w:val="00E94458"/>
    <w:rsid w:val="00EA44D0"/>
    <w:rsid w:val="00EA6B9C"/>
    <w:rsid w:val="00EC2FAE"/>
    <w:rsid w:val="00ED01F1"/>
    <w:rsid w:val="00EE0DD7"/>
    <w:rsid w:val="00F01D85"/>
    <w:rsid w:val="00F1258E"/>
    <w:rsid w:val="00F30635"/>
    <w:rsid w:val="00F41173"/>
    <w:rsid w:val="00F41BB1"/>
    <w:rsid w:val="00F53E6A"/>
    <w:rsid w:val="00F57A3C"/>
    <w:rsid w:val="00F645C0"/>
    <w:rsid w:val="00F6608A"/>
    <w:rsid w:val="00F71E50"/>
    <w:rsid w:val="00F8564E"/>
    <w:rsid w:val="00F86908"/>
    <w:rsid w:val="00F8738F"/>
    <w:rsid w:val="00F87BC0"/>
    <w:rsid w:val="00FA08BD"/>
    <w:rsid w:val="00FA0BDA"/>
    <w:rsid w:val="00FA50C5"/>
    <w:rsid w:val="00FB35F7"/>
    <w:rsid w:val="00FB4CD5"/>
    <w:rsid w:val="00FB6164"/>
    <w:rsid w:val="00FB7DF5"/>
    <w:rsid w:val="00FD1758"/>
    <w:rsid w:val="00FE423C"/>
    <w:rsid w:val="00FE43CD"/>
    <w:rsid w:val="00FF1A31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5AA6"/>
  <w15:chartTrackingRefBased/>
  <w15:docId w15:val="{00E2044D-169A-44B6-8B25-51B33542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FC7"/>
  </w:style>
  <w:style w:type="paragraph" w:styleId="Heading1">
    <w:name w:val="heading 1"/>
    <w:basedOn w:val="Normal"/>
    <w:next w:val="Normal"/>
    <w:link w:val="Heading1Char"/>
    <w:uiPriority w:val="9"/>
    <w:qFormat/>
    <w:rsid w:val="00EE0DD7"/>
    <w:pPr>
      <w:keepNext/>
      <w:keepLines/>
      <w:spacing w:before="240" w:after="60" w:line="276" w:lineRule="auto"/>
      <w:jc w:val="center"/>
      <w:outlineLvl w:val="0"/>
    </w:pPr>
    <w:rPr>
      <w:rFonts w:ascii="Arial" w:eastAsia="Times New Roman" w:hAnsi="Arial"/>
      <w:b/>
      <w:bCs/>
      <w:caps/>
      <w:sz w:val="28"/>
      <w:szCs w:val="28"/>
    </w:rPr>
  </w:style>
  <w:style w:type="paragraph" w:styleId="Heading2">
    <w:name w:val="heading 2"/>
    <w:aliases w:val="CIL 3 Heading"/>
    <w:basedOn w:val="Heading3"/>
    <w:next w:val="Heading3"/>
    <w:link w:val="Heading2Char"/>
    <w:autoRedefine/>
    <w:uiPriority w:val="9"/>
    <w:unhideWhenUsed/>
    <w:qFormat/>
    <w:rsid w:val="00A359D5"/>
    <w:pPr>
      <w:spacing w:before="240" w:after="120" w:line="276" w:lineRule="auto"/>
      <w:outlineLvl w:val="1"/>
    </w:pPr>
    <w:rPr>
      <w:rFonts w:ascii="Arial" w:hAnsi="Arial"/>
      <w:b w:val="0"/>
      <w:bCs w:val="0"/>
      <w:color w:val="auto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62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0DD7"/>
    <w:pPr>
      <w:spacing w:before="480" w:after="0"/>
      <w:jc w:val="left"/>
      <w:outlineLvl w:val="9"/>
    </w:pPr>
    <w:rPr>
      <w:rFonts w:ascii="Cambria" w:hAnsi="Cambria"/>
      <w:caps w:val="0"/>
      <w:color w:val="365F91"/>
      <w:lang w:eastAsia="ja-JP"/>
    </w:rPr>
  </w:style>
  <w:style w:type="character" w:customStyle="1" w:styleId="Heading1Char">
    <w:name w:val="Heading 1 Char"/>
    <w:link w:val="Heading1"/>
    <w:uiPriority w:val="9"/>
    <w:rsid w:val="00EE0DD7"/>
    <w:rPr>
      <w:rFonts w:ascii="Arial" w:eastAsia="Times New Roman" w:hAnsi="Arial" w:cs="Times New Roman"/>
      <w:b/>
      <w:bCs/>
      <w:caps/>
      <w:sz w:val="28"/>
      <w:szCs w:val="28"/>
    </w:rPr>
  </w:style>
  <w:style w:type="paragraph" w:customStyle="1" w:styleId="CIL2Heading">
    <w:name w:val="CIL 2 Heading"/>
    <w:basedOn w:val="Heading2"/>
    <w:autoRedefine/>
    <w:qFormat/>
    <w:rsid w:val="00A359D5"/>
    <w:pPr>
      <w:keepLines w:val="0"/>
      <w:jc w:val="center"/>
    </w:pPr>
    <w:rPr>
      <w:rFonts w:eastAsia="Batang" w:cs="Arial"/>
      <w:b/>
      <w:iCs/>
      <w:caps/>
      <w:szCs w:val="28"/>
      <w:u w:val="none"/>
      <w:lang w:val="en-GB" w:eastAsia="ko-KR"/>
    </w:rPr>
  </w:style>
  <w:style w:type="character" w:customStyle="1" w:styleId="Heading2Char">
    <w:name w:val="Heading 2 Char"/>
    <w:aliases w:val="CIL 3 Heading Char"/>
    <w:link w:val="Heading2"/>
    <w:uiPriority w:val="9"/>
    <w:rsid w:val="00A359D5"/>
    <w:rPr>
      <w:rFonts w:ascii="Arial" w:eastAsia="Times New Roman" w:hAnsi="Arial" w:cs="Times New Roman"/>
      <w:szCs w:val="26"/>
      <w:u w:val="single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ascii="Arial" w:eastAsia="Batang" w:hAnsi="Arial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qFormat/>
    <w:rsid w:val="001207E1"/>
    <w:pPr>
      <w:spacing w:before="240" w:after="120" w:line="276" w:lineRule="auto"/>
      <w:contextualSpacing/>
      <w:jc w:val="both"/>
    </w:pPr>
    <w:rPr>
      <w:rFonts w:ascii="Arial" w:eastAsia="Batang" w:hAnsi="Arial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359D5"/>
    <w:pPr>
      <w:spacing w:before="240" w:after="120" w:line="276" w:lineRule="auto"/>
      <w:jc w:val="center"/>
    </w:pPr>
    <w:rPr>
      <w:rFonts w:ascii="Arial" w:eastAsia="Batang" w:hAnsi="Arial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359D5"/>
    <w:rPr>
      <w:rFonts w:ascii="Arial" w:eastAsia="Batang" w:hAnsi="Arial" w:cs="Arial"/>
      <w:i/>
      <w:szCs w:val="24"/>
      <w:lang w:val="en-GB" w:eastAsia="ko-KR"/>
    </w:rPr>
  </w:style>
  <w:style w:type="paragraph" w:customStyle="1" w:styleId="CILTitle">
    <w:name w:val="CIL Title"/>
    <w:basedOn w:val="Normal"/>
    <w:autoRedefine/>
    <w:qFormat/>
    <w:rsid w:val="00A359D5"/>
    <w:pPr>
      <w:spacing w:before="240" w:after="120" w:line="276" w:lineRule="auto"/>
      <w:jc w:val="center"/>
    </w:pPr>
    <w:rPr>
      <w:rFonts w:ascii="Arial" w:eastAsia="Batang" w:hAnsi="Arial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semiHidden/>
    <w:rsid w:val="0042562D"/>
    <w:rPr>
      <w:rFonts w:ascii="Cambria" w:eastAsia="Times New Roman" w:hAnsi="Cambria" w:cs="Times New Roman"/>
      <w:b/>
      <w:bCs/>
      <w:color w:val="4F81BD"/>
    </w:rPr>
  </w:style>
  <w:style w:type="paragraph" w:customStyle="1" w:styleId="CILL1TOC">
    <w:name w:val="CIL L1 TOC"/>
    <w:basedOn w:val="TOC1"/>
    <w:autoRedefine/>
    <w:qFormat/>
    <w:rsid w:val="0042562D"/>
    <w:pPr>
      <w:tabs>
        <w:tab w:val="right" w:leader="dot" w:pos="9350"/>
      </w:tabs>
      <w:spacing w:before="120" w:after="120" w:line="360" w:lineRule="auto"/>
    </w:pPr>
    <w:rPr>
      <w:rFonts w:ascii="Arial" w:hAnsi="Arial"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42562D"/>
    <w:pPr>
      <w:spacing w:after="100"/>
    </w:pPr>
  </w:style>
  <w:style w:type="paragraph" w:customStyle="1" w:styleId="Style1">
    <w:name w:val="Style1"/>
    <w:basedOn w:val="TOC2"/>
    <w:autoRedefine/>
    <w:qFormat/>
    <w:rsid w:val="0042562D"/>
    <w:pPr>
      <w:tabs>
        <w:tab w:val="right" w:leader="dot" w:pos="9350"/>
      </w:tabs>
      <w:spacing w:before="240" w:line="360" w:lineRule="auto"/>
      <w:ind w:left="202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562D"/>
    <w:pPr>
      <w:spacing w:after="100"/>
      <w:ind w:left="200"/>
    </w:pPr>
  </w:style>
  <w:style w:type="paragraph" w:customStyle="1" w:styleId="CILL2TOC">
    <w:name w:val="CIL L2 TOC"/>
    <w:basedOn w:val="TOC2"/>
    <w:autoRedefine/>
    <w:qFormat/>
    <w:rsid w:val="0042562D"/>
    <w:pPr>
      <w:tabs>
        <w:tab w:val="right" w:leader="dot" w:pos="9350"/>
      </w:tabs>
      <w:spacing w:before="240" w:line="360" w:lineRule="auto"/>
      <w:ind w:left="202"/>
    </w:pPr>
    <w:rPr>
      <w:rFonts w:ascii="Arial" w:hAnsi="Arial" w:cs="Arial"/>
      <w:noProof/>
    </w:rPr>
  </w:style>
  <w:style w:type="paragraph" w:customStyle="1" w:styleId="CILParagraph0">
    <w:name w:val="CIL Paragraph"/>
    <w:basedOn w:val="Normal"/>
    <w:next w:val="Normal"/>
    <w:autoRedefine/>
    <w:qFormat/>
    <w:rsid w:val="00642035"/>
    <w:pPr>
      <w:spacing w:before="240" w:after="120" w:line="276" w:lineRule="auto"/>
      <w:jc w:val="both"/>
    </w:pPr>
    <w:rPr>
      <w:rFonts w:ascii="Arial" w:hAnsi="Arial"/>
    </w:rPr>
  </w:style>
  <w:style w:type="paragraph" w:customStyle="1" w:styleId="CILMain">
    <w:name w:val="CIL Main"/>
    <w:autoRedefine/>
    <w:qFormat/>
    <w:rsid w:val="00025831"/>
    <w:pPr>
      <w:spacing w:before="240" w:after="120" w:line="276" w:lineRule="auto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FA5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0C5"/>
  </w:style>
  <w:style w:type="paragraph" w:styleId="Footer">
    <w:name w:val="footer"/>
    <w:basedOn w:val="Normal"/>
    <w:link w:val="FooterChar"/>
    <w:uiPriority w:val="99"/>
    <w:unhideWhenUsed/>
    <w:rsid w:val="00FA5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0C5"/>
  </w:style>
  <w:style w:type="character" w:styleId="Hyperlink">
    <w:name w:val="Hyperlink"/>
    <w:uiPriority w:val="99"/>
    <w:unhideWhenUsed/>
    <w:rsid w:val="00FA50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D443-8D49-426D-8108-8442F523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6959</Characters>
  <Application>Microsoft Office Word</Application>
  <DocSecurity>0</DocSecurity>
  <Lines>100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Links>
    <vt:vector size="12" baseType="variant"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cp:lastModifiedBy>Chan Sze Wei</cp:lastModifiedBy>
  <cp:revision>2</cp:revision>
  <cp:lastPrinted>2016-10-25T05:43:00Z</cp:lastPrinted>
  <dcterms:created xsi:type="dcterms:W3CDTF">2019-12-06T01:33:00Z</dcterms:created>
  <dcterms:modified xsi:type="dcterms:W3CDTF">2019-12-06T01:33:00Z</dcterms:modified>
</cp:coreProperties>
</file>