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10" w:rsidRDefault="00622710" w:rsidP="00622710">
      <w:pPr>
        <w:pStyle w:val="CILTitle"/>
      </w:pPr>
      <w:r>
        <w:t>2015 CHAIRMAN’S STATEMENT OF THE 10TH EAST ASIA SUMMIT:</w:t>
      </w:r>
      <w:r>
        <w:br/>
        <w:t>“</w:t>
      </w:r>
      <w:r w:rsidRPr="006070E3">
        <w:t>OUR PEOPLE, OUR COMMUNITY, OUR VISION</w:t>
      </w:r>
      <w:r>
        <w:t>”</w:t>
      </w:r>
    </w:p>
    <w:p w:rsidR="00622710" w:rsidRDefault="00622710" w:rsidP="00622710">
      <w:pPr>
        <w:pStyle w:val="CILSubtitle"/>
      </w:pPr>
      <w:r>
        <w:t>Adopted in Kuala Lumpur, Malaysia on 22 November 2015</w:t>
      </w:r>
    </w:p>
    <w:sdt>
      <w:sdtPr>
        <w:id w:val="-1102182075"/>
        <w:docPartObj>
          <w:docPartGallery w:val="Table of Contents"/>
          <w:docPartUnique/>
        </w:docPartObj>
      </w:sdtPr>
      <w:sdtEndPr>
        <w:rPr>
          <w:rFonts w:ascii="Arial" w:eastAsia="Calibri" w:hAnsi="Arial" w:cs="Arial"/>
          <w:bCs/>
          <w:noProof/>
          <w:color w:val="auto"/>
          <w:sz w:val="20"/>
          <w:szCs w:val="20"/>
        </w:rPr>
      </w:sdtEndPr>
      <w:sdtContent>
        <w:p w:rsidR="00622710" w:rsidRPr="00622710" w:rsidRDefault="00622710">
          <w:pPr>
            <w:pStyle w:val="TOCHeading"/>
            <w:rPr>
              <w:rFonts w:ascii="Arial" w:hAnsi="Arial" w:cs="Arial"/>
              <w:sz w:val="20"/>
              <w:szCs w:val="20"/>
            </w:rPr>
          </w:pPr>
        </w:p>
        <w:p w:rsidR="00622710" w:rsidRPr="00622710" w:rsidRDefault="00622710">
          <w:pPr>
            <w:pStyle w:val="TOC1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caps/>
              <w:noProof/>
              <w:sz w:val="20"/>
              <w:szCs w:val="20"/>
              <w:lang w:val="en-SG" w:eastAsia="zh-CN"/>
            </w:rPr>
          </w:pPr>
          <w:r w:rsidRPr="00622710">
            <w:rPr>
              <w:rFonts w:ascii="Arial" w:hAnsi="Arial" w:cs="Arial"/>
              <w:b w:val="0"/>
              <w:bCs w:val="0"/>
              <w:sz w:val="20"/>
              <w:szCs w:val="20"/>
            </w:rPr>
            <w:fldChar w:fldCharType="begin"/>
          </w:r>
          <w:r w:rsidRPr="00622710">
            <w:rPr>
              <w:rFonts w:ascii="Arial" w:hAnsi="Arial" w:cs="Arial"/>
              <w:b w:val="0"/>
              <w:sz w:val="20"/>
              <w:szCs w:val="20"/>
            </w:rPr>
            <w:instrText xml:space="preserve"> TOC \o "1-3" \h \z \u </w:instrText>
          </w:r>
          <w:r w:rsidRPr="00622710">
            <w:rPr>
              <w:rFonts w:ascii="Arial" w:hAnsi="Arial" w:cs="Arial"/>
              <w:b w:val="0"/>
              <w:bCs w:val="0"/>
              <w:sz w:val="20"/>
              <w:szCs w:val="20"/>
            </w:rPr>
            <w:fldChar w:fldCharType="separate"/>
          </w:r>
          <w:hyperlink w:anchor="_Toc48049872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PRIORITY AREAS OF COOP</w:t>
            </w:r>
            <w:bookmarkStart w:id="0" w:name="_GoBack"/>
            <w:bookmarkEnd w:id="0"/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ERATION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_Toc48049872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2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73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ENERGY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_Toc48049873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2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74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EDUCATION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_Toc48049874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3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75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FINANCE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_Toc48049875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3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76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GLOBAL HEALTH INCLUDING PANDEMICS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_Toc48049876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3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77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ENVIRONMENT AND DISASTER MANAGEMENT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_Toc48049877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3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78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ASEAN CONNECTIVITY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_Toc48049878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4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1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caps/>
              <w:noProof/>
              <w:sz w:val="20"/>
              <w:szCs w:val="20"/>
              <w:lang w:val="en-SG" w:eastAsia="zh-CN"/>
            </w:rPr>
          </w:pPr>
          <w:hyperlink w:anchor="_Toc48049879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OTHER AREAS OF COOPERATION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_Toc48049879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4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80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MARITIME COOPERATION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_Toc48049880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4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81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SECURITY OF AND IN THE USE OF ICTS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_Toc48049881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4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82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DISARMAMENT AND NON-PROLIFERATION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_Toc48049882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4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1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caps/>
              <w:noProof/>
              <w:sz w:val="20"/>
              <w:szCs w:val="20"/>
              <w:lang w:val="en-SG" w:eastAsia="zh-CN"/>
            </w:rPr>
          </w:pPr>
          <w:hyperlink w:anchor="_Toc48049883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REGIONAL AND INTERNATIONAL ISSUES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_Toc48049883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4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84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SOUTH CHINA SEA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_Toc48049884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4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85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KOREAN PENINSULA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_Toc48049885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5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86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MIDDLE EAST AND PALESTINE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_Toc48049886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5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87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TERRORISM AND MODERATION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_Toc48049887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6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88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70TH ANNIVERSARY UN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_Toc48049888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6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89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SUSTAINABLE DEVELOPMENT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_Toc48049889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6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90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REFUGEES/MIGRANTS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_Toc48049890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6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91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REGIONAL ECONOMIC INTEGRATION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_Toc48049891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6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92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APEC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_Toc48049892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7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Pr="00622710" w:rsidRDefault="00622710">
          <w:pPr>
            <w:pStyle w:val="TOC2"/>
            <w:tabs>
              <w:tab w:val="right" w:leader="dot" w:pos="9017"/>
            </w:tabs>
            <w:rPr>
              <w:rFonts w:ascii="Arial" w:eastAsiaTheme="minorEastAsia" w:hAnsi="Arial" w:cs="Arial"/>
              <w:b w:val="0"/>
              <w:bCs w:val="0"/>
              <w:caps/>
              <w:noProof/>
              <w:sz w:val="20"/>
              <w:szCs w:val="20"/>
              <w:lang w:val="en-SG" w:eastAsia="zh-CN"/>
            </w:rPr>
          </w:pPr>
          <w:hyperlink w:anchor="_Toc48049893" w:history="1">
            <w:r w:rsidRPr="00622710">
              <w:rPr>
                <w:rStyle w:val="Hyperlink"/>
                <w:rFonts w:ascii="Arial" w:hAnsi="Arial" w:cs="Arial"/>
                <w:b w:val="0"/>
                <w:noProof/>
                <w:sz w:val="20"/>
                <w:szCs w:val="20"/>
              </w:rPr>
              <w:t>G20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_Toc48049893 \h </w:instrTex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7</w:t>
            </w:r>
            <w:r w:rsidRPr="00622710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22710" w:rsidRDefault="00622710">
          <w:r w:rsidRPr="00622710">
            <w:rPr>
              <w:rFonts w:cs="Arial"/>
              <w:bCs/>
              <w:noProof/>
            </w:rPr>
            <w:fldChar w:fldCharType="end"/>
          </w:r>
        </w:p>
      </w:sdtContent>
    </w:sdt>
    <w:p w:rsidR="00622710" w:rsidRDefault="00622710">
      <w:pPr>
        <w:spacing w:before="0" w:after="0" w:line="240" w:lineRule="auto"/>
        <w:jc w:val="left"/>
        <w:rPr>
          <w:rFonts w:eastAsia="Batang" w:cs="Arial"/>
          <w:b/>
          <w:bCs/>
          <w:caps/>
          <w:kern w:val="32"/>
          <w:sz w:val="28"/>
          <w:szCs w:val="32"/>
          <w:lang w:val="en-GB" w:eastAsia="ko-KR"/>
        </w:rPr>
      </w:pPr>
      <w:r>
        <w:br w:type="page"/>
      </w:r>
    </w:p>
    <w:p w:rsidR="006070E3" w:rsidRDefault="006070E3" w:rsidP="006070E3">
      <w:pPr>
        <w:pStyle w:val="CILTitle"/>
      </w:pPr>
      <w:r>
        <w:lastRenderedPageBreak/>
        <w:t xml:space="preserve">2015 </w:t>
      </w:r>
      <w:r w:rsidR="00941AF2">
        <w:t>CHAIRMAN’S STATEMENT OF THE 10TH EAST ASIA SUMMIT</w:t>
      </w:r>
      <w:r>
        <w:t>:</w:t>
      </w:r>
      <w:r>
        <w:br/>
        <w:t>“</w:t>
      </w:r>
      <w:r w:rsidRPr="006070E3">
        <w:t>OUR PEOPLE, OUR COMMUNITY, OUR VISION</w:t>
      </w:r>
      <w:r>
        <w:t>”</w:t>
      </w:r>
    </w:p>
    <w:p w:rsidR="00941AF2" w:rsidRDefault="006070E3" w:rsidP="006070E3">
      <w:pPr>
        <w:pStyle w:val="CILSubtitle"/>
      </w:pPr>
      <w:r>
        <w:t>Adopted in Kuala Lumpur, Malaysia on</w:t>
      </w:r>
      <w:r w:rsidR="00941AF2">
        <w:t xml:space="preserve"> 22 </w:t>
      </w:r>
      <w:r>
        <w:t>November</w:t>
      </w:r>
      <w:r w:rsidR="00941AF2">
        <w:t xml:space="preserve"> 2015</w:t>
      </w:r>
    </w:p>
    <w:p w:rsidR="006070E3" w:rsidRDefault="006070E3" w:rsidP="00941AF2">
      <w:pPr>
        <w:spacing w:before="0" w:after="0"/>
      </w:pPr>
    </w:p>
    <w:p w:rsidR="00941AF2" w:rsidRDefault="00941AF2" w:rsidP="00941AF2">
      <w:pPr>
        <w:spacing w:before="0" w:after="0"/>
      </w:pPr>
      <w:r>
        <w:t>The 10</w:t>
      </w:r>
      <w:r w:rsidRPr="009104E6">
        <w:rPr>
          <w:vertAlign w:val="superscript"/>
        </w:rPr>
        <w:t>th</w:t>
      </w:r>
      <w:r w:rsidR="009104E6">
        <w:t xml:space="preserve"> </w:t>
      </w:r>
      <w:r>
        <w:t>East Asia Summit (EAS) was held in Kuala Lumpur, Malaysia on 22 November 2015.</w:t>
      </w:r>
      <w:r w:rsidR="006070E3">
        <w:t xml:space="preserve"> </w:t>
      </w:r>
      <w:r>
        <w:t>It was chaired by the Prime Minister of Malaysia, the Honourable Dato’ Sri Mohd Najib Tun</w:t>
      </w:r>
      <w:r w:rsidR="006070E3">
        <w:t xml:space="preserve"> </w:t>
      </w:r>
      <w:r>
        <w:t>Razak and attended by the Heads of State/Government of ASEAN Member States, Australia,</w:t>
      </w:r>
      <w:r w:rsidR="006070E3">
        <w:t xml:space="preserve"> </w:t>
      </w:r>
      <w:r>
        <w:t>the People’s Republic of China, the Republic of India, Japan, New Zealand, the Republic of</w:t>
      </w:r>
      <w:r w:rsidR="006070E3">
        <w:t xml:space="preserve"> </w:t>
      </w:r>
      <w:r>
        <w:t>Korea, the Russian Federation and the United States of America.</w:t>
      </w:r>
    </w:p>
    <w:p w:rsidR="006070E3" w:rsidRDefault="006070E3" w:rsidP="00941AF2">
      <w:pPr>
        <w:spacing w:before="0" w:after="0"/>
      </w:pPr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Noting that 2015 marked the 10</w:t>
      </w:r>
      <w:r w:rsidRPr="009104E6">
        <w:rPr>
          <w:vertAlign w:val="superscript"/>
        </w:rPr>
        <w:t>th</w:t>
      </w:r>
      <w:r w:rsidR="009104E6">
        <w:t xml:space="preserve"> </w:t>
      </w:r>
      <w:r>
        <w:t>anniversary of the establishment of the East Asia</w:t>
      </w:r>
      <w:r w:rsidR="006070E3">
        <w:t xml:space="preserve"> </w:t>
      </w:r>
      <w:r>
        <w:t>Summit, we reaffirmed our commitment to the 2005 Kuala Lumpur Declaration on the</w:t>
      </w:r>
      <w:r w:rsidR="006070E3">
        <w:t xml:space="preserve"> </w:t>
      </w:r>
      <w:r>
        <w:t>Establishment of the EAS, the 2010 Ha Noi Declaration on the Commemoration of the 5</w:t>
      </w:r>
      <w:r w:rsidRPr="006070E3">
        <w:rPr>
          <w:vertAlign w:val="superscript"/>
        </w:rPr>
        <w:t>th</w:t>
      </w:r>
      <w:r w:rsidR="006070E3">
        <w:t xml:space="preserve"> </w:t>
      </w:r>
      <w:r>
        <w:t>Anniversary of the EAS and the 2011 Declaration of the EAS on the Principles for Mutually</w:t>
      </w:r>
      <w:r w:rsidR="006070E3">
        <w:t xml:space="preserve"> </w:t>
      </w:r>
      <w:r>
        <w:t>Beneficial Relations, which emphasised the role of the EAS as a Leaders-led forum for strategic</w:t>
      </w:r>
      <w:r w:rsidR="006070E3">
        <w:t xml:space="preserve"> </w:t>
      </w:r>
      <w:r>
        <w:t>dialogue and cooperation on political, security and economic issues of common regional</w:t>
      </w:r>
      <w:r w:rsidR="006070E3">
        <w:t xml:space="preserve"> </w:t>
      </w:r>
      <w:r>
        <w:t>concern with the aim to promote peace, stability and economic prosperity in East Asia.</w:t>
      </w:r>
    </w:p>
    <w:p w:rsidR="006070E3" w:rsidRDefault="006070E3" w:rsidP="00941AF2">
      <w:pPr>
        <w:spacing w:before="0" w:after="0"/>
      </w:pPr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reaffirmed ASEAN’s central role in the EAS, and ASEAN’s commitment to work in</w:t>
      </w:r>
      <w:r w:rsidR="006070E3">
        <w:t xml:space="preserve"> </w:t>
      </w:r>
      <w:r>
        <w:t>close partnership with all EAS participating countries to ensure that the EAS would continue</w:t>
      </w:r>
      <w:r w:rsidR="006070E3">
        <w:t xml:space="preserve"> </w:t>
      </w:r>
      <w:r>
        <w:t>to be an integral component of the regional architecture. We are pleased with the substantive</w:t>
      </w:r>
      <w:r w:rsidR="006070E3">
        <w:t xml:space="preserve"> </w:t>
      </w:r>
      <w:r>
        <w:t>discussions since 2014 and throughout 2015 on strengthening of the East Asia Summit which</w:t>
      </w:r>
      <w:r w:rsidR="006070E3">
        <w:t xml:space="preserve"> </w:t>
      </w:r>
      <w:r>
        <w:t>also reflect the sustainability of the forum. In further strengthening the EAS and on the</w:t>
      </w:r>
      <w:r w:rsidR="006070E3">
        <w:t xml:space="preserve"> </w:t>
      </w:r>
      <w:r>
        <w:t>occasion of its 10</w:t>
      </w:r>
      <w:r w:rsidRPr="009104E6">
        <w:rPr>
          <w:vertAlign w:val="superscript"/>
        </w:rPr>
        <w:t>th</w:t>
      </w:r>
      <w:r w:rsidR="009104E6">
        <w:t xml:space="preserve"> </w:t>
      </w:r>
      <w:r>
        <w:t>anniversary, we adopted the Kuala Lumpur Declaration on the Tenth</w:t>
      </w:r>
      <w:r w:rsidR="006070E3">
        <w:t xml:space="preserve"> </w:t>
      </w:r>
      <w:r>
        <w:t>Anniversary of the East Asia Summit.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welcomed the extension of the Plan of Action (POA) to implement the Phnom</w:t>
      </w:r>
      <w:r w:rsidR="006070E3">
        <w:t xml:space="preserve"> </w:t>
      </w:r>
      <w:r>
        <w:t>Penh Declaration on the East Asia Summit Development Initiative until the end of 2017. We</w:t>
      </w:r>
      <w:r w:rsidR="006070E3">
        <w:t xml:space="preserve"> </w:t>
      </w:r>
      <w:r>
        <w:t>acknowledged that the POA is a comprehensive document aimed at enhancing EAS</w:t>
      </w:r>
      <w:r w:rsidR="006070E3">
        <w:t xml:space="preserve"> </w:t>
      </w:r>
      <w:r>
        <w:t>cooperation in the six priority areas of energy; education; finance; global health including</w:t>
      </w:r>
      <w:r w:rsidR="006070E3">
        <w:t xml:space="preserve"> </w:t>
      </w:r>
      <w:r>
        <w:t xml:space="preserve">pandemics; environment and disaster management; and ASEAN Connectivity. 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1"/>
      </w:pPr>
      <w:bookmarkStart w:id="1" w:name="_Toc48049872"/>
      <w:r>
        <w:t>Priority Areas of Cooperation</w:t>
      </w:r>
      <w:bookmarkEnd w:id="1"/>
    </w:p>
    <w:p w:rsidR="006070E3" w:rsidRDefault="00941AF2" w:rsidP="006070E3">
      <w:pPr>
        <w:pStyle w:val="Heading2"/>
      </w:pPr>
      <w:bookmarkStart w:id="2" w:name="_Toc48049873"/>
      <w:r>
        <w:t>Energy</w:t>
      </w:r>
      <w:bookmarkEnd w:id="2"/>
    </w:p>
    <w:p w:rsidR="00380A88" w:rsidRDefault="00941AF2" w:rsidP="00622710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The Leaders affirmed the importance of continued efforts towards improved energy</w:t>
      </w:r>
      <w:r w:rsidR="006070E3">
        <w:t xml:space="preserve"> </w:t>
      </w:r>
      <w:r>
        <w:t>access and energy affordability, addressing regional energy security and sustainability</w:t>
      </w:r>
      <w:r w:rsidR="006070E3">
        <w:t xml:space="preserve"> </w:t>
      </w:r>
      <w:r>
        <w:t>challenges, promoting high quality energy infrastructure and keeping energy</w:t>
      </w:r>
      <w:r w:rsidR="006070E3">
        <w:t xml:space="preserve"> </w:t>
      </w:r>
      <w:r>
        <w:t>markets</w:t>
      </w:r>
      <w:r w:rsidR="006070E3">
        <w:t xml:space="preserve"> </w:t>
      </w:r>
      <w:r>
        <w:t>transparent and competitive. In this regard, the Leaders underscored the importance</w:t>
      </w:r>
      <w:r w:rsidR="006070E3">
        <w:t xml:space="preserve"> </w:t>
      </w:r>
      <w:r>
        <w:t>of clean energy, such as renewable energy, energy efficiency and clean technology</w:t>
      </w:r>
      <w:r w:rsidR="006070E3">
        <w:t xml:space="preserve"> </w:t>
      </w:r>
      <w:r>
        <w:t>applications to meet the rising energy demand of the EAS region, and particularly stressed</w:t>
      </w:r>
      <w:r w:rsidR="006070E3">
        <w:t xml:space="preserve"> </w:t>
      </w:r>
      <w:r>
        <w:t>the usefulness of sharing energy supply and demand outlooks across the EAS region to</w:t>
      </w:r>
      <w:r w:rsidR="006070E3">
        <w:t xml:space="preserve"> </w:t>
      </w:r>
      <w:r>
        <w:t>provide input for energy analysis and policy formulation to better understand potential</w:t>
      </w:r>
      <w:r w:rsidR="006070E3">
        <w:t xml:space="preserve"> </w:t>
      </w:r>
      <w:r>
        <w:t>impacts of supply shocks and disasters.</w:t>
      </w:r>
    </w:p>
    <w:p w:rsidR="00622710" w:rsidRDefault="00622710" w:rsidP="00622710">
      <w:pPr>
        <w:pStyle w:val="ListParagraph"/>
        <w:spacing w:before="0" w:after="0"/>
        <w:ind w:left="0"/>
      </w:pPr>
    </w:p>
    <w:p w:rsidR="00622710" w:rsidRDefault="00622710" w:rsidP="006070E3">
      <w:pPr>
        <w:pStyle w:val="Heading2"/>
      </w:pPr>
      <w:bookmarkStart w:id="3" w:name="_Toc48049874"/>
    </w:p>
    <w:p w:rsidR="00622710" w:rsidRDefault="00622710" w:rsidP="006070E3">
      <w:pPr>
        <w:pStyle w:val="Heading2"/>
      </w:pPr>
    </w:p>
    <w:p w:rsidR="00622710" w:rsidRDefault="00622710" w:rsidP="006070E3">
      <w:pPr>
        <w:pStyle w:val="Heading2"/>
      </w:pPr>
    </w:p>
    <w:p w:rsidR="006070E3" w:rsidRDefault="00941AF2" w:rsidP="006070E3">
      <w:pPr>
        <w:pStyle w:val="Heading2"/>
      </w:pPr>
      <w:r>
        <w:lastRenderedPageBreak/>
        <w:t>Education</w:t>
      </w:r>
      <w:bookmarkEnd w:id="3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reiterated the importance of education cooperation and the need to further</w:t>
      </w:r>
      <w:r w:rsidR="006070E3">
        <w:t xml:space="preserve"> </w:t>
      </w:r>
      <w:r>
        <w:t>strengthen human resource development in the region. We looked forward to the review of</w:t>
      </w:r>
      <w:r w:rsidR="006070E3">
        <w:t xml:space="preserve"> </w:t>
      </w:r>
      <w:r>
        <w:t>the EAS Education Cooperation Plan of Action (2012-2015) to identify, collate and analyse</w:t>
      </w:r>
      <w:r w:rsidR="006070E3">
        <w:t xml:space="preserve"> </w:t>
      </w:r>
      <w:r>
        <w:t>lessons learnt in order to facilitate the development of a post-2015 vision and action plan.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4" w:name="_Toc48049875"/>
      <w:r>
        <w:t>Finance</w:t>
      </w:r>
      <w:bookmarkEnd w:id="4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acknowledged the risks posed by financial market volatility, including possible</w:t>
      </w:r>
      <w:r w:rsidR="006070E3">
        <w:t xml:space="preserve"> </w:t>
      </w:r>
      <w:r>
        <w:t>capital flow reversals, and reiterated the importance of financial stability in supporting</w:t>
      </w:r>
      <w:r w:rsidR="006070E3">
        <w:t xml:space="preserve"> </w:t>
      </w:r>
      <w:r>
        <w:t>economic growth by consistently managing risks and vulnerabilities. We supported the</w:t>
      </w:r>
      <w:r w:rsidR="006070E3">
        <w:t xml:space="preserve"> </w:t>
      </w:r>
      <w:r>
        <w:t>further strengthening of the region’s response to external shocks through continual regional</w:t>
      </w:r>
      <w:r w:rsidR="006070E3">
        <w:t xml:space="preserve"> </w:t>
      </w:r>
      <w:r>
        <w:t>financial cooperation and closer collaboration with international financial institutions.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5" w:name="_Toc48049876"/>
      <w:r>
        <w:t>Global Health including Pandemics</w:t>
      </w:r>
      <w:bookmarkEnd w:id="5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Reaffirming our commitment to the goal of an Asia Pacific free of malaria by 2030, we</w:t>
      </w:r>
      <w:r w:rsidR="006070E3">
        <w:t xml:space="preserve"> </w:t>
      </w:r>
      <w:r>
        <w:t>endorsed the Asia Pacific Leaders’ Malaria Elimination Roadmap as a framework for shared</w:t>
      </w:r>
      <w:r w:rsidR="006070E3">
        <w:t xml:space="preserve"> </w:t>
      </w:r>
      <w:r>
        <w:t>action. We are committed to the Roadmap’s six priority areas and called for a rapid and</w:t>
      </w:r>
      <w:r w:rsidR="006070E3">
        <w:t xml:space="preserve"> </w:t>
      </w:r>
      <w:r>
        <w:t>sustained scale-up effort in the Mekong region to prevent the spread of drug-resistant</w:t>
      </w:r>
      <w:r w:rsidR="006070E3">
        <w:t xml:space="preserve"> </w:t>
      </w:r>
      <w:r>
        <w:t>malaria.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also noted with concern the spread of dengue in an increasing number of countries</w:t>
      </w:r>
      <w:r w:rsidR="006070E3">
        <w:t xml:space="preserve"> </w:t>
      </w:r>
      <w:r>
        <w:t>and that existing vector control methods have not achieved the desired effects in most</w:t>
      </w:r>
      <w:r w:rsidR="006070E3">
        <w:t xml:space="preserve"> </w:t>
      </w:r>
      <w:r>
        <w:t>dengue endemic countries. We called for collaboration and cooperation to develop new</w:t>
      </w:r>
      <w:r w:rsidR="006070E3">
        <w:t xml:space="preserve"> </w:t>
      </w:r>
      <w:r>
        <w:t>technologies and to take advantage of new tools which are on the horizon.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noted with concern the outbreak of the Middle East Respiratory Syndrome (MERS)</w:t>
      </w:r>
      <w:r w:rsidR="006070E3">
        <w:t xml:space="preserve"> </w:t>
      </w:r>
      <w:r>
        <w:t>and the public health threat posed to the region. We emphasised the need to strengthen</w:t>
      </w:r>
      <w:r w:rsidR="006070E3">
        <w:t xml:space="preserve"> </w:t>
      </w:r>
      <w:r>
        <w:t>regional mechanisms and enhance national capacities</w:t>
      </w:r>
      <w:r w:rsidR="006070E3">
        <w:t xml:space="preserve"> </w:t>
      </w:r>
      <w:r>
        <w:t>to contain as well as prevent the spread</w:t>
      </w:r>
      <w:r w:rsidR="006070E3">
        <w:t xml:space="preserve"> </w:t>
      </w:r>
      <w:r>
        <w:t>of pandemics through increased surveillance, coordinating outbreak investigations, timely</w:t>
      </w:r>
      <w:r w:rsidR="006070E3">
        <w:t xml:space="preserve"> </w:t>
      </w:r>
      <w:r>
        <w:t>sharing of information and ensuring adequate infection prevention and control measures in</w:t>
      </w:r>
      <w:r w:rsidR="006070E3">
        <w:t xml:space="preserve"> </w:t>
      </w:r>
      <w:r>
        <w:t>order to minimise risks to public health. In this regard, we adopted the EAS Statement on Enhancing Regional Health Security relating to Communicable Diseases with Epidemic and</w:t>
      </w:r>
      <w:r w:rsidR="006070E3">
        <w:t xml:space="preserve"> </w:t>
      </w:r>
      <w:r>
        <w:t>Pandemic Potential.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6" w:name="_Toc48049877"/>
      <w:r>
        <w:t>Environment and Disaster Management</w:t>
      </w:r>
      <w:bookmarkEnd w:id="6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expressed concern over the adverse impact climate change presents to the</w:t>
      </w:r>
      <w:r w:rsidR="006070E3">
        <w:t xml:space="preserve"> </w:t>
      </w:r>
      <w:r>
        <w:t>economic, social and environmental dimensions of sustainable development of all countries.</w:t>
      </w:r>
      <w:r w:rsidR="006070E3">
        <w:t xml:space="preserve"> </w:t>
      </w:r>
      <w:r>
        <w:t>We recognised the need for urgent and concrete action to address climate change and</w:t>
      </w:r>
      <w:r w:rsidR="006070E3">
        <w:t xml:space="preserve"> </w:t>
      </w:r>
      <w:r>
        <w:t>reaffirmed our commitment to closely cooperate towards the adoption of an ambitious</w:t>
      </w:r>
      <w:r w:rsidR="006070E3">
        <w:t xml:space="preserve"> </w:t>
      </w:r>
      <w:r>
        <w:t>protocol, another legal instrument or an agreed outcome with legal force applicable to all</w:t>
      </w:r>
      <w:r w:rsidR="006070E3">
        <w:t xml:space="preserve"> </w:t>
      </w:r>
      <w:r>
        <w:t>parties under the United Nations Framework Convention on Climate Change (UNFCCC) at the</w:t>
      </w:r>
      <w:r w:rsidR="006070E3">
        <w:t xml:space="preserve"> </w:t>
      </w:r>
      <w:r>
        <w:t>twenty first Conference of the Parties (COP 21), to be held in Paris, France in December 2015.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Noting that natural disasters have caused tremendous loss of life and damage to</w:t>
      </w:r>
      <w:r w:rsidR="006070E3">
        <w:t xml:space="preserve"> </w:t>
      </w:r>
      <w:r>
        <w:t>property in the region in recent years, we recognised the importance of strong collaborative</w:t>
      </w:r>
      <w:r w:rsidR="006070E3">
        <w:t xml:space="preserve"> </w:t>
      </w:r>
      <w:r>
        <w:t>efforts at all levels to achieve rapid, effective and efficient disaster response. In this regard,</w:t>
      </w:r>
      <w:r w:rsidR="006070E3">
        <w:t xml:space="preserve"> </w:t>
      </w:r>
      <w:r>
        <w:t>we welcomed the launch of the EAS Rapid Disaster Response Toolkit and reaffirmed our</w:t>
      </w:r>
      <w:r w:rsidR="006070E3">
        <w:t xml:space="preserve"> </w:t>
      </w:r>
      <w:r>
        <w:t>determination to continue working together in disaster management, particularly with a view</w:t>
      </w:r>
      <w:r w:rsidR="006070E3">
        <w:t xml:space="preserve"> </w:t>
      </w:r>
      <w:r>
        <w:t>to enhance regional rapid response capabilities and humanitarian assistance.</w:t>
      </w:r>
      <w:r w:rsidR="006070E3">
        <w:t xml:space="preserve"> </w:t>
      </w:r>
    </w:p>
    <w:p w:rsidR="006070E3" w:rsidRDefault="00941AF2" w:rsidP="006070E3">
      <w:pPr>
        <w:pStyle w:val="Heading2"/>
      </w:pPr>
      <w:bookmarkStart w:id="7" w:name="_Toc48049878"/>
      <w:r>
        <w:lastRenderedPageBreak/>
        <w:t>ASEAN Connectivity</w:t>
      </w:r>
      <w:bookmarkEnd w:id="7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noted the commendable progress achieved in the implementation of the Master</w:t>
      </w:r>
      <w:r w:rsidR="006070E3">
        <w:t xml:space="preserve"> </w:t>
      </w:r>
      <w:r>
        <w:t>Plan on ASEAN Connectivity. Bearing in mind that ASEAN is in the process of drawing up a</w:t>
      </w:r>
      <w:r w:rsidR="006070E3">
        <w:t xml:space="preserve"> </w:t>
      </w:r>
      <w:r>
        <w:t>new Connectivity plan for the next decade, the Leaders took note of the Silk Road Economic</w:t>
      </w:r>
      <w:r w:rsidR="006070E3">
        <w:t xml:space="preserve"> </w:t>
      </w:r>
      <w:r>
        <w:t>Belt and 21</w:t>
      </w:r>
      <w:r w:rsidRPr="009104E6">
        <w:rPr>
          <w:vertAlign w:val="superscript"/>
        </w:rPr>
        <w:t>st</w:t>
      </w:r>
      <w:r w:rsidR="009104E6">
        <w:t xml:space="preserve"> </w:t>
      </w:r>
      <w:r>
        <w:t>Century Maritime Silk Road initiatives, and looked forward to the early</w:t>
      </w:r>
      <w:r w:rsidR="006070E3">
        <w:t xml:space="preserve"> </w:t>
      </w:r>
      <w:r>
        <w:t>establishment of the Asian Infrastructure Investment Bank and the implementation of the</w:t>
      </w:r>
      <w:r w:rsidR="006070E3">
        <w:t xml:space="preserve"> </w:t>
      </w:r>
      <w:r>
        <w:t>Partnership for Quality Infrastructure. We took note of the Comprehensive Asia Development</w:t>
      </w:r>
      <w:r w:rsidR="006070E3">
        <w:t xml:space="preserve"> </w:t>
      </w:r>
      <w:r>
        <w:t>Plan 2.0 (CADP 2.0) by the Economic Research Institute for ASEAN and East Asia (ERIA) and its</w:t>
      </w:r>
      <w:r w:rsidR="006070E3">
        <w:t xml:space="preserve"> </w:t>
      </w:r>
      <w:r>
        <w:t>potential contribution towards this process. We encouraged ERIA to continue its support to</w:t>
      </w:r>
      <w:r w:rsidR="006070E3">
        <w:t xml:space="preserve"> </w:t>
      </w:r>
      <w:r>
        <w:t>the Chair of the ASEAN Summit and the East Asia Summit.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1"/>
      </w:pPr>
      <w:bookmarkStart w:id="8" w:name="_Toc48049879"/>
      <w:r>
        <w:t>Other Areas of Cooperation</w:t>
      </w:r>
      <w:bookmarkEnd w:id="8"/>
    </w:p>
    <w:p w:rsidR="006070E3" w:rsidRDefault="00941AF2" w:rsidP="006070E3">
      <w:pPr>
        <w:pStyle w:val="Heading2"/>
      </w:pPr>
      <w:bookmarkStart w:id="9" w:name="_Toc48049880"/>
      <w:r>
        <w:t>Maritime Cooperation</w:t>
      </w:r>
      <w:bookmarkEnd w:id="9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underscored the importance of enhancing regional cooperation in promoting</w:t>
      </w:r>
      <w:r w:rsidR="006070E3">
        <w:t xml:space="preserve"> </w:t>
      </w:r>
      <w:r>
        <w:t>maritime safety and security and adopted the EAS Statement on Enhancing Regional Maritime</w:t>
      </w:r>
      <w:r w:rsidR="006070E3">
        <w:t xml:space="preserve"> </w:t>
      </w:r>
      <w:r>
        <w:t xml:space="preserve">Cooperation. We were also pleased with the convening of the </w:t>
      </w:r>
      <w:r w:rsidR="009104E6">
        <w:t>4</w:t>
      </w:r>
      <w:r w:rsidR="009104E6" w:rsidRPr="009104E6">
        <w:rPr>
          <w:vertAlign w:val="superscript"/>
        </w:rPr>
        <w:t>th</w:t>
      </w:r>
      <w:r w:rsidR="009104E6">
        <w:t xml:space="preserve"> </w:t>
      </w:r>
      <w:r>
        <w:t>Expanded ASEAN Maritime</w:t>
      </w:r>
      <w:r w:rsidR="006070E3">
        <w:t xml:space="preserve"> </w:t>
      </w:r>
      <w:r>
        <w:t>Forum back-to-back with the 6</w:t>
      </w:r>
      <w:r w:rsidRPr="009104E6">
        <w:rPr>
          <w:vertAlign w:val="superscript"/>
        </w:rPr>
        <w:t>th</w:t>
      </w:r>
      <w:r w:rsidR="009104E6">
        <w:t xml:space="preserve"> </w:t>
      </w:r>
      <w:r>
        <w:t>ASEAN Maritime Forum which was held in Manado,</w:t>
      </w:r>
      <w:r w:rsidR="006070E3">
        <w:t xml:space="preserve"> </w:t>
      </w:r>
      <w:r>
        <w:t>Indonesia on 9 September 2015. Cognisant of the implementation of numerous maritime</w:t>
      </w:r>
      <w:r w:rsidR="006070E3">
        <w:t>-</w:t>
      </w:r>
      <w:r>
        <w:t>related</w:t>
      </w:r>
      <w:r w:rsidR="006070E3">
        <w:t xml:space="preserve"> </w:t>
      </w:r>
      <w:r>
        <w:t>cooperation activities in the region, we tasked our officials to explore the possibility</w:t>
      </w:r>
      <w:r w:rsidR="006070E3">
        <w:t xml:space="preserve"> </w:t>
      </w:r>
      <w:r>
        <w:t>of including maritime cooperation as a priority area of EAS cooperation.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10" w:name="_Toc48049881"/>
      <w:r>
        <w:t>Security of and in the Use of ICTs</w:t>
      </w:r>
      <w:bookmarkEnd w:id="10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noted that information and communication technologies (ICTs) bring immense</w:t>
      </w:r>
      <w:r w:rsidR="006070E3">
        <w:t xml:space="preserve"> </w:t>
      </w:r>
      <w:r>
        <w:t>economic and social benefits but could also be used for purposes inconsistent with</w:t>
      </w:r>
      <w:r w:rsidR="006070E3">
        <w:t xml:space="preserve"> </w:t>
      </w:r>
      <w:r>
        <w:t>international peace and security. We decided to cooperate to improve regional stability and</w:t>
      </w:r>
      <w:r w:rsidR="006070E3">
        <w:t xml:space="preserve"> </w:t>
      </w:r>
      <w:r>
        <w:t>reduce risk in this area through intensifying our efforts to strengthen information-sharing,</w:t>
      </w:r>
      <w:r w:rsidR="006070E3">
        <w:t xml:space="preserve"> </w:t>
      </w:r>
      <w:r>
        <w:t>incident response, capacity-building and other practical cooperation. Recognising the gravity</w:t>
      </w:r>
      <w:r w:rsidR="006070E3">
        <w:t xml:space="preserve"> </w:t>
      </w:r>
      <w:r>
        <w:t>of the matter, we adopted the EAS Statement on Issues related to Security of and in the Use</w:t>
      </w:r>
      <w:r w:rsidR="006070E3">
        <w:t xml:space="preserve"> </w:t>
      </w:r>
      <w:r>
        <w:t>of ICTs.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11" w:name="_Toc48049882"/>
      <w:r>
        <w:t>Disarmament and Non-Proliferation</w:t>
      </w:r>
      <w:bookmarkEnd w:id="11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welcomed ASEAN’s commitment to preserving Southeast Asia as a Nuclear</w:t>
      </w:r>
      <w:r w:rsidR="006070E3">
        <w:t xml:space="preserve"> </w:t>
      </w:r>
      <w:r>
        <w:t>Weapon Free Zone and the contribution of the Southeast Asia Nuclear Weapon Free Zone</w:t>
      </w:r>
      <w:r w:rsidR="006070E3">
        <w:t xml:space="preserve"> </w:t>
      </w:r>
      <w:r>
        <w:t>(SEANWFZ) Treaty to regional security and the global non-proliferation regime. We reiterated</w:t>
      </w:r>
      <w:r w:rsidR="006070E3">
        <w:t xml:space="preserve"> </w:t>
      </w:r>
      <w:r>
        <w:t>our commitment to continue to work with Nuclear Weapons States (NWS) to resolve all</w:t>
      </w:r>
      <w:r w:rsidR="006070E3">
        <w:t xml:space="preserve"> </w:t>
      </w:r>
      <w:r>
        <w:t>outstanding issues, in accordance with the objectives and principles of the SEANWFZ Treaty</w:t>
      </w:r>
      <w:r w:rsidR="006070E3">
        <w:t xml:space="preserve"> </w:t>
      </w:r>
      <w:r>
        <w:t>pertaining to the signing and ratifying of the protocol of the SEANWFZ Treaty.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1"/>
      </w:pPr>
      <w:bookmarkStart w:id="12" w:name="_Toc48049883"/>
      <w:r>
        <w:t>Regional and International Issues</w:t>
      </w:r>
      <w:bookmarkEnd w:id="12"/>
    </w:p>
    <w:p w:rsidR="006070E3" w:rsidRDefault="00941AF2" w:rsidP="006070E3">
      <w:pPr>
        <w:pStyle w:val="Heading2"/>
      </w:pPr>
      <w:bookmarkStart w:id="13" w:name="_Toc48049884"/>
      <w:r>
        <w:t>South China Sea</w:t>
      </w:r>
      <w:bookmarkEnd w:id="13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reaffirmed the importance of maintaining peace, stability, security and upholding</w:t>
      </w:r>
      <w:r w:rsidR="006070E3">
        <w:t xml:space="preserve"> </w:t>
      </w:r>
      <w:r>
        <w:t>freedom of navigation in and over-flight above the South China Sea.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took note of the serious concerns expressed by some Leaders over recent and ongoing</w:t>
      </w:r>
      <w:r w:rsidR="006070E3">
        <w:t xml:space="preserve"> </w:t>
      </w:r>
      <w:r>
        <w:t>developments in the area, which have resulted in the erosion of trust and confidence</w:t>
      </w:r>
      <w:r w:rsidR="006070E3">
        <w:t xml:space="preserve"> </w:t>
      </w:r>
      <w:r>
        <w:t>amongst parties, and may undermine peace, security and stability in the region.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lastRenderedPageBreak/>
        <w:t>We welcomed assurances given by China as expressed by President Xi Jinping during</w:t>
      </w:r>
      <w:r w:rsidR="006070E3">
        <w:t xml:space="preserve"> </w:t>
      </w:r>
      <w:r>
        <w:t>his visit to the United States of America recently that China does not intend to pursue</w:t>
      </w:r>
      <w:r w:rsidR="006070E3">
        <w:t xml:space="preserve"> </w:t>
      </w:r>
      <w:r>
        <w:t>militarisation in the South China Sea.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underscored the commitment of ASEAN Member States and China to ensure the</w:t>
      </w:r>
      <w:r w:rsidR="006070E3">
        <w:t xml:space="preserve"> </w:t>
      </w:r>
      <w:r>
        <w:t>full and effective implementation of the Declaration on the Conduct of Parties in the South</w:t>
      </w:r>
      <w:r w:rsidR="006070E3">
        <w:t xml:space="preserve"> </w:t>
      </w:r>
      <w:r>
        <w:t>China Sea (DOC) in its entirety: to build, maintain and enhance mutual trust and confidence;</w:t>
      </w:r>
      <w:r w:rsidR="006070E3">
        <w:t xml:space="preserve"> </w:t>
      </w:r>
      <w:r>
        <w:t>to exercise self-restraint in the conduct of activities; not to resort to the threat or use of force;</w:t>
      </w:r>
      <w:r w:rsidR="006070E3">
        <w:t xml:space="preserve"> </w:t>
      </w:r>
      <w:r>
        <w:t>and for the states concerned to resolve their differences and disputes through peaceful</w:t>
      </w:r>
      <w:r w:rsidR="006070E3">
        <w:t xml:space="preserve"> </w:t>
      </w:r>
      <w:r>
        <w:t>means, in accordance with international law including the 1982 United Nations Convention</w:t>
      </w:r>
      <w:r w:rsidR="006070E3">
        <w:t xml:space="preserve"> </w:t>
      </w:r>
      <w:r>
        <w:t>on the Law of the Sea (UNCLOS 1982).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noted the outcomes of the 10</w:t>
      </w:r>
      <w:r w:rsidRPr="009104E6">
        <w:rPr>
          <w:vertAlign w:val="superscript"/>
        </w:rPr>
        <w:t>th</w:t>
      </w:r>
      <w:r w:rsidR="009104E6">
        <w:t xml:space="preserve"> </w:t>
      </w:r>
      <w:r>
        <w:t>ASEAN-China Senior Officials Meeting (SOM) on</w:t>
      </w:r>
      <w:r w:rsidR="006070E3">
        <w:t xml:space="preserve"> </w:t>
      </w:r>
      <w:r>
        <w:t>DOC and the 15</w:t>
      </w:r>
      <w:r w:rsidRPr="009104E6">
        <w:rPr>
          <w:vertAlign w:val="superscript"/>
        </w:rPr>
        <w:t>th</w:t>
      </w:r>
      <w:r w:rsidR="009104E6">
        <w:t xml:space="preserve"> </w:t>
      </w:r>
      <w:r>
        <w:t xml:space="preserve">ASEAN-China Joint Working Group (JWG) in Chengdu, China on 19 </w:t>
      </w:r>
      <w:r w:rsidR="006070E3">
        <w:t>–</w:t>
      </w:r>
      <w:r>
        <w:t xml:space="preserve"> 20</w:t>
      </w:r>
      <w:r w:rsidR="006070E3">
        <w:t xml:space="preserve"> </w:t>
      </w:r>
      <w:r>
        <w:t>October 2015. We are encouraged by the recent agreement of ASEAN Member States and</w:t>
      </w:r>
      <w:r w:rsidR="006070E3">
        <w:t xml:space="preserve"> </w:t>
      </w:r>
      <w:r>
        <w:t>China to proceed to the next stage of consultations towards the establishment of the Code of Conduct in the South China Sea (COC) and looked forward to the expeditious establishment</w:t>
      </w:r>
      <w:r w:rsidR="006070E3">
        <w:t xml:space="preserve"> </w:t>
      </w:r>
      <w:r>
        <w:t>of an effective COC.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14" w:name="_Toc48049885"/>
      <w:r>
        <w:t>Korean Peninsula</w:t>
      </w:r>
      <w:bookmarkEnd w:id="14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noted with concern recent developments on the Korean Peninsula and underlined</w:t>
      </w:r>
      <w:r w:rsidR="006070E3">
        <w:t xml:space="preserve"> </w:t>
      </w:r>
      <w:r>
        <w:t>the importance of peace, security and stability in the region. We registered deep concern over</w:t>
      </w:r>
      <w:r w:rsidR="006070E3">
        <w:t xml:space="preserve"> </w:t>
      </w:r>
      <w:r>
        <w:t>the Democratic People’s Republic of Korea’s ballistic missile launch in May 2015; opposed any</w:t>
      </w:r>
      <w:r w:rsidR="006070E3">
        <w:t xml:space="preserve"> </w:t>
      </w:r>
      <w:r>
        <w:t>action which would raise tensions; highlighted the importance of trust-building activities on</w:t>
      </w:r>
      <w:r w:rsidR="006070E3">
        <w:t xml:space="preserve"> </w:t>
      </w:r>
      <w:r>
        <w:t>the Peninsula; the need to fully comply with all relevant United Nations Security Council</w:t>
      </w:r>
      <w:r w:rsidR="006070E3">
        <w:t xml:space="preserve"> </w:t>
      </w:r>
      <w:r>
        <w:t>resolutions; and for parties to abide by their commitments under the 19 September 2005</w:t>
      </w:r>
      <w:r w:rsidR="006070E3">
        <w:t xml:space="preserve"> </w:t>
      </w:r>
      <w:r>
        <w:t>Joint Statement of the Six-Party Talks, which would pave the way for the complete and</w:t>
      </w:r>
      <w:r w:rsidR="006070E3">
        <w:t xml:space="preserve"> </w:t>
      </w:r>
      <w:r>
        <w:t>verifiable denuclearisation of the Korean Peninsula in a peaceful manner. We also</w:t>
      </w:r>
      <w:r w:rsidR="006070E3">
        <w:t xml:space="preserve"> </w:t>
      </w:r>
      <w:r>
        <w:t>emphasised the importance of addressing issues of humanitarian concern, including the</w:t>
      </w:r>
      <w:r w:rsidR="006070E3">
        <w:t xml:space="preserve"> </w:t>
      </w:r>
      <w:r>
        <w:t>abduction issue.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15" w:name="_Toc48049886"/>
      <w:r>
        <w:t>Middle East and Palestine</w:t>
      </w:r>
      <w:bookmarkEnd w:id="15"/>
    </w:p>
    <w:p w:rsidR="00354260" w:rsidRDefault="00941AF2" w:rsidP="00622710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The Leaders expressed grave concern over the provocations and escalating violence</w:t>
      </w:r>
      <w:r w:rsidR="006070E3">
        <w:t xml:space="preserve"> </w:t>
      </w:r>
      <w:r>
        <w:t>in and around the Old City of Jerusalem, the West Bank and Gaza and urged all parties to</w:t>
      </w:r>
      <w:r w:rsidR="006070E3">
        <w:t xml:space="preserve"> </w:t>
      </w:r>
      <w:r>
        <w:t>exercise restraint and uphold respect for the sanctity of the Holy Sites. We condemned</w:t>
      </w:r>
      <w:r w:rsidR="006070E3">
        <w:t xml:space="preserve"> </w:t>
      </w:r>
      <w:r>
        <w:t>attempts to alter the character and status of the Holy City of Jerusalem, in violation of United</w:t>
      </w:r>
      <w:r w:rsidR="006070E3">
        <w:t xml:space="preserve"> </w:t>
      </w:r>
      <w:r>
        <w:t>Nations Security Council and General Assembly resolutions. We expressed support for the</w:t>
      </w:r>
      <w:r w:rsidR="006070E3">
        <w:t xml:space="preserve"> </w:t>
      </w:r>
      <w:r>
        <w:t>legitimate right of the Palestinian people to an independent state of Palestine with the</w:t>
      </w:r>
      <w:r w:rsidR="006070E3">
        <w:t xml:space="preserve"> </w:t>
      </w:r>
      <w:r>
        <w:t xml:space="preserve">realisation of two States, Palestine and Israel, living </w:t>
      </w:r>
      <w:r w:rsidR="008352FE">
        <w:br/>
      </w:r>
      <w:r>
        <w:t>side-by-side, and called upon Israel and</w:t>
      </w:r>
      <w:r w:rsidR="006070E3">
        <w:t xml:space="preserve"> </w:t>
      </w:r>
      <w:r>
        <w:t>Palestine to constructively engage in peace negotiations. We called on all parties to make</w:t>
      </w:r>
      <w:r w:rsidR="006070E3">
        <w:t xml:space="preserve"> </w:t>
      </w:r>
      <w:r>
        <w:t>every effort to remove obstacles related thereto, in particular the construction and expansion</w:t>
      </w:r>
      <w:r w:rsidR="006070E3">
        <w:t xml:space="preserve"> </w:t>
      </w:r>
      <w:r>
        <w:t>of illegal settlements in the Occupied Palestinian Territories, and expressed support for all</w:t>
      </w:r>
      <w:r w:rsidR="006070E3">
        <w:t xml:space="preserve"> </w:t>
      </w:r>
      <w:r>
        <w:t>efforts towards finding a just, lasting, comprehensive and peaceful settlement of the Israeli</w:t>
      </w:r>
      <w:r w:rsidR="006070E3">
        <w:t>-</w:t>
      </w:r>
      <w:r>
        <w:t>Palestinian</w:t>
      </w:r>
      <w:r w:rsidR="006070E3">
        <w:t xml:space="preserve"> </w:t>
      </w:r>
      <w:r>
        <w:t>conflict.</w:t>
      </w:r>
    </w:p>
    <w:p w:rsidR="00622710" w:rsidRDefault="00622710" w:rsidP="00622710">
      <w:pPr>
        <w:pStyle w:val="ListParagraph"/>
        <w:spacing w:before="0" w:after="0"/>
        <w:ind w:left="0"/>
      </w:pPr>
    </w:p>
    <w:p w:rsidR="00622710" w:rsidRDefault="00622710" w:rsidP="00622710">
      <w:pPr>
        <w:pStyle w:val="ListParagraph"/>
        <w:spacing w:before="0" w:after="0"/>
        <w:ind w:left="0"/>
      </w:pPr>
    </w:p>
    <w:p w:rsidR="00622710" w:rsidRDefault="00622710" w:rsidP="00622710">
      <w:pPr>
        <w:pStyle w:val="ListParagraph"/>
        <w:spacing w:before="0" w:after="0"/>
        <w:ind w:left="0"/>
      </w:pPr>
    </w:p>
    <w:p w:rsidR="00622710" w:rsidRDefault="00622710" w:rsidP="00622710">
      <w:pPr>
        <w:pStyle w:val="ListParagraph"/>
        <w:spacing w:before="0" w:after="0"/>
        <w:ind w:left="0"/>
      </w:pPr>
    </w:p>
    <w:p w:rsidR="00622710" w:rsidRDefault="00622710" w:rsidP="00622710">
      <w:pPr>
        <w:pStyle w:val="ListParagraph"/>
        <w:spacing w:before="0" w:after="0"/>
        <w:ind w:left="0"/>
      </w:pPr>
    </w:p>
    <w:p w:rsidR="00622710" w:rsidRDefault="00622710" w:rsidP="00622710">
      <w:pPr>
        <w:pStyle w:val="ListParagraph"/>
        <w:spacing w:before="0" w:after="0"/>
        <w:ind w:left="0"/>
      </w:pPr>
    </w:p>
    <w:p w:rsidR="00622710" w:rsidRDefault="00622710" w:rsidP="00622710">
      <w:pPr>
        <w:pStyle w:val="ListParagraph"/>
        <w:spacing w:before="0" w:after="0"/>
        <w:ind w:left="0"/>
      </w:pPr>
    </w:p>
    <w:p w:rsidR="00622710" w:rsidRDefault="00622710" w:rsidP="00622710">
      <w:pPr>
        <w:pStyle w:val="ListParagraph"/>
        <w:spacing w:before="0" w:after="0"/>
        <w:ind w:left="0"/>
      </w:pPr>
    </w:p>
    <w:p w:rsidR="00622710" w:rsidRDefault="00622710" w:rsidP="00622710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16" w:name="_Toc48049887"/>
      <w:r>
        <w:lastRenderedPageBreak/>
        <w:t>Terrorism and moderation</w:t>
      </w:r>
      <w:bookmarkEnd w:id="16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strongly condemned the terrorist attacks in recent weeks and underlined the need</w:t>
      </w:r>
      <w:r w:rsidR="006070E3">
        <w:t xml:space="preserve"> </w:t>
      </w:r>
      <w:r>
        <w:t>to address the threats of violent extremism and terrorism in a comprehensive manner,</w:t>
      </w:r>
      <w:r w:rsidR="006070E3">
        <w:t xml:space="preserve"> </w:t>
      </w:r>
      <w:r>
        <w:t>particularly by identifying and addressing the underlying factors that contribute to terrorism,</w:t>
      </w:r>
      <w:r w:rsidR="006070E3">
        <w:t xml:space="preserve"> </w:t>
      </w:r>
      <w:r>
        <w:t>lead to radicalisation and the spread of violent extremism. In this regard, we reaffirmed our</w:t>
      </w:r>
      <w:r w:rsidR="006070E3">
        <w:t xml:space="preserve"> </w:t>
      </w:r>
      <w:r>
        <w:t>support for the Global Movement of Moderates, recognising moderation as one of the</w:t>
      </w:r>
      <w:r w:rsidR="006070E3">
        <w:t xml:space="preserve"> </w:t>
      </w:r>
      <w:r>
        <w:t>approaches to counter violent extremism and stressed the importance of doing so through</w:t>
      </w:r>
      <w:r w:rsidR="006070E3">
        <w:t xml:space="preserve"> </w:t>
      </w:r>
      <w:r>
        <w:t>multi-pronged cooperation. In this regard, we adopted the EAS Declaration on the Global</w:t>
      </w:r>
      <w:r w:rsidR="006070E3">
        <w:t xml:space="preserve"> </w:t>
      </w:r>
      <w:r>
        <w:t>Movement of Moderates and the EAS Statement on Countering Violent Extremism.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17" w:name="_Toc48049888"/>
      <w:r>
        <w:t>70th anniversary UN</w:t>
      </w:r>
      <w:bookmarkEnd w:id="17"/>
    </w:p>
    <w:p w:rsidR="006070E3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On the occasion of the 70</w:t>
      </w:r>
      <w:r w:rsidRPr="009104E6">
        <w:rPr>
          <w:vertAlign w:val="superscript"/>
        </w:rPr>
        <w:t>th</w:t>
      </w:r>
      <w:r w:rsidR="009104E6">
        <w:t xml:space="preserve"> </w:t>
      </w:r>
      <w:r>
        <w:t>anniversary of the United Nations, we reaffirmed our</w:t>
      </w:r>
      <w:r w:rsidR="006070E3">
        <w:t xml:space="preserve"> </w:t>
      </w:r>
      <w:r>
        <w:t>commitment to the purposes and principles of the UN Charter and underscored its central</w:t>
      </w:r>
      <w:r w:rsidR="006070E3">
        <w:t xml:space="preserve"> </w:t>
      </w:r>
      <w:r>
        <w:t>role in on-going multilateral efforts to find common solutions to addressing global challenges. We reaffirmed the need for a comprehensive reform of the United Nations, including</w:t>
      </w:r>
      <w:r w:rsidR="006070E3">
        <w:t xml:space="preserve"> </w:t>
      </w:r>
      <w:r>
        <w:t>revitalisation of its General Assembly and the reform of the Security Council, guided by</w:t>
      </w:r>
      <w:r w:rsidR="006070E3">
        <w:t xml:space="preserve"> </w:t>
      </w:r>
      <w:r>
        <w:t>principles of democracy, transparency and accountability and achieved through open and</w:t>
      </w:r>
      <w:r w:rsidR="006070E3">
        <w:t xml:space="preserve"> </w:t>
      </w:r>
      <w:r>
        <w:t>inclusive consultations.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18" w:name="_Toc48049889"/>
      <w:r>
        <w:t>Sustainable Development</w:t>
      </w:r>
      <w:bookmarkEnd w:id="18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welcomed the adoption of the 2030 Agenda for Sustainable Development and the</w:t>
      </w:r>
      <w:r w:rsidR="006070E3">
        <w:t xml:space="preserve"> </w:t>
      </w:r>
      <w:r>
        <w:t>Sustainable Development Goals (SDG) therein, which among others aims to end poverty and</w:t>
      </w:r>
      <w:r w:rsidR="006070E3">
        <w:t xml:space="preserve"> </w:t>
      </w:r>
      <w:r>
        <w:t>hunger in all their forms everywhere; reduce inequality within and among countries; and</w:t>
      </w:r>
      <w:r w:rsidR="006070E3">
        <w:t xml:space="preserve"> </w:t>
      </w:r>
      <w:r>
        <w:t>strengthen the means of implementation and revitalise the global partnership for sustainable</w:t>
      </w:r>
      <w:r w:rsidR="006070E3">
        <w:t xml:space="preserve"> </w:t>
      </w:r>
      <w:r>
        <w:t>development.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19" w:name="_Toc48049890"/>
      <w:r>
        <w:t>Refugees/Migrants</w:t>
      </w:r>
      <w:bookmarkEnd w:id="19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expressed utmost concern over the large displacement of people caused by</w:t>
      </w:r>
      <w:r w:rsidR="006070E3">
        <w:t xml:space="preserve"> </w:t>
      </w:r>
      <w:r>
        <w:t>internal strife as well as the loss of lives in the Mediterranean and Andaman Seas. We called</w:t>
      </w:r>
      <w:r w:rsidR="006070E3">
        <w:t xml:space="preserve"> </w:t>
      </w:r>
      <w:r>
        <w:t>on the Governments of all countries involved - source, transit and destination - to provide</w:t>
      </w:r>
      <w:r w:rsidR="006070E3">
        <w:t xml:space="preserve"> </w:t>
      </w:r>
      <w:r>
        <w:t>responses in the spirit of cooperation, international burden sharing and shared responsibility,</w:t>
      </w:r>
      <w:r w:rsidR="006070E3">
        <w:t xml:space="preserve"> </w:t>
      </w:r>
      <w:r>
        <w:t>acting with humanity, compassion and in accordance with international law.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20" w:name="_Toc48049891"/>
      <w:r>
        <w:t>Regional Economic Integration</w:t>
      </w:r>
      <w:bookmarkEnd w:id="20"/>
    </w:p>
    <w:p w:rsidR="00354260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reaffirmed support for the realisation of the ASEAN Economic Community and</w:t>
      </w:r>
      <w:r w:rsidR="006070E3">
        <w:t xml:space="preserve"> </w:t>
      </w:r>
      <w:r>
        <w:t>ASEAN’s commitment towards further regional economic integration in East Asia and the Asia</w:t>
      </w:r>
      <w:r w:rsidR="006070E3">
        <w:t xml:space="preserve"> </w:t>
      </w:r>
      <w:r>
        <w:t>Pacific region. We noted the conclusion of negotiations on the Trans-Pacific Partnership</w:t>
      </w:r>
      <w:r w:rsidR="006070E3">
        <w:t xml:space="preserve"> </w:t>
      </w:r>
      <w:r>
        <w:t>Agreement as well as progress achieved in negotiations towards a Regional Comprehensive</w:t>
      </w:r>
      <w:r w:rsidR="006070E3">
        <w:t xml:space="preserve"> </w:t>
      </w:r>
      <w:r>
        <w:t>Economic Partnership (RCEP) agreement and urged all parties to intensify efforts to conclude</w:t>
      </w:r>
      <w:r w:rsidR="006070E3">
        <w:t xml:space="preserve"> </w:t>
      </w:r>
      <w:r>
        <w:t>negotiations, as contained in the Joint Statement on the RCEP Negotiations of 22 November</w:t>
      </w:r>
      <w:r w:rsidR="006070E3">
        <w:t xml:space="preserve"> </w:t>
      </w:r>
      <w:r>
        <w:t>2015. We reiterated our commitment to avoid protectionist measures affecting trade and</w:t>
      </w:r>
      <w:r w:rsidR="006070E3">
        <w:t xml:space="preserve"> </w:t>
      </w:r>
      <w:r>
        <w:t>investment which are inconsistent with World Trade Organisation (WTO) commitments and</w:t>
      </w:r>
      <w:r w:rsidR="006070E3">
        <w:t xml:space="preserve"> </w:t>
      </w:r>
      <w:r>
        <w:t>as reaffirmed at the 7</w:t>
      </w:r>
      <w:r w:rsidRPr="009104E6">
        <w:rPr>
          <w:vertAlign w:val="superscript"/>
        </w:rPr>
        <w:t>th</w:t>
      </w:r>
      <w:r w:rsidR="009104E6">
        <w:t xml:space="preserve"> </w:t>
      </w:r>
      <w:r>
        <w:t>East Asia Summit held in Phnom Penh, Cambodia in 2012.</w:t>
      </w:r>
      <w:r w:rsidR="006070E3">
        <w:t xml:space="preserve"> </w:t>
      </w:r>
    </w:p>
    <w:p w:rsidR="00354260" w:rsidRDefault="00354260" w:rsidP="00354260">
      <w:pPr>
        <w:pStyle w:val="ListParagraph"/>
        <w:spacing w:before="0" w:after="0"/>
        <w:ind w:left="0"/>
      </w:pPr>
    </w:p>
    <w:p w:rsidR="00354260" w:rsidRDefault="00354260" w:rsidP="00354260">
      <w:pPr>
        <w:pStyle w:val="ListParagraph"/>
        <w:spacing w:before="0" w:after="0"/>
        <w:ind w:left="0"/>
      </w:pPr>
    </w:p>
    <w:p w:rsidR="00354260" w:rsidRDefault="00354260" w:rsidP="00354260">
      <w:pPr>
        <w:pStyle w:val="ListParagraph"/>
        <w:spacing w:before="0" w:after="0"/>
        <w:ind w:left="0"/>
      </w:pPr>
    </w:p>
    <w:p w:rsidR="00354260" w:rsidRDefault="00354260" w:rsidP="00354260">
      <w:pPr>
        <w:pStyle w:val="ListParagraph"/>
        <w:spacing w:before="0" w:after="0"/>
        <w:ind w:left="0"/>
      </w:pPr>
    </w:p>
    <w:p w:rsidR="00354260" w:rsidRDefault="00354260" w:rsidP="00354260">
      <w:pPr>
        <w:pStyle w:val="ListParagraph"/>
        <w:spacing w:before="0" w:after="0"/>
        <w:ind w:left="0"/>
      </w:pPr>
    </w:p>
    <w:p w:rsidR="00354260" w:rsidRDefault="00354260" w:rsidP="00354260">
      <w:pPr>
        <w:pStyle w:val="ListParagraph"/>
        <w:spacing w:before="0" w:after="0"/>
        <w:ind w:left="0"/>
      </w:pPr>
    </w:p>
    <w:p w:rsidR="006070E3" w:rsidRDefault="00941AF2" w:rsidP="00354260">
      <w:pPr>
        <w:pStyle w:val="Heading2"/>
      </w:pPr>
      <w:bookmarkStart w:id="21" w:name="_Toc48049892"/>
      <w:r>
        <w:lastRenderedPageBreak/>
        <w:t>APEC</w:t>
      </w:r>
      <w:bookmarkEnd w:id="21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The Leaders welcomed the outcomes of the 2015 APEC Economic Leaders' Meeting</w:t>
      </w:r>
      <w:r w:rsidR="006070E3">
        <w:t xml:space="preserve"> </w:t>
      </w:r>
      <w:r>
        <w:t>which was held in Manila, Philippines on 18</w:t>
      </w:r>
      <w:r w:rsidR="00673F31">
        <w:t xml:space="preserve"> – </w:t>
      </w:r>
      <w:r>
        <w:t>19 November 2015 and noted APEC's on-going</w:t>
      </w:r>
      <w:r w:rsidR="006070E3">
        <w:t xml:space="preserve"> </w:t>
      </w:r>
      <w:r>
        <w:t>contribution to enhancing regional economic integration, fostering small and medium</w:t>
      </w:r>
      <w:r w:rsidR="006070E3">
        <w:t xml:space="preserve"> </w:t>
      </w:r>
      <w:r>
        <w:t>enterprises’ participation in regional and global markets, and investing in human capital</w:t>
      </w:r>
      <w:r w:rsidR="006070E3">
        <w:t xml:space="preserve"> </w:t>
      </w:r>
      <w:r>
        <w:t>development and building sustainable and resilient communities. We further supported the</w:t>
      </w:r>
      <w:r w:rsidR="006070E3">
        <w:t xml:space="preserve"> </w:t>
      </w:r>
      <w:r>
        <w:t>forum's emphasis on services and structural reform,</w:t>
      </w:r>
      <w:r w:rsidR="006070E3">
        <w:t xml:space="preserve"> </w:t>
      </w:r>
      <w:r>
        <w:t>strengthening economic cooperation and</w:t>
      </w:r>
      <w:r w:rsidR="006070E3">
        <w:t xml:space="preserve"> </w:t>
      </w:r>
      <w:r>
        <w:t>capacity building towards achieving regional economic integration and economic prosperity</w:t>
      </w:r>
      <w:r w:rsidR="006070E3">
        <w:t xml:space="preserve"> </w:t>
      </w:r>
      <w:r>
        <w:t>for the region.</w:t>
      </w:r>
    </w:p>
    <w:p w:rsidR="00941AF2" w:rsidRDefault="00941AF2" w:rsidP="006070E3">
      <w:pPr>
        <w:pStyle w:val="ListParagraph"/>
        <w:spacing w:before="0" w:after="0"/>
        <w:ind w:left="0"/>
      </w:pPr>
    </w:p>
    <w:p w:rsidR="006070E3" w:rsidRDefault="00941AF2" w:rsidP="006070E3">
      <w:pPr>
        <w:pStyle w:val="Heading2"/>
      </w:pPr>
      <w:bookmarkStart w:id="22" w:name="_Toc48049893"/>
      <w:r>
        <w:t>G20</w:t>
      </w:r>
      <w:bookmarkEnd w:id="22"/>
    </w:p>
    <w:p w:rsidR="00941AF2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welcomed the outcome of the G20 Summit which was held in Antalya, Turkey on</w:t>
      </w:r>
      <w:r w:rsidR="006070E3">
        <w:t xml:space="preserve"> </w:t>
      </w:r>
      <w:r>
        <w:t>15</w:t>
      </w:r>
      <w:r w:rsidR="00354260">
        <w:t xml:space="preserve"> – </w:t>
      </w:r>
      <w:r>
        <w:t>16 November 2015, which aimed at robust, sustainable, balanced as well as inclusive</w:t>
      </w:r>
      <w:r w:rsidR="006070E3">
        <w:t xml:space="preserve"> </w:t>
      </w:r>
      <w:r>
        <w:t>growth, both at the national and international levels as well as the establishment of Women20, with a</w:t>
      </w:r>
      <w:r w:rsidR="006070E3">
        <w:t xml:space="preserve"> </w:t>
      </w:r>
      <w:r>
        <w:t>view to increasing women’s participation in the global economy. We commended</w:t>
      </w:r>
      <w:r w:rsidR="006070E3">
        <w:t xml:space="preserve"> </w:t>
      </w:r>
      <w:r>
        <w:t>the G20’s continued engagement with ASEAN through the regular participation of the ASEAN</w:t>
      </w:r>
      <w:r w:rsidR="006070E3">
        <w:t xml:space="preserve"> </w:t>
      </w:r>
      <w:r>
        <w:t xml:space="preserve">Chairman at the G20 meetings and </w:t>
      </w:r>
      <w:r w:rsidR="00354260">
        <w:br/>
      </w:r>
      <w:r>
        <w:t>G20 Summit. We looked forward to active cooperation</w:t>
      </w:r>
      <w:r w:rsidR="006070E3">
        <w:t xml:space="preserve"> </w:t>
      </w:r>
      <w:r>
        <w:t>between ASEAN and the G20 under China’s presidency.</w:t>
      </w:r>
    </w:p>
    <w:p w:rsidR="006070E3" w:rsidRDefault="006070E3" w:rsidP="006070E3">
      <w:pPr>
        <w:pStyle w:val="ListParagraph"/>
        <w:spacing w:before="0" w:after="0"/>
        <w:ind w:left="0"/>
      </w:pPr>
    </w:p>
    <w:p w:rsidR="00DF288A" w:rsidRPr="00E423E4" w:rsidRDefault="00941AF2" w:rsidP="006070E3">
      <w:pPr>
        <w:pStyle w:val="ListParagraph"/>
        <w:numPr>
          <w:ilvl w:val="0"/>
          <w:numId w:val="13"/>
        </w:numPr>
        <w:spacing w:before="0" w:after="0"/>
        <w:ind w:left="0" w:hanging="11"/>
      </w:pPr>
      <w:r>
        <w:t>We looked forward to the convening of the 11th East Asia Summit in Lao PDR in 2016.</w:t>
      </w:r>
    </w:p>
    <w:sectPr w:rsidR="00DF288A" w:rsidRPr="00E423E4" w:rsidSect="00F61B4F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A95" w:rsidRDefault="00542A95" w:rsidP="00F61B4F">
      <w:pPr>
        <w:spacing w:before="0" w:after="0" w:line="240" w:lineRule="auto"/>
      </w:pPr>
      <w:r>
        <w:separator/>
      </w:r>
    </w:p>
  </w:endnote>
  <w:endnote w:type="continuationSeparator" w:id="0">
    <w:p w:rsidR="00542A95" w:rsidRDefault="00542A95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 w:rsidR="006070E3">
      <w:rPr>
        <w:rFonts w:cs="Arial"/>
        <w:color w:val="7F7F7F"/>
        <w:sz w:val="16"/>
        <w:szCs w:val="16"/>
      </w:rPr>
      <w:t xml:space="preserve">             </w:t>
    </w:r>
    <w:r w:rsidRPr="004943C3">
      <w:rPr>
        <w:rFonts w:cs="Arial"/>
        <w:color w:val="7F7F7F"/>
        <w:sz w:val="16"/>
        <w:szCs w:val="16"/>
      </w:rPr>
      <w:t xml:space="preserve"> </w:t>
    </w:r>
    <w:r>
      <w:rPr>
        <w:rFonts w:cs="Arial"/>
        <w:color w:val="7F7F7F"/>
        <w:sz w:val="16"/>
        <w:szCs w:val="16"/>
      </w:rPr>
      <w:tab/>
    </w:r>
    <w:r w:rsidR="006070E3">
      <w:rPr>
        <w:rFonts w:cs="Arial"/>
        <w:color w:val="7F7F7F"/>
        <w:sz w:val="16"/>
        <w:szCs w:val="16"/>
      </w:rPr>
      <w:t xml:space="preserve">  </w:t>
    </w:r>
    <w:r w:rsidRPr="004943C3">
      <w:rPr>
        <w:rFonts w:cs="Arial"/>
        <w:color w:val="7F7F7F"/>
        <w:sz w:val="16"/>
        <w:szCs w:val="16"/>
      </w:rPr>
      <w:t xml:space="preserve">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 w:rsidR="006070E3">
      <w:rPr>
        <w:rFonts w:cs="Arial"/>
        <w:color w:val="7F7F7F"/>
        <w:sz w:val="16"/>
        <w:szCs w:val="16"/>
      </w:rPr>
      <w:t xml:space="preserve">             </w:t>
    </w:r>
    <w:r w:rsidRPr="004943C3">
      <w:rPr>
        <w:rFonts w:cs="Arial"/>
        <w:color w:val="7F7F7F"/>
        <w:sz w:val="16"/>
        <w:szCs w:val="16"/>
      </w:rPr>
      <w:t xml:space="preserve"> </w:t>
    </w:r>
    <w:r>
      <w:rPr>
        <w:rFonts w:cs="Arial"/>
        <w:color w:val="7F7F7F"/>
        <w:sz w:val="16"/>
        <w:szCs w:val="16"/>
      </w:rPr>
      <w:tab/>
    </w:r>
    <w:r w:rsidR="006070E3">
      <w:rPr>
        <w:rFonts w:cs="Arial"/>
        <w:color w:val="7F7F7F"/>
        <w:sz w:val="16"/>
        <w:szCs w:val="16"/>
      </w:rPr>
      <w:t xml:space="preserve">  </w:t>
    </w:r>
    <w:r>
      <w:rPr>
        <w:rFonts w:cs="Arial"/>
        <w:color w:val="7F7F7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A95" w:rsidRDefault="00542A95" w:rsidP="00F61B4F">
      <w:pPr>
        <w:spacing w:before="0" w:after="0" w:line="240" w:lineRule="auto"/>
      </w:pPr>
      <w:r>
        <w:separator/>
      </w:r>
    </w:p>
  </w:footnote>
  <w:footnote w:type="continuationSeparator" w:id="0">
    <w:p w:rsidR="00542A95" w:rsidRDefault="00542A95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Pr="00CD6026" w:rsidRDefault="00673F31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 w:rsidRPr="00673F31">
      <w:rPr>
        <w:rFonts w:cs="Arial"/>
        <w:caps/>
        <w:color w:val="808080"/>
        <w:sz w:val="16"/>
        <w:szCs w:val="16"/>
      </w:rPr>
      <w:t>2015 CHAIRMAN’S STATEMENT OF THE 10TH EAST ASIA SUMMIT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F7710"/>
    <w:multiLevelType w:val="hybridMultilevel"/>
    <w:tmpl w:val="99887A4C"/>
    <w:lvl w:ilvl="0" w:tplc="60B8FD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E0992"/>
    <w:multiLevelType w:val="multilevel"/>
    <w:tmpl w:val="EA765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F2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4260"/>
    <w:rsid w:val="00355356"/>
    <w:rsid w:val="003557B3"/>
    <w:rsid w:val="00361211"/>
    <w:rsid w:val="00363CA6"/>
    <w:rsid w:val="00363E88"/>
    <w:rsid w:val="0036654E"/>
    <w:rsid w:val="003762D5"/>
    <w:rsid w:val="00380A88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2A9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4FC9"/>
    <w:rsid w:val="006056CA"/>
    <w:rsid w:val="006070E3"/>
    <w:rsid w:val="006077DA"/>
    <w:rsid w:val="00615E91"/>
    <w:rsid w:val="00617785"/>
    <w:rsid w:val="00620043"/>
    <w:rsid w:val="00622710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73F31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352FE"/>
    <w:rsid w:val="00841728"/>
    <w:rsid w:val="008419D9"/>
    <w:rsid w:val="0084289A"/>
    <w:rsid w:val="00850873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104E6"/>
    <w:rsid w:val="00916941"/>
    <w:rsid w:val="009217B0"/>
    <w:rsid w:val="00921DB5"/>
    <w:rsid w:val="00923519"/>
    <w:rsid w:val="00926EA3"/>
    <w:rsid w:val="009303E7"/>
    <w:rsid w:val="00933064"/>
    <w:rsid w:val="00935B08"/>
    <w:rsid w:val="00941AF2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0C9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F7BBA"/>
  <w15:docId w15:val="{DEB41DE9-857D-394E-9B16-7C978045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120" w:after="0"/>
      <w:ind w:left="200"/>
      <w:jc w:val="left"/>
      <w:outlineLvl w:val="9"/>
    </w:pPr>
    <w:rPr>
      <w:rFonts w:asciiTheme="minorHAnsi" w:hAnsiTheme="minorHAnsi" w:cstheme="minorHAnsi"/>
      <w:caps w:val="0"/>
      <w:sz w:val="22"/>
      <w:szCs w:val="22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0" w:after="0"/>
      <w:ind w:left="400"/>
      <w:jc w:val="left"/>
      <w:outlineLvl w:val="9"/>
    </w:pPr>
    <w:rPr>
      <w:rFonts w:asciiTheme="minorHAnsi" w:hAnsiTheme="minorHAnsi" w:cstheme="minorHAnsi"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/>
      <w:ind w:left="1600"/>
      <w:jc w:val="left"/>
    </w:pPr>
    <w:rPr>
      <w:rFonts w:asciiTheme="minorHAnsi" w:hAnsiTheme="minorHAnsi" w:cstheme="minorHAnsi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vettefoo/Desktop/LAW%20FOLDERS/CIL%20Traineeship/Database%20Work/CIL%20DB%20Formatting%20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B0CC-3912-1D4B-980C-82309D2F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 copy.dotx</Template>
  <TotalTime>19</TotalTime>
  <Pages>7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2019-01-29T09:08:00Z</cp:lastPrinted>
  <dcterms:created xsi:type="dcterms:W3CDTF">2020-08-11T06:04:00Z</dcterms:created>
  <dcterms:modified xsi:type="dcterms:W3CDTF">2020-08-11T06:52:00Z</dcterms:modified>
</cp:coreProperties>
</file>