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BF1" w:rsidRDefault="00F15BF1" w:rsidP="00F15BF1">
      <w:pPr>
        <w:pStyle w:val="CILTitle"/>
      </w:pPr>
      <w:r>
        <w:t xml:space="preserve">2016 TERMS OF REFERENCE ASEAN MILITARIES READY GROUP ON HUMANITARIAN ASSISTANCE </w:t>
      </w:r>
      <w:r>
        <w:br/>
        <w:t>AND DISASTER RELIEF (AMRG on HADR)</w:t>
      </w:r>
    </w:p>
    <w:p w:rsidR="00F15BF1" w:rsidRDefault="00F15BF1" w:rsidP="00F15BF1">
      <w:pPr>
        <w:pStyle w:val="CILSubtitle"/>
      </w:pPr>
      <w:r>
        <w:t>Adopted in Vientiane, Lao PDR on 25 May 2016</w:t>
      </w:r>
    </w:p>
    <w:sdt>
      <w:sdtPr>
        <w:id w:val="-777559784"/>
        <w:docPartObj>
          <w:docPartGallery w:val="Table of Contents"/>
          <w:docPartUnique/>
        </w:docPartObj>
      </w:sdtPr>
      <w:sdtEndPr>
        <w:rPr>
          <w:rFonts w:ascii="Arial" w:eastAsia="Calibri" w:hAnsi="Arial"/>
          <w:b/>
          <w:bCs/>
          <w:noProof/>
          <w:color w:val="auto"/>
          <w:sz w:val="20"/>
          <w:szCs w:val="20"/>
        </w:rPr>
      </w:sdtEndPr>
      <w:sdtContent>
        <w:p w:rsidR="00F15BF1" w:rsidRPr="00F15BF1" w:rsidRDefault="00F15BF1">
          <w:pPr>
            <w:pStyle w:val="TOCHeading"/>
            <w:rPr>
              <w:rFonts w:ascii="Arial" w:hAnsi="Arial" w:cs="Arial"/>
              <w:sz w:val="20"/>
              <w:szCs w:val="20"/>
            </w:rPr>
          </w:pPr>
        </w:p>
        <w:p w:rsidR="00F15BF1" w:rsidRPr="00F15BF1" w:rsidRDefault="00F15BF1">
          <w:pPr>
            <w:pStyle w:val="TOC2"/>
            <w:tabs>
              <w:tab w:val="right" w:leader="dot" w:pos="9017"/>
            </w:tabs>
            <w:rPr>
              <w:rFonts w:ascii="Arial" w:eastAsiaTheme="minorEastAsia" w:hAnsi="Arial" w:cs="Arial"/>
              <w:b w:val="0"/>
              <w:bCs w:val="0"/>
              <w:caps/>
              <w:noProof/>
              <w:sz w:val="20"/>
              <w:szCs w:val="20"/>
              <w:lang w:val="en-SG" w:eastAsia="zh-CN"/>
            </w:rPr>
          </w:pPr>
          <w:r w:rsidRPr="00F15BF1">
            <w:rPr>
              <w:rFonts w:ascii="Arial" w:hAnsi="Arial" w:cs="Arial"/>
              <w:b w:val="0"/>
              <w:bCs w:val="0"/>
              <w:sz w:val="20"/>
              <w:szCs w:val="20"/>
            </w:rPr>
            <w:fldChar w:fldCharType="begin"/>
          </w:r>
          <w:r w:rsidRPr="00F15BF1">
            <w:rPr>
              <w:rFonts w:ascii="Arial" w:hAnsi="Arial" w:cs="Arial"/>
              <w:b w:val="0"/>
              <w:sz w:val="20"/>
              <w:szCs w:val="20"/>
            </w:rPr>
            <w:instrText xml:space="preserve"> TOC \o "1-3" \h \z \u </w:instrText>
          </w:r>
          <w:r w:rsidRPr="00F15BF1">
            <w:rPr>
              <w:rFonts w:ascii="Arial" w:hAnsi="Arial" w:cs="Arial"/>
              <w:b w:val="0"/>
              <w:bCs w:val="0"/>
              <w:sz w:val="20"/>
              <w:szCs w:val="20"/>
            </w:rPr>
            <w:fldChar w:fldCharType="separate"/>
          </w:r>
          <w:hyperlink w:anchor="_Toc48667710" w:history="1">
            <w:r w:rsidRPr="00F15BF1">
              <w:rPr>
                <w:rStyle w:val="Hyperlink"/>
                <w:rFonts w:ascii="Arial" w:hAnsi="Arial" w:cs="Arial"/>
                <w:b w:val="0"/>
                <w:noProof/>
                <w:sz w:val="20"/>
                <w:szCs w:val="20"/>
              </w:rPr>
              <w:t>INTRODUCTION</w:t>
            </w:r>
            <w:r w:rsidRPr="00F15BF1">
              <w:rPr>
                <w:rFonts w:ascii="Arial" w:hAnsi="Arial" w:cs="Arial"/>
                <w:b w:val="0"/>
                <w:noProof/>
                <w:webHidden/>
                <w:sz w:val="20"/>
                <w:szCs w:val="20"/>
              </w:rPr>
              <w:tab/>
            </w:r>
            <w:r w:rsidRPr="00F15BF1">
              <w:rPr>
                <w:rFonts w:ascii="Arial" w:hAnsi="Arial" w:cs="Arial"/>
                <w:b w:val="0"/>
                <w:noProof/>
                <w:webHidden/>
                <w:sz w:val="20"/>
                <w:szCs w:val="20"/>
              </w:rPr>
              <w:fldChar w:fldCharType="begin"/>
            </w:r>
            <w:r w:rsidRPr="00F15BF1">
              <w:rPr>
                <w:rFonts w:ascii="Arial" w:hAnsi="Arial" w:cs="Arial"/>
                <w:b w:val="0"/>
                <w:noProof/>
                <w:webHidden/>
                <w:sz w:val="20"/>
                <w:szCs w:val="20"/>
              </w:rPr>
              <w:instrText xml:space="preserve"> PAGEREF _Toc48667710 \h </w:instrText>
            </w:r>
            <w:r w:rsidRPr="00F15BF1">
              <w:rPr>
                <w:rFonts w:ascii="Arial" w:hAnsi="Arial" w:cs="Arial"/>
                <w:b w:val="0"/>
                <w:noProof/>
                <w:webHidden/>
                <w:sz w:val="20"/>
                <w:szCs w:val="20"/>
              </w:rPr>
            </w:r>
            <w:r w:rsidRPr="00F15BF1">
              <w:rPr>
                <w:rFonts w:ascii="Arial" w:hAnsi="Arial" w:cs="Arial"/>
                <w:b w:val="0"/>
                <w:noProof/>
                <w:webHidden/>
                <w:sz w:val="20"/>
                <w:szCs w:val="20"/>
              </w:rPr>
              <w:fldChar w:fldCharType="separate"/>
            </w:r>
            <w:r w:rsidRPr="00F15BF1">
              <w:rPr>
                <w:rFonts w:ascii="Arial" w:hAnsi="Arial" w:cs="Arial"/>
                <w:b w:val="0"/>
                <w:noProof/>
                <w:webHidden/>
                <w:sz w:val="20"/>
                <w:szCs w:val="20"/>
              </w:rPr>
              <w:t>2</w:t>
            </w:r>
            <w:r w:rsidRPr="00F15BF1">
              <w:rPr>
                <w:rFonts w:ascii="Arial" w:hAnsi="Arial" w:cs="Arial"/>
                <w:b w:val="0"/>
                <w:noProof/>
                <w:webHidden/>
                <w:sz w:val="20"/>
                <w:szCs w:val="20"/>
              </w:rPr>
              <w:fldChar w:fldCharType="end"/>
            </w:r>
          </w:hyperlink>
        </w:p>
        <w:p w:rsidR="00F15BF1" w:rsidRPr="00F15BF1" w:rsidRDefault="00F15BF1">
          <w:pPr>
            <w:pStyle w:val="TOC2"/>
            <w:tabs>
              <w:tab w:val="right" w:leader="dot" w:pos="9017"/>
            </w:tabs>
            <w:rPr>
              <w:rFonts w:ascii="Arial" w:eastAsiaTheme="minorEastAsia" w:hAnsi="Arial" w:cs="Arial"/>
              <w:b w:val="0"/>
              <w:bCs w:val="0"/>
              <w:caps/>
              <w:noProof/>
              <w:sz w:val="20"/>
              <w:szCs w:val="20"/>
              <w:lang w:val="en-SG" w:eastAsia="zh-CN"/>
            </w:rPr>
          </w:pPr>
          <w:hyperlink w:anchor="_Toc48667711" w:history="1">
            <w:r w:rsidRPr="00F15BF1">
              <w:rPr>
                <w:rStyle w:val="Hyperlink"/>
                <w:rFonts w:ascii="Arial" w:hAnsi="Arial" w:cs="Arial"/>
                <w:b w:val="0"/>
                <w:noProof/>
                <w:sz w:val="20"/>
                <w:szCs w:val="20"/>
              </w:rPr>
              <w:t>PRINCIPLES</w:t>
            </w:r>
            <w:r w:rsidRPr="00F15BF1">
              <w:rPr>
                <w:rFonts w:ascii="Arial" w:hAnsi="Arial" w:cs="Arial"/>
                <w:b w:val="0"/>
                <w:noProof/>
                <w:webHidden/>
                <w:sz w:val="20"/>
                <w:szCs w:val="20"/>
              </w:rPr>
              <w:tab/>
            </w:r>
            <w:r w:rsidRPr="00F15BF1">
              <w:rPr>
                <w:rFonts w:ascii="Arial" w:hAnsi="Arial" w:cs="Arial"/>
                <w:b w:val="0"/>
                <w:noProof/>
                <w:webHidden/>
                <w:sz w:val="20"/>
                <w:szCs w:val="20"/>
              </w:rPr>
              <w:fldChar w:fldCharType="begin"/>
            </w:r>
            <w:r w:rsidRPr="00F15BF1">
              <w:rPr>
                <w:rFonts w:ascii="Arial" w:hAnsi="Arial" w:cs="Arial"/>
                <w:b w:val="0"/>
                <w:noProof/>
                <w:webHidden/>
                <w:sz w:val="20"/>
                <w:szCs w:val="20"/>
              </w:rPr>
              <w:instrText xml:space="preserve"> PAGEREF _Toc48667711 \h </w:instrText>
            </w:r>
            <w:r w:rsidRPr="00F15BF1">
              <w:rPr>
                <w:rFonts w:ascii="Arial" w:hAnsi="Arial" w:cs="Arial"/>
                <w:b w:val="0"/>
                <w:noProof/>
                <w:webHidden/>
                <w:sz w:val="20"/>
                <w:szCs w:val="20"/>
              </w:rPr>
            </w:r>
            <w:r w:rsidRPr="00F15BF1">
              <w:rPr>
                <w:rFonts w:ascii="Arial" w:hAnsi="Arial" w:cs="Arial"/>
                <w:b w:val="0"/>
                <w:noProof/>
                <w:webHidden/>
                <w:sz w:val="20"/>
                <w:szCs w:val="20"/>
              </w:rPr>
              <w:fldChar w:fldCharType="separate"/>
            </w:r>
            <w:r w:rsidRPr="00F15BF1">
              <w:rPr>
                <w:rFonts w:ascii="Arial" w:hAnsi="Arial" w:cs="Arial"/>
                <w:b w:val="0"/>
                <w:noProof/>
                <w:webHidden/>
                <w:sz w:val="20"/>
                <w:szCs w:val="20"/>
              </w:rPr>
              <w:t>2</w:t>
            </w:r>
            <w:r w:rsidRPr="00F15BF1">
              <w:rPr>
                <w:rFonts w:ascii="Arial" w:hAnsi="Arial" w:cs="Arial"/>
                <w:b w:val="0"/>
                <w:noProof/>
                <w:webHidden/>
                <w:sz w:val="20"/>
                <w:szCs w:val="20"/>
              </w:rPr>
              <w:fldChar w:fldCharType="end"/>
            </w:r>
          </w:hyperlink>
        </w:p>
        <w:p w:rsidR="00F15BF1" w:rsidRPr="00F15BF1" w:rsidRDefault="00F15BF1">
          <w:pPr>
            <w:pStyle w:val="TOC2"/>
            <w:tabs>
              <w:tab w:val="right" w:leader="dot" w:pos="9017"/>
            </w:tabs>
            <w:rPr>
              <w:rFonts w:ascii="Arial" w:eastAsiaTheme="minorEastAsia" w:hAnsi="Arial" w:cs="Arial"/>
              <w:b w:val="0"/>
              <w:bCs w:val="0"/>
              <w:caps/>
              <w:noProof/>
              <w:sz w:val="20"/>
              <w:szCs w:val="20"/>
              <w:lang w:val="en-SG" w:eastAsia="zh-CN"/>
            </w:rPr>
          </w:pPr>
          <w:hyperlink w:anchor="_Toc48667712" w:history="1">
            <w:r w:rsidRPr="00F15BF1">
              <w:rPr>
                <w:rStyle w:val="Hyperlink"/>
                <w:rFonts w:ascii="Arial" w:hAnsi="Arial" w:cs="Arial"/>
                <w:b w:val="0"/>
                <w:noProof/>
                <w:sz w:val="20"/>
                <w:szCs w:val="20"/>
              </w:rPr>
              <w:t>SCOPE OF ASSISTANCE</w:t>
            </w:r>
            <w:r w:rsidRPr="00F15BF1">
              <w:rPr>
                <w:rFonts w:ascii="Arial" w:hAnsi="Arial" w:cs="Arial"/>
                <w:b w:val="0"/>
                <w:noProof/>
                <w:webHidden/>
                <w:sz w:val="20"/>
                <w:szCs w:val="20"/>
              </w:rPr>
              <w:tab/>
            </w:r>
            <w:r w:rsidRPr="00F15BF1">
              <w:rPr>
                <w:rFonts w:ascii="Arial" w:hAnsi="Arial" w:cs="Arial"/>
                <w:b w:val="0"/>
                <w:noProof/>
                <w:webHidden/>
                <w:sz w:val="20"/>
                <w:szCs w:val="20"/>
              </w:rPr>
              <w:fldChar w:fldCharType="begin"/>
            </w:r>
            <w:r w:rsidRPr="00F15BF1">
              <w:rPr>
                <w:rFonts w:ascii="Arial" w:hAnsi="Arial" w:cs="Arial"/>
                <w:b w:val="0"/>
                <w:noProof/>
                <w:webHidden/>
                <w:sz w:val="20"/>
                <w:szCs w:val="20"/>
              </w:rPr>
              <w:instrText xml:space="preserve"> PAGEREF _Toc48667712 \h </w:instrText>
            </w:r>
            <w:r w:rsidRPr="00F15BF1">
              <w:rPr>
                <w:rFonts w:ascii="Arial" w:hAnsi="Arial" w:cs="Arial"/>
                <w:b w:val="0"/>
                <w:noProof/>
                <w:webHidden/>
                <w:sz w:val="20"/>
                <w:szCs w:val="20"/>
              </w:rPr>
            </w:r>
            <w:r w:rsidRPr="00F15BF1">
              <w:rPr>
                <w:rFonts w:ascii="Arial" w:hAnsi="Arial" w:cs="Arial"/>
                <w:b w:val="0"/>
                <w:noProof/>
                <w:webHidden/>
                <w:sz w:val="20"/>
                <w:szCs w:val="20"/>
              </w:rPr>
              <w:fldChar w:fldCharType="separate"/>
            </w:r>
            <w:r w:rsidRPr="00F15BF1">
              <w:rPr>
                <w:rFonts w:ascii="Arial" w:hAnsi="Arial" w:cs="Arial"/>
                <w:b w:val="0"/>
                <w:noProof/>
                <w:webHidden/>
                <w:sz w:val="20"/>
                <w:szCs w:val="20"/>
              </w:rPr>
              <w:t>3</w:t>
            </w:r>
            <w:r w:rsidRPr="00F15BF1">
              <w:rPr>
                <w:rFonts w:ascii="Arial" w:hAnsi="Arial" w:cs="Arial"/>
                <w:b w:val="0"/>
                <w:noProof/>
                <w:webHidden/>
                <w:sz w:val="20"/>
                <w:szCs w:val="20"/>
              </w:rPr>
              <w:fldChar w:fldCharType="end"/>
            </w:r>
          </w:hyperlink>
        </w:p>
        <w:p w:rsidR="00F15BF1" w:rsidRPr="00F15BF1" w:rsidRDefault="00F15BF1">
          <w:pPr>
            <w:pStyle w:val="TOC2"/>
            <w:tabs>
              <w:tab w:val="right" w:leader="dot" w:pos="9017"/>
            </w:tabs>
            <w:rPr>
              <w:rFonts w:ascii="Arial" w:eastAsiaTheme="minorEastAsia" w:hAnsi="Arial" w:cs="Arial"/>
              <w:b w:val="0"/>
              <w:bCs w:val="0"/>
              <w:caps/>
              <w:noProof/>
              <w:sz w:val="20"/>
              <w:szCs w:val="20"/>
              <w:lang w:val="en-SG" w:eastAsia="zh-CN"/>
            </w:rPr>
          </w:pPr>
          <w:hyperlink w:anchor="_Toc48667713" w:history="1">
            <w:r w:rsidRPr="00F15BF1">
              <w:rPr>
                <w:rStyle w:val="Hyperlink"/>
                <w:rFonts w:ascii="Arial" w:hAnsi="Arial" w:cs="Arial"/>
                <w:b w:val="0"/>
                <w:noProof/>
                <w:sz w:val="20"/>
                <w:szCs w:val="20"/>
              </w:rPr>
              <w:t>STRUCTURE AND ARRANGEMENT</w:t>
            </w:r>
            <w:r w:rsidRPr="00F15BF1">
              <w:rPr>
                <w:rFonts w:ascii="Arial" w:hAnsi="Arial" w:cs="Arial"/>
                <w:b w:val="0"/>
                <w:noProof/>
                <w:webHidden/>
                <w:sz w:val="20"/>
                <w:szCs w:val="20"/>
              </w:rPr>
              <w:tab/>
            </w:r>
            <w:r w:rsidRPr="00F15BF1">
              <w:rPr>
                <w:rFonts w:ascii="Arial" w:hAnsi="Arial" w:cs="Arial"/>
                <w:b w:val="0"/>
                <w:noProof/>
                <w:webHidden/>
                <w:sz w:val="20"/>
                <w:szCs w:val="20"/>
              </w:rPr>
              <w:fldChar w:fldCharType="begin"/>
            </w:r>
            <w:r w:rsidRPr="00F15BF1">
              <w:rPr>
                <w:rFonts w:ascii="Arial" w:hAnsi="Arial" w:cs="Arial"/>
                <w:b w:val="0"/>
                <w:noProof/>
                <w:webHidden/>
                <w:sz w:val="20"/>
                <w:szCs w:val="20"/>
              </w:rPr>
              <w:instrText xml:space="preserve"> PAGEREF _Toc48667713 \h </w:instrText>
            </w:r>
            <w:r w:rsidRPr="00F15BF1">
              <w:rPr>
                <w:rFonts w:ascii="Arial" w:hAnsi="Arial" w:cs="Arial"/>
                <w:b w:val="0"/>
                <w:noProof/>
                <w:webHidden/>
                <w:sz w:val="20"/>
                <w:szCs w:val="20"/>
              </w:rPr>
            </w:r>
            <w:r w:rsidRPr="00F15BF1">
              <w:rPr>
                <w:rFonts w:ascii="Arial" w:hAnsi="Arial" w:cs="Arial"/>
                <w:b w:val="0"/>
                <w:noProof/>
                <w:webHidden/>
                <w:sz w:val="20"/>
                <w:szCs w:val="20"/>
              </w:rPr>
              <w:fldChar w:fldCharType="separate"/>
            </w:r>
            <w:r w:rsidRPr="00F15BF1">
              <w:rPr>
                <w:rFonts w:ascii="Arial" w:hAnsi="Arial" w:cs="Arial"/>
                <w:b w:val="0"/>
                <w:noProof/>
                <w:webHidden/>
                <w:sz w:val="20"/>
                <w:szCs w:val="20"/>
              </w:rPr>
              <w:t>4</w:t>
            </w:r>
            <w:r w:rsidRPr="00F15BF1">
              <w:rPr>
                <w:rFonts w:ascii="Arial" w:hAnsi="Arial" w:cs="Arial"/>
                <w:b w:val="0"/>
                <w:noProof/>
                <w:webHidden/>
                <w:sz w:val="20"/>
                <w:szCs w:val="20"/>
              </w:rPr>
              <w:fldChar w:fldCharType="end"/>
            </w:r>
          </w:hyperlink>
        </w:p>
        <w:p w:rsidR="00F15BF1" w:rsidRPr="00F15BF1" w:rsidRDefault="00F15BF1">
          <w:pPr>
            <w:pStyle w:val="TOC2"/>
            <w:tabs>
              <w:tab w:val="right" w:leader="dot" w:pos="9017"/>
            </w:tabs>
            <w:rPr>
              <w:rFonts w:ascii="Arial" w:eastAsiaTheme="minorEastAsia" w:hAnsi="Arial" w:cs="Arial"/>
              <w:b w:val="0"/>
              <w:bCs w:val="0"/>
              <w:caps/>
              <w:noProof/>
              <w:sz w:val="20"/>
              <w:szCs w:val="20"/>
              <w:lang w:val="en-SG" w:eastAsia="zh-CN"/>
            </w:rPr>
          </w:pPr>
          <w:hyperlink w:anchor="_Toc48667714" w:history="1">
            <w:r w:rsidRPr="00F15BF1">
              <w:rPr>
                <w:rStyle w:val="Hyperlink"/>
                <w:rFonts w:ascii="Arial" w:hAnsi="Arial" w:cs="Arial"/>
                <w:b w:val="0"/>
                <w:noProof/>
                <w:sz w:val="20"/>
                <w:szCs w:val="20"/>
              </w:rPr>
              <w:t>DESIGNATION OF MILITARY REPRESENTATIVES IN THE AHA CENTRE</w:t>
            </w:r>
            <w:r w:rsidRPr="00F15BF1">
              <w:rPr>
                <w:rFonts w:ascii="Arial" w:hAnsi="Arial" w:cs="Arial"/>
                <w:b w:val="0"/>
                <w:noProof/>
                <w:webHidden/>
                <w:sz w:val="20"/>
                <w:szCs w:val="20"/>
              </w:rPr>
              <w:tab/>
            </w:r>
            <w:r w:rsidRPr="00F15BF1">
              <w:rPr>
                <w:rFonts w:ascii="Arial" w:hAnsi="Arial" w:cs="Arial"/>
                <w:b w:val="0"/>
                <w:noProof/>
                <w:webHidden/>
                <w:sz w:val="20"/>
                <w:szCs w:val="20"/>
              </w:rPr>
              <w:fldChar w:fldCharType="begin"/>
            </w:r>
            <w:r w:rsidRPr="00F15BF1">
              <w:rPr>
                <w:rFonts w:ascii="Arial" w:hAnsi="Arial" w:cs="Arial"/>
                <w:b w:val="0"/>
                <w:noProof/>
                <w:webHidden/>
                <w:sz w:val="20"/>
                <w:szCs w:val="20"/>
              </w:rPr>
              <w:instrText xml:space="preserve"> PAGEREF _Toc48667714 \h </w:instrText>
            </w:r>
            <w:r w:rsidRPr="00F15BF1">
              <w:rPr>
                <w:rFonts w:ascii="Arial" w:hAnsi="Arial" w:cs="Arial"/>
                <w:b w:val="0"/>
                <w:noProof/>
                <w:webHidden/>
                <w:sz w:val="20"/>
                <w:szCs w:val="20"/>
              </w:rPr>
            </w:r>
            <w:r w:rsidRPr="00F15BF1">
              <w:rPr>
                <w:rFonts w:ascii="Arial" w:hAnsi="Arial" w:cs="Arial"/>
                <w:b w:val="0"/>
                <w:noProof/>
                <w:webHidden/>
                <w:sz w:val="20"/>
                <w:szCs w:val="20"/>
              </w:rPr>
              <w:fldChar w:fldCharType="separate"/>
            </w:r>
            <w:r w:rsidRPr="00F15BF1">
              <w:rPr>
                <w:rFonts w:ascii="Arial" w:hAnsi="Arial" w:cs="Arial"/>
                <w:b w:val="0"/>
                <w:noProof/>
                <w:webHidden/>
                <w:sz w:val="20"/>
                <w:szCs w:val="20"/>
              </w:rPr>
              <w:t>4</w:t>
            </w:r>
            <w:r w:rsidRPr="00F15BF1">
              <w:rPr>
                <w:rFonts w:ascii="Arial" w:hAnsi="Arial" w:cs="Arial"/>
                <w:b w:val="0"/>
                <w:noProof/>
                <w:webHidden/>
                <w:sz w:val="20"/>
                <w:szCs w:val="20"/>
              </w:rPr>
              <w:fldChar w:fldCharType="end"/>
            </w:r>
          </w:hyperlink>
        </w:p>
        <w:p w:rsidR="00F15BF1" w:rsidRPr="00F15BF1" w:rsidRDefault="00F15BF1">
          <w:pPr>
            <w:pStyle w:val="TOC2"/>
            <w:tabs>
              <w:tab w:val="right" w:leader="dot" w:pos="9017"/>
            </w:tabs>
            <w:rPr>
              <w:rFonts w:ascii="Arial" w:eastAsiaTheme="minorEastAsia" w:hAnsi="Arial" w:cs="Arial"/>
              <w:b w:val="0"/>
              <w:bCs w:val="0"/>
              <w:caps/>
              <w:noProof/>
              <w:sz w:val="20"/>
              <w:szCs w:val="20"/>
              <w:lang w:val="en-SG" w:eastAsia="zh-CN"/>
            </w:rPr>
          </w:pPr>
          <w:hyperlink w:anchor="_Toc48667715" w:history="1">
            <w:r w:rsidRPr="00F15BF1">
              <w:rPr>
                <w:rStyle w:val="Hyperlink"/>
                <w:rFonts w:ascii="Arial" w:hAnsi="Arial" w:cs="Arial"/>
                <w:b w:val="0"/>
                <w:noProof/>
                <w:sz w:val="20"/>
                <w:szCs w:val="20"/>
              </w:rPr>
              <w:t>DESIGNATION OF LIAISON OFFICERS IN EACH ASSISTING STATE</w:t>
            </w:r>
            <w:r w:rsidRPr="00F15BF1">
              <w:rPr>
                <w:rFonts w:ascii="Arial" w:hAnsi="Arial" w:cs="Arial"/>
                <w:b w:val="0"/>
                <w:noProof/>
                <w:webHidden/>
                <w:sz w:val="20"/>
                <w:szCs w:val="20"/>
              </w:rPr>
              <w:tab/>
            </w:r>
            <w:r w:rsidRPr="00F15BF1">
              <w:rPr>
                <w:rFonts w:ascii="Arial" w:hAnsi="Arial" w:cs="Arial"/>
                <w:b w:val="0"/>
                <w:noProof/>
                <w:webHidden/>
                <w:sz w:val="20"/>
                <w:szCs w:val="20"/>
              </w:rPr>
              <w:fldChar w:fldCharType="begin"/>
            </w:r>
            <w:r w:rsidRPr="00F15BF1">
              <w:rPr>
                <w:rFonts w:ascii="Arial" w:hAnsi="Arial" w:cs="Arial"/>
                <w:b w:val="0"/>
                <w:noProof/>
                <w:webHidden/>
                <w:sz w:val="20"/>
                <w:szCs w:val="20"/>
              </w:rPr>
              <w:instrText xml:space="preserve"> PAGEREF _Toc48667715 \h </w:instrText>
            </w:r>
            <w:r w:rsidRPr="00F15BF1">
              <w:rPr>
                <w:rFonts w:ascii="Arial" w:hAnsi="Arial" w:cs="Arial"/>
                <w:b w:val="0"/>
                <w:noProof/>
                <w:webHidden/>
                <w:sz w:val="20"/>
                <w:szCs w:val="20"/>
              </w:rPr>
            </w:r>
            <w:r w:rsidRPr="00F15BF1">
              <w:rPr>
                <w:rFonts w:ascii="Arial" w:hAnsi="Arial" w:cs="Arial"/>
                <w:b w:val="0"/>
                <w:noProof/>
                <w:webHidden/>
                <w:sz w:val="20"/>
                <w:szCs w:val="20"/>
              </w:rPr>
              <w:fldChar w:fldCharType="separate"/>
            </w:r>
            <w:r w:rsidRPr="00F15BF1">
              <w:rPr>
                <w:rFonts w:ascii="Arial" w:hAnsi="Arial" w:cs="Arial"/>
                <w:b w:val="0"/>
                <w:noProof/>
                <w:webHidden/>
                <w:sz w:val="20"/>
                <w:szCs w:val="20"/>
              </w:rPr>
              <w:t>5</w:t>
            </w:r>
            <w:r w:rsidRPr="00F15BF1">
              <w:rPr>
                <w:rFonts w:ascii="Arial" w:hAnsi="Arial" w:cs="Arial"/>
                <w:b w:val="0"/>
                <w:noProof/>
                <w:webHidden/>
                <w:sz w:val="20"/>
                <w:szCs w:val="20"/>
              </w:rPr>
              <w:fldChar w:fldCharType="end"/>
            </w:r>
          </w:hyperlink>
        </w:p>
        <w:p w:rsidR="00F15BF1" w:rsidRPr="00F15BF1" w:rsidRDefault="00F15BF1">
          <w:pPr>
            <w:pStyle w:val="TOC2"/>
            <w:tabs>
              <w:tab w:val="right" w:leader="dot" w:pos="9017"/>
            </w:tabs>
            <w:rPr>
              <w:rFonts w:ascii="Arial" w:eastAsiaTheme="minorEastAsia" w:hAnsi="Arial" w:cs="Arial"/>
              <w:b w:val="0"/>
              <w:bCs w:val="0"/>
              <w:caps/>
              <w:noProof/>
              <w:sz w:val="20"/>
              <w:szCs w:val="20"/>
              <w:lang w:val="en-SG" w:eastAsia="zh-CN"/>
            </w:rPr>
          </w:pPr>
          <w:hyperlink w:anchor="_Toc48667716" w:history="1">
            <w:r w:rsidRPr="00F15BF1">
              <w:rPr>
                <w:rStyle w:val="Hyperlink"/>
                <w:rFonts w:ascii="Arial" w:hAnsi="Arial" w:cs="Arial"/>
                <w:b w:val="0"/>
                <w:noProof/>
                <w:sz w:val="20"/>
                <w:szCs w:val="20"/>
              </w:rPr>
              <w:t>INVENTORY OF MILITARY RESOURCES</w:t>
            </w:r>
            <w:r w:rsidRPr="00F15BF1">
              <w:rPr>
                <w:rFonts w:ascii="Arial" w:hAnsi="Arial" w:cs="Arial"/>
                <w:b w:val="0"/>
                <w:noProof/>
                <w:webHidden/>
                <w:sz w:val="20"/>
                <w:szCs w:val="20"/>
              </w:rPr>
              <w:tab/>
            </w:r>
            <w:r w:rsidRPr="00F15BF1">
              <w:rPr>
                <w:rFonts w:ascii="Arial" w:hAnsi="Arial" w:cs="Arial"/>
                <w:b w:val="0"/>
                <w:noProof/>
                <w:webHidden/>
                <w:sz w:val="20"/>
                <w:szCs w:val="20"/>
              </w:rPr>
              <w:fldChar w:fldCharType="begin"/>
            </w:r>
            <w:r w:rsidRPr="00F15BF1">
              <w:rPr>
                <w:rFonts w:ascii="Arial" w:hAnsi="Arial" w:cs="Arial"/>
                <w:b w:val="0"/>
                <w:noProof/>
                <w:webHidden/>
                <w:sz w:val="20"/>
                <w:szCs w:val="20"/>
              </w:rPr>
              <w:instrText xml:space="preserve"> PAGEREF _Toc48667716 \h </w:instrText>
            </w:r>
            <w:r w:rsidRPr="00F15BF1">
              <w:rPr>
                <w:rFonts w:ascii="Arial" w:hAnsi="Arial" w:cs="Arial"/>
                <w:b w:val="0"/>
                <w:noProof/>
                <w:webHidden/>
                <w:sz w:val="20"/>
                <w:szCs w:val="20"/>
              </w:rPr>
            </w:r>
            <w:r w:rsidRPr="00F15BF1">
              <w:rPr>
                <w:rFonts w:ascii="Arial" w:hAnsi="Arial" w:cs="Arial"/>
                <w:b w:val="0"/>
                <w:noProof/>
                <w:webHidden/>
                <w:sz w:val="20"/>
                <w:szCs w:val="20"/>
              </w:rPr>
              <w:fldChar w:fldCharType="separate"/>
            </w:r>
            <w:r w:rsidRPr="00F15BF1">
              <w:rPr>
                <w:rFonts w:ascii="Arial" w:hAnsi="Arial" w:cs="Arial"/>
                <w:b w:val="0"/>
                <w:noProof/>
                <w:webHidden/>
                <w:sz w:val="20"/>
                <w:szCs w:val="20"/>
              </w:rPr>
              <w:t>5</w:t>
            </w:r>
            <w:r w:rsidRPr="00F15BF1">
              <w:rPr>
                <w:rFonts w:ascii="Arial" w:hAnsi="Arial" w:cs="Arial"/>
                <w:b w:val="0"/>
                <w:noProof/>
                <w:webHidden/>
                <w:sz w:val="20"/>
                <w:szCs w:val="20"/>
              </w:rPr>
              <w:fldChar w:fldCharType="end"/>
            </w:r>
          </w:hyperlink>
        </w:p>
        <w:p w:rsidR="00F15BF1" w:rsidRPr="00F15BF1" w:rsidRDefault="00F15BF1">
          <w:pPr>
            <w:pStyle w:val="TOC2"/>
            <w:tabs>
              <w:tab w:val="right" w:leader="dot" w:pos="9017"/>
            </w:tabs>
            <w:rPr>
              <w:rFonts w:ascii="Arial" w:eastAsiaTheme="minorEastAsia" w:hAnsi="Arial" w:cs="Arial"/>
              <w:b w:val="0"/>
              <w:bCs w:val="0"/>
              <w:caps/>
              <w:noProof/>
              <w:sz w:val="20"/>
              <w:szCs w:val="20"/>
              <w:lang w:val="en-SG" w:eastAsia="zh-CN"/>
            </w:rPr>
          </w:pPr>
          <w:hyperlink w:anchor="_Toc48667717" w:history="1">
            <w:r w:rsidRPr="00F15BF1">
              <w:rPr>
                <w:rStyle w:val="Hyperlink"/>
                <w:rFonts w:ascii="Arial" w:hAnsi="Arial" w:cs="Arial"/>
                <w:b w:val="0"/>
                <w:noProof/>
                <w:sz w:val="20"/>
                <w:szCs w:val="20"/>
              </w:rPr>
              <w:t>IDENTIFICATION</w:t>
            </w:r>
            <w:r w:rsidRPr="00F15BF1">
              <w:rPr>
                <w:rFonts w:ascii="Arial" w:hAnsi="Arial" w:cs="Arial"/>
                <w:b w:val="0"/>
                <w:noProof/>
                <w:webHidden/>
                <w:sz w:val="20"/>
                <w:szCs w:val="20"/>
              </w:rPr>
              <w:tab/>
            </w:r>
            <w:r w:rsidRPr="00F15BF1">
              <w:rPr>
                <w:rFonts w:ascii="Arial" w:hAnsi="Arial" w:cs="Arial"/>
                <w:b w:val="0"/>
                <w:noProof/>
                <w:webHidden/>
                <w:sz w:val="20"/>
                <w:szCs w:val="20"/>
              </w:rPr>
              <w:fldChar w:fldCharType="begin"/>
            </w:r>
            <w:r w:rsidRPr="00F15BF1">
              <w:rPr>
                <w:rFonts w:ascii="Arial" w:hAnsi="Arial" w:cs="Arial"/>
                <w:b w:val="0"/>
                <w:noProof/>
                <w:webHidden/>
                <w:sz w:val="20"/>
                <w:szCs w:val="20"/>
              </w:rPr>
              <w:instrText xml:space="preserve"> PAGEREF _Toc48667717 \h </w:instrText>
            </w:r>
            <w:r w:rsidRPr="00F15BF1">
              <w:rPr>
                <w:rFonts w:ascii="Arial" w:hAnsi="Arial" w:cs="Arial"/>
                <w:b w:val="0"/>
                <w:noProof/>
                <w:webHidden/>
                <w:sz w:val="20"/>
                <w:szCs w:val="20"/>
              </w:rPr>
            </w:r>
            <w:r w:rsidRPr="00F15BF1">
              <w:rPr>
                <w:rFonts w:ascii="Arial" w:hAnsi="Arial" w:cs="Arial"/>
                <w:b w:val="0"/>
                <w:noProof/>
                <w:webHidden/>
                <w:sz w:val="20"/>
                <w:szCs w:val="20"/>
              </w:rPr>
              <w:fldChar w:fldCharType="separate"/>
            </w:r>
            <w:r w:rsidRPr="00F15BF1">
              <w:rPr>
                <w:rFonts w:ascii="Arial" w:hAnsi="Arial" w:cs="Arial"/>
                <w:b w:val="0"/>
                <w:noProof/>
                <w:webHidden/>
                <w:sz w:val="20"/>
                <w:szCs w:val="20"/>
              </w:rPr>
              <w:t>5</w:t>
            </w:r>
            <w:r w:rsidRPr="00F15BF1">
              <w:rPr>
                <w:rFonts w:ascii="Arial" w:hAnsi="Arial" w:cs="Arial"/>
                <w:b w:val="0"/>
                <w:noProof/>
                <w:webHidden/>
                <w:sz w:val="20"/>
                <w:szCs w:val="20"/>
              </w:rPr>
              <w:fldChar w:fldCharType="end"/>
            </w:r>
          </w:hyperlink>
        </w:p>
        <w:p w:rsidR="00F15BF1" w:rsidRPr="00F15BF1" w:rsidRDefault="00F15BF1">
          <w:pPr>
            <w:pStyle w:val="TOC2"/>
            <w:tabs>
              <w:tab w:val="right" w:leader="dot" w:pos="9017"/>
            </w:tabs>
            <w:rPr>
              <w:rFonts w:ascii="Arial" w:eastAsiaTheme="minorEastAsia" w:hAnsi="Arial" w:cs="Arial"/>
              <w:b w:val="0"/>
              <w:bCs w:val="0"/>
              <w:caps/>
              <w:noProof/>
              <w:sz w:val="20"/>
              <w:szCs w:val="20"/>
              <w:lang w:val="en-SG" w:eastAsia="zh-CN"/>
            </w:rPr>
          </w:pPr>
          <w:hyperlink w:anchor="_Toc48667718" w:history="1">
            <w:r w:rsidRPr="00F15BF1">
              <w:rPr>
                <w:rStyle w:val="Hyperlink"/>
                <w:rFonts w:ascii="Arial" w:hAnsi="Arial" w:cs="Arial"/>
                <w:b w:val="0"/>
                <w:noProof/>
                <w:sz w:val="20"/>
                <w:szCs w:val="20"/>
              </w:rPr>
              <w:t>SECURITY</w:t>
            </w:r>
            <w:r w:rsidRPr="00F15BF1">
              <w:rPr>
                <w:rFonts w:ascii="Arial" w:hAnsi="Arial" w:cs="Arial"/>
                <w:b w:val="0"/>
                <w:noProof/>
                <w:webHidden/>
                <w:sz w:val="20"/>
                <w:szCs w:val="20"/>
              </w:rPr>
              <w:tab/>
            </w:r>
            <w:r w:rsidRPr="00F15BF1">
              <w:rPr>
                <w:rFonts w:ascii="Arial" w:hAnsi="Arial" w:cs="Arial"/>
                <w:b w:val="0"/>
                <w:noProof/>
                <w:webHidden/>
                <w:sz w:val="20"/>
                <w:szCs w:val="20"/>
              </w:rPr>
              <w:fldChar w:fldCharType="begin"/>
            </w:r>
            <w:r w:rsidRPr="00F15BF1">
              <w:rPr>
                <w:rFonts w:ascii="Arial" w:hAnsi="Arial" w:cs="Arial"/>
                <w:b w:val="0"/>
                <w:noProof/>
                <w:webHidden/>
                <w:sz w:val="20"/>
                <w:szCs w:val="20"/>
              </w:rPr>
              <w:instrText xml:space="preserve"> PAGEREF _Toc48667718 \h </w:instrText>
            </w:r>
            <w:r w:rsidRPr="00F15BF1">
              <w:rPr>
                <w:rFonts w:ascii="Arial" w:hAnsi="Arial" w:cs="Arial"/>
                <w:b w:val="0"/>
                <w:noProof/>
                <w:webHidden/>
                <w:sz w:val="20"/>
                <w:szCs w:val="20"/>
              </w:rPr>
            </w:r>
            <w:r w:rsidRPr="00F15BF1">
              <w:rPr>
                <w:rFonts w:ascii="Arial" w:hAnsi="Arial" w:cs="Arial"/>
                <w:b w:val="0"/>
                <w:noProof/>
                <w:webHidden/>
                <w:sz w:val="20"/>
                <w:szCs w:val="20"/>
              </w:rPr>
              <w:fldChar w:fldCharType="separate"/>
            </w:r>
            <w:r w:rsidRPr="00F15BF1">
              <w:rPr>
                <w:rFonts w:ascii="Arial" w:hAnsi="Arial" w:cs="Arial"/>
                <w:b w:val="0"/>
                <w:noProof/>
                <w:webHidden/>
                <w:sz w:val="20"/>
                <w:szCs w:val="20"/>
              </w:rPr>
              <w:t>5</w:t>
            </w:r>
            <w:r w:rsidRPr="00F15BF1">
              <w:rPr>
                <w:rFonts w:ascii="Arial" w:hAnsi="Arial" w:cs="Arial"/>
                <w:b w:val="0"/>
                <w:noProof/>
                <w:webHidden/>
                <w:sz w:val="20"/>
                <w:szCs w:val="20"/>
              </w:rPr>
              <w:fldChar w:fldCharType="end"/>
            </w:r>
          </w:hyperlink>
        </w:p>
        <w:p w:rsidR="00F15BF1" w:rsidRPr="00F15BF1" w:rsidRDefault="00F15BF1">
          <w:pPr>
            <w:pStyle w:val="TOC2"/>
            <w:tabs>
              <w:tab w:val="right" w:leader="dot" w:pos="9017"/>
            </w:tabs>
            <w:rPr>
              <w:rFonts w:ascii="Arial" w:eastAsiaTheme="minorEastAsia" w:hAnsi="Arial" w:cs="Arial"/>
              <w:b w:val="0"/>
              <w:bCs w:val="0"/>
              <w:caps/>
              <w:noProof/>
              <w:sz w:val="20"/>
              <w:szCs w:val="20"/>
              <w:lang w:val="en-SG" w:eastAsia="zh-CN"/>
            </w:rPr>
          </w:pPr>
          <w:hyperlink w:anchor="_Toc48667719" w:history="1">
            <w:r w:rsidRPr="00F15BF1">
              <w:rPr>
                <w:rStyle w:val="Hyperlink"/>
                <w:rFonts w:ascii="Arial" w:hAnsi="Arial" w:cs="Arial"/>
                <w:b w:val="0"/>
                <w:noProof/>
                <w:sz w:val="20"/>
                <w:szCs w:val="20"/>
              </w:rPr>
              <w:t>FINANCES</w:t>
            </w:r>
            <w:r w:rsidRPr="00F15BF1">
              <w:rPr>
                <w:rFonts w:ascii="Arial" w:hAnsi="Arial" w:cs="Arial"/>
                <w:b w:val="0"/>
                <w:noProof/>
                <w:webHidden/>
                <w:sz w:val="20"/>
                <w:szCs w:val="20"/>
              </w:rPr>
              <w:tab/>
            </w:r>
            <w:r w:rsidRPr="00F15BF1">
              <w:rPr>
                <w:rFonts w:ascii="Arial" w:hAnsi="Arial" w:cs="Arial"/>
                <w:b w:val="0"/>
                <w:noProof/>
                <w:webHidden/>
                <w:sz w:val="20"/>
                <w:szCs w:val="20"/>
              </w:rPr>
              <w:fldChar w:fldCharType="begin"/>
            </w:r>
            <w:r w:rsidRPr="00F15BF1">
              <w:rPr>
                <w:rFonts w:ascii="Arial" w:hAnsi="Arial" w:cs="Arial"/>
                <w:b w:val="0"/>
                <w:noProof/>
                <w:webHidden/>
                <w:sz w:val="20"/>
                <w:szCs w:val="20"/>
              </w:rPr>
              <w:instrText xml:space="preserve"> PAGEREF _Toc48667719 \h </w:instrText>
            </w:r>
            <w:r w:rsidRPr="00F15BF1">
              <w:rPr>
                <w:rFonts w:ascii="Arial" w:hAnsi="Arial" w:cs="Arial"/>
                <w:b w:val="0"/>
                <w:noProof/>
                <w:webHidden/>
                <w:sz w:val="20"/>
                <w:szCs w:val="20"/>
              </w:rPr>
            </w:r>
            <w:r w:rsidRPr="00F15BF1">
              <w:rPr>
                <w:rFonts w:ascii="Arial" w:hAnsi="Arial" w:cs="Arial"/>
                <w:b w:val="0"/>
                <w:noProof/>
                <w:webHidden/>
                <w:sz w:val="20"/>
                <w:szCs w:val="20"/>
              </w:rPr>
              <w:fldChar w:fldCharType="separate"/>
            </w:r>
            <w:r w:rsidRPr="00F15BF1">
              <w:rPr>
                <w:rFonts w:ascii="Arial" w:hAnsi="Arial" w:cs="Arial"/>
                <w:b w:val="0"/>
                <w:noProof/>
                <w:webHidden/>
                <w:sz w:val="20"/>
                <w:szCs w:val="20"/>
              </w:rPr>
              <w:t>5</w:t>
            </w:r>
            <w:r w:rsidRPr="00F15BF1">
              <w:rPr>
                <w:rFonts w:ascii="Arial" w:hAnsi="Arial" w:cs="Arial"/>
                <w:b w:val="0"/>
                <w:noProof/>
                <w:webHidden/>
                <w:sz w:val="20"/>
                <w:szCs w:val="20"/>
              </w:rPr>
              <w:fldChar w:fldCharType="end"/>
            </w:r>
          </w:hyperlink>
        </w:p>
        <w:p w:rsidR="00F15BF1" w:rsidRPr="00F15BF1" w:rsidRDefault="00F15BF1">
          <w:pPr>
            <w:pStyle w:val="TOC2"/>
            <w:tabs>
              <w:tab w:val="right" w:leader="dot" w:pos="9017"/>
            </w:tabs>
            <w:rPr>
              <w:rFonts w:ascii="Arial" w:eastAsiaTheme="minorEastAsia" w:hAnsi="Arial" w:cs="Arial"/>
              <w:b w:val="0"/>
              <w:bCs w:val="0"/>
              <w:caps/>
              <w:noProof/>
              <w:sz w:val="20"/>
              <w:szCs w:val="20"/>
              <w:lang w:val="en-SG" w:eastAsia="zh-CN"/>
            </w:rPr>
          </w:pPr>
          <w:hyperlink w:anchor="_Toc48667720" w:history="1">
            <w:r w:rsidRPr="00F15BF1">
              <w:rPr>
                <w:rStyle w:val="Hyperlink"/>
                <w:rFonts w:ascii="Arial" w:hAnsi="Arial" w:cs="Arial"/>
                <w:b w:val="0"/>
                <w:noProof/>
                <w:sz w:val="20"/>
                <w:szCs w:val="20"/>
              </w:rPr>
              <w:t>DEPLOYMENT</w:t>
            </w:r>
            <w:r w:rsidRPr="00F15BF1">
              <w:rPr>
                <w:rFonts w:ascii="Arial" w:hAnsi="Arial" w:cs="Arial"/>
                <w:b w:val="0"/>
                <w:noProof/>
                <w:webHidden/>
                <w:sz w:val="20"/>
                <w:szCs w:val="20"/>
              </w:rPr>
              <w:tab/>
            </w:r>
            <w:r w:rsidRPr="00F15BF1">
              <w:rPr>
                <w:rFonts w:ascii="Arial" w:hAnsi="Arial" w:cs="Arial"/>
                <w:b w:val="0"/>
                <w:noProof/>
                <w:webHidden/>
                <w:sz w:val="20"/>
                <w:szCs w:val="20"/>
              </w:rPr>
              <w:fldChar w:fldCharType="begin"/>
            </w:r>
            <w:r w:rsidRPr="00F15BF1">
              <w:rPr>
                <w:rFonts w:ascii="Arial" w:hAnsi="Arial" w:cs="Arial"/>
                <w:b w:val="0"/>
                <w:noProof/>
                <w:webHidden/>
                <w:sz w:val="20"/>
                <w:szCs w:val="20"/>
              </w:rPr>
              <w:instrText xml:space="preserve"> PAGEREF _Toc48667720 \h </w:instrText>
            </w:r>
            <w:r w:rsidRPr="00F15BF1">
              <w:rPr>
                <w:rFonts w:ascii="Arial" w:hAnsi="Arial" w:cs="Arial"/>
                <w:b w:val="0"/>
                <w:noProof/>
                <w:webHidden/>
                <w:sz w:val="20"/>
                <w:szCs w:val="20"/>
              </w:rPr>
            </w:r>
            <w:r w:rsidRPr="00F15BF1">
              <w:rPr>
                <w:rFonts w:ascii="Arial" w:hAnsi="Arial" w:cs="Arial"/>
                <w:b w:val="0"/>
                <w:noProof/>
                <w:webHidden/>
                <w:sz w:val="20"/>
                <w:szCs w:val="20"/>
              </w:rPr>
              <w:fldChar w:fldCharType="separate"/>
            </w:r>
            <w:r w:rsidRPr="00F15BF1">
              <w:rPr>
                <w:rFonts w:ascii="Arial" w:hAnsi="Arial" w:cs="Arial"/>
                <w:b w:val="0"/>
                <w:noProof/>
                <w:webHidden/>
                <w:sz w:val="20"/>
                <w:szCs w:val="20"/>
              </w:rPr>
              <w:t>6</w:t>
            </w:r>
            <w:r w:rsidRPr="00F15BF1">
              <w:rPr>
                <w:rFonts w:ascii="Arial" w:hAnsi="Arial" w:cs="Arial"/>
                <w:b w:val="0"/>
                <w:noProof/>
                <w:webHidden/>
                <w:sz w:val="20"/>
                <w:szCs w:val="20"/>
              </w:rPr>
              <w:fldChar w:fldCharType="end"/>
            </w:r>
          </w:hyperlink>
        </w:p>
        <w:p w:rsidR="00F15BF1" w:rsidRPr="00F15BF1" w:rsidRDefault="00F15BF1">
          <w:pPr>
            <w:pStyle w:val="TOC2"/>
            <w:tabs>
              <w:tab w:val="right" w:leader="dot" w:pos="9017"/>
            </w:tabs>
            <w:rPr>
              <w:rFonts w:ascii="Arial" w:eastAsiaTheme="minorEastAsia" w:hAnsi="Arial" w:cs="Arial"/>
              <w:b w:val="0"/>
              <w:bCs w:val="0"/>
              <w:caps/>
              <w:noProof/>
              <w:sz w:val="20"/>
              <w:szCs w:val="20"/>
              <w:lang w:val="en-SG" w:eastAsia="zh-CN"/>
            </w:rPr>
          </w:pPr>
          <w:hyperlink w:anchor="_Toc48667721" w:history="1">
            <w:r w:rsidRPr="00F15BF1">
              <w:rPr>
                <w:rStyle w:val="Hyperlink"/>
                <w:rFonts w:ascii="Arial" w:hAnsi="Arial" w:cs="Arial"/>
                <w:b w:val="0"/>
                <w:noProof/>
                <w:sz w:val="20"/>
                <w:szCs w:val="20"/>
              </w:rPr>
              <w:t>FUTURE ARRANGEMENTS</w:t>
            </w:r>
            <w:r w:rsidRPr="00F15BF1">
              <w:rPr>
                <w:rFonts w:ascii="Arial" w:hAnsi="Arial" w:cs="Arial"/>
                <w:b w:val="0"/>
                <w:noProof/>
                <w:webHidden/>
                <w:sz w:val="20"/>
                <w:szCs w:val="20"/>
              </w:rPr>
              <w:tab/>
            </w:r>
            <w:r w:rsidRPr="00F15BF1">
              <w:rPr>
                <w:rFonts w:ascii="Arial" w:hAnsi="Arial" w:cs="Arial"/>
                <w:b w:val="0"/>
                <w:noProof/>
                <w:webHidden/>
                <w:sz w:val="20"/>
                <w:szCs w:val="20"/>
              </w:rPr>
              <w:fldChar w:fldCharType="begin"/>
            </w:r>
            <w:r w:rsidRPr="00F15BF1">
              <w:rPr>
                <w:rFonts w:ascii="Arial" w:hAnsi="Arial" w:cs="Arial"/>
                <w:b w:val="0"/>
                <w:noProof/>
                <w:webHidden/>
                <w:sz w:val="20"/>
                <w:szCs w:val="20"/>
              </w:rPr>
              <w:instrText xml:space="preserve"> PAGEREF _Toc48667721 \h </w:instrText>
            </w:r>
            <w:r w:rsidRPr="00F15BF1">
              <w:rPr>
                <w:rFonts w:ascii="Arial" w:hAnsi="Arial" w:cs="Arial"/>
                <w:b w:val="0"/>
                <w:noProof/>
                <w:webHidden/>
                <w:sz w:val="20"/>
                <w:szCs w:val="20"/>
              </w:rPr>
            </w:r>
            <w:r w:rsidRPr="00F15BF1">
              <w:rPr>
                <w:rFonts w:ascii="Arial" w:hAnsi="Arial" w:cs="Arial"/>
                <w:b w:val="0"/>
                <w:noProof/>
                <w:webHidden/>
                <w:sz w:val="20"/>
                <w:szCs w:val="20"/>
              </w:rPr>
              <w:fldChar w:fldCharType="separate"/>
            </w:r>
            <w:r w:rsidRPr="00F15BF1">
              <w:rPr>
                <w:rFonts w:ascii="Arial" w:hAnsi="Arial" w:cs="Arial"/>
                <w:b w:val="0"/>
                <w:noProof/>
                <w:webHidden/>
                <w:sz w:val="20"/>
                <w:szCs w:val="20"/>
              </w:rPr>
              <w:t>6</w:t>
            </w:r>
            <w:r w:rsidRPr="00F15BF1">
              <w:rPr>
                <w:rFonts w:ascii="Arial" w:hAnsi="Arial" w:cs="Arial"/>
                <w:b w:val="0"/>
                <w:noProof/>
                <w:webHidden/>
                <w:sz w:val="20"/>
                <w:szCs w:val="20"/>
              </w:rPr>
              <w:fldChar w:fldCharType="end"/>
            </w:r>
          </w:hyperlink>
        </w:p>
        <w:p w:rsidR="00F15BF1" w:rsidRPr="00F15BF1" w:rsidRDefault="00F15BF1">
          <w:pPr>
            <w:pStyle w:val="TOC2"/>
            <w:tabs>
              <w:tab w:val="right" w:leader="dot" w:pos="9017"/>
            </w:tabs>
            <w:rPr>
              <w:rFonts w:ascii="Arial" w:eastAsiaTheme="minorEastAsia" w:hAnsi="Arial" w:cs="Arial"/>
              <w:b w:val="0"/>
              <w:bCs w:val="0"/>
              <w:caps/>
              <w:noProof/>
              <w:sz w:val="20"/>
              <w:szCs w:val="20"/>
              <w:lang w:val="en-SG" w:eastAsia="zh-CN"/>
            </w:rPr>
          </w:pPr>
          <w:hyperlink w:anchor="_Toc48667722" w:history="1">
            <w:r w:rsidRPr="00F15BF1">
              <w:rPr>
                <w:rStyle w:val="Hyperlink"/>
                <w:rFonts w:ascii="Arial" w:hAnsi="Arial" w:cs="Arial"/>
                <w:b w:val="0"/>
                <w:noProof/>
                <w:sz w:val="20"/>
                <w:szCs w:val="20"/>
              </w:rPr>
              <w:t>ADOPTION</w:t>
            </w:r>
            <w:r w:rsidRPr="00F15BF1">
              <w:rPr>
                <w:rFonts w:ascii="Arial" w:hAnsi="Arial" w:cs="Arial"/>
                <w:b w:val="0"/>
                <w:noProof/>
                <w:webHidden/>
                <w:sz w:val="20"/>
                <w:szCs w:val="20"/>
              </w:rPr>
              <w:tab/>
            </w:r>
            <w:r w:rsidRPr="00F15BF1">
              <w:rPr>
                <w:rFonts w:ascii="Arial" w:hAnsi="Arial" w:cs="Arial"/>
                <w:b w:val="0"/>
                <w:noProof/>
                <w:webHidden/>
                <w:sz w:val="20"/>
                <w:szCs w:val="20"/>
              </w:rPr>
              <w:fldChar w:fldCharType="begin"/>
            </w:r>
            <w:r w:rsidRPr="00F15BF1">
              <w:rPr>
                <w:rFonts w:ascii="Arial" w:hAnsi="Arial" w:cs="Arial"/>
                <w:b w:val="0"/>
                <w:noProof/>
                <w:webHidden/>
                <w:sz w:val="20"/>
                <w:szCs w:val="20"/>
              </w:rPr>
              <w:instrText xml:space="preserve"> PAGEREF _Toc48667722 \h </w:instrText>
            </w:r>
            <w:r w:rsidRPr="00F15BF1">
              <w:rPr>
                <w:rFonts w:ascii="Arial" w:hAnsi="Arial" w:cs="Arial"/>
                <w:b w:val="0"/>
                <w:noProof/>
                <w:webHidden/>
                <w:sz w:val="20"/>
                <w:szCs w:val="20"/>
              </w:rPr>
            </w:r>
            <w:r w:rsidRPr="00F15BF1">
              <w:rPr>
                <w:rFonts w:ascii="Arial" w:hAnsi="Arial" w:cs="Arial"/>
                <w:b w:val="0"/>
                <w:noProof/>
                <w:webHidden/>
                <w:sz w:val="20"/>
                <w:szCs w:val="20"/>
              </w:rPr>
              <w:fldChar w:fldCharType="separate"/>
            </w:r>
            <w:r w:rsidRPr="00F15BF1">
              <w:rPr>
                <w:rFonts w:ascii="Arial" w:hAnsi="Arial" w:cs="Arial"/>
                <w:b w:val="0"/>
                <w:noProof/>
                <w:webHidden/>
                <w:sz w:val="20"/>
                <w:szCs w:val="20"/>
              </w:rPr>
              <w:t>6</w:t>
            </w:r>
            <w:r w:rsidRPr="00F15BF1">
              <w:rPr>
                <w:rFonts w:ascii="Arial" w:hAnsi="Arial" w:cs="Arial"/>
                <w:b w:val="0"/>
                <w:noProof/>
                <w:webHidden/>
                <w:sz w:val="20"/>
                <w:szCs w:val="20"/>
              </w:rPr>
              <w:fldChar w:fldCharType="end"/>
            </w:r>
          </w:hyperlink>
        </w:p>
        <w:p w:rsidR="00F15BF1" w:rsidRPr="00F15BF1" w:rsidRDefault="00F15BF1">
          <w:pPr>
            <w:pStyle w:val="TOC2"/>
            <w:tabs>
              <w:tab w:val="right" w:leader="dot" w:pos="9017"/>
            </w:tabs>
            <w:rPr>
              <w:rFonts w:ascii="Arial" w:eastAsiaTheme="minorEastAsia" w:hAnsi="Arial" w:cs="Arial"/>
              <w:b w:val="0"/>
              <w:bCs w:val="0"/>
              <w:caps/>
              <w:noProof/>
              <w:sz w:val="20"/>
              <w:szCs w:val="20"/>
              <w:lang w:val="en-SG" w:eastAsia="zh-CN"/>
            </w:rPr>
          </w:pPr>
          <w:hyperlink w:anchor="_Toc48667723" w:history="1">
            <w:r w:rsidRPr="00F15BF1">
              <w:rPr>
                <w:rStyle w:val="Hyperlink"/>
                <w:rFonts w:ascii="Arial" w:hAnsi="Arial" w:cs="Arial"/>
                <w:b w:val="0"/>
                <w:noProof/>
                <w:sz w:val="20"/>
                <w:szCs w:val="20"/>
              </w:rPr>
              <w:t>REVIEW MECHANISM</w:t>
            </w:r>
            <w:r w:rsidRPr="00F15BF1">
              <w:rPr>
                <w:rFonts w:ascii="Arial" w:hAnsi="Arial" w:cs="Arial"/>
                <w:b w:val="0"/>
                <w:noProof/>
                <w:webHidden/>
                <w:sz w:val="20"/>
                <w:szCs w:val="20"/>
              </w:rPr>
              <w:tab/>
            </w:r>
            <w:r w:rsidRPr="00F15BF1">
              <w:rPr>
                <w:rFonts w:ascii="Arial" w:hAnsi="Arial" w:cs="Arial"/>
                <w:b w:val="0"/>
                <w:noProof/>
                <w:webHidden/>
                <w:sz w:val="20"/>
                <w:szCs w:val="20"/>
              </w:rPr>
              <w:fldChar w:fldCharType="begin"/>
            </w:r>
            <w:r w:rsidRPr="00F15BF1">
              <w:rPr>
                <w:rFonts w:ascii="Arial" w:hAnsi="Arial" w:cs="Arial"/>
                <w:b w:val="0"/>
                <w:noProof/>
                <w:webHidden/>
                <w:sz w:val="20"/>
                <w:szCs w:val="20"/>
              </w:rPr>
              <w:instrText xml:space="preserve"> PAGEREF _Toc48667723 \h </w:instrText>
            </w:r>
            <w:r w:rsidRPr="00F15BF1">
              <w:rPr>
                <w:rFonts w:ascii="Arial" w:hAnsi="Arial" w:cs="Arial"/>
                <w:b w:val="0"/>
                <w:noProof/>
                <w:webHidden/>
                <w:sz w:val="20"/>
                <w:szCs w:val="20"/>
              </w:rPr>
            </w:r>
            <w:r w:rsidRPr="00F15BF1">
              <w:rPr>
                <w:rFonts w:ascii="Arial" w:hAnsi="Arial" w:cs="Arial"/>
                <w:b w:val="0"/>
                <w:noProof/>
                <w:webHidden/>
                <w:sz w:val="20"/>
                <w:szCs w:val="20"/>
              </w:rPr>
              <w:fldChar w:fldCharType="separate"/>
            </w:r>
            <w:r w:rsidRPr="00F15BF1">
              <w:rPr>
                <w:rFonts w:ascii="Arial" w:hAnsi="Arial" w:cs="Arial"/>
                <w:b w:val="0"/>
                <w:noProof/>
                <w:webHidden/>
                <w:sz w:val="20"/>
                <w:szCs w:val="20"/>
              </w:rPr>
              <w:t>7</w:t>
            </w:r>
            <w:r w:rsidRPr="00F15BF1">
              <w:rPr>
                <w:rFonts w:ascii="Arial" w:hAnsi="Arial" w:cs="Arial"/>
                <w:b w:val="0"/>
                <w:noProof/>
                <w:webHidden/>
                <w:sz w:val="20"/>
                <w:szCs w:val="20"/>
              </w:rPr>
              <w:fldChar w:fldCharType="end"/>
            </w:r>
          </w:hyperlink>
        </w:p>
        <w:p w:rsidR="00F15BF1" w:rsidRDefault="00F15BF1">
          <w:r w:rsidRPr="00F15BF1">
            <w:rPr>
              <w:rFonts w:cs="Arial"/>
              <w:bCs/>
              <w:noProof/>
            </w:rPr>
            <w:fldChar w:fldCharType="end"/>
          </w:r>
        </w:p>
      </w:sdtContent>
    </w:sdt>
    <w:p w:rsidR="00F15BF1" w:rsidRDefault="00F15BF1">
      <w:pPr>
        <w:spacing w:before="0" w:after="0" w:line="240" w:lineRule="auto"/>
        <w:jc w:val="left"/>
        <w:rPr>
          <w:rFonts w:eastAsia="Batang" w:cs="Arial"/>
          <w:b/>
          <w:bCs/>
          <w:caps/>
          <w:kern w:val="32"/>
          <w:sz w:val="28"/>
          <w:szCs w:val="32"/>
          <w:lang w:val="en-GB" w:eastAsia="ko-KR"/>
        </w:rPr>
      </w:pPr>
      <w:r>
        <w:br w:type="page"/>
      </w:r>
    </w:p>
    <w:p w:rsidR="00DF288A" w:rsidRDefault="00F26A28" w:rsidP="00F15BF1">
      <w:pPr>
        <w:pStyle w:val="CILTitle"/>
      </w:pPr>
      <w:r>
        <w:lastRenderedPageBreak/>
        <w:t xml:space="preserve">2016 </w:t>
      </w:r>
      <w:r>
        <w:t>TERMS OF REFERENCE</w:t>
      </w:r>
      <w:r>
        <w:t xml:space="preserve"> </w:t>
      </w:r>
      <w:r>
        <w:t xml:space="preserve">ASEAN MILITARIES READY GROUP ON HUMANITARIAN ASSISTANCE </w:t>
      </w:r>
      <w:r>
        <w:br/>
      </w:r>
      <w:r>
        <w:t>AND DISASTER RELIEF</w:t>
      </w:r>
      <w:r>
        <w:t xml:space="preserve"> </w:t>
      </w:r>
      <w:r>
        <w:t>(AMRG on HADR)</w:t>
      </w:r>
    </w:p>
    <w:p w:rsidR="00F26A28" w:rsidRDefault="00F26A28" w:rsidP="00F26A28">
      <w:pPr>
        <w:pStyle w:val="CILSubtitle"/>
      </w:pPr>
      <w:r>
        <w:t>Adopted in Vientiane, Lao PDR on 25 May 2016</w:t>
      </w:r>
    </w:p>
    <w:p w:rsidR="00F26A28" w:rsidRDefault="00F26A28" w:rsidP="00F26A28">
      <w:pPr>
        <w:pStyle w:val="Heading2"/>
      </w:pPr>
      <w:bookmarkStart w:id="0" w:name="_Toc48667710"/>
      <w:r>
        <w:t>INTRODUCTION</w:t>
      </w:r>
      <w:bookmarkEnd w:id="0"/>
    </w:p>
    <w:p w:rsidR="00F26A28" w:rsidRDefault="00F26A28" w:rsidP="00F26A28">
      <w:r>
        <w:t>The Defence Ministers of ASEAN Member States adopted the Concept Paper on ASEAN Militaries Ready Group on Humanitarian Assistance and Disaster Relief (AMRG on HADR) at the 9</w:t>
      </w:r>
      <w:r w:rsidRPr="00AA1B6A">
        <w:rPr>
          <w:vertAlign w:val="superscript"/>
        </w:rPr>
        <w:t>th</w:t>
      </w:r>
      <w:r w:rsidR="00AA1B6A">
        <w:t xml:space="preserve"> </w:t>
      </w:r>
      <w:r>
        <w:t>ASEAN Defence Ministers’ Meeting (ADMM) on 16 March 2015 in Langkawi, Kedah, Malaysia. The Concept Paper in its final form has consolidated the inputs from all ASEAN Member States (AMS), the ASEAN Secretariat and ASEAN Coordinating Centre for Humanitarian Assistance on disaster management (AHA) Centre. It serves as a collective and solid intent to establish an ASEAN military team for quick deployment to support humanitarian assistance and disaster relief (HADR) in a coordinated manner.</w:t>
      </w:r>
    </w:p>
    <w:p w:rsidR="00F26A28" w:rsidRDefault="00F26A28" w:rsidP="00F26A28">
      <w:pPr>
        <w:pStyle w:val="Heading2"/>
      </w:pPr>
      <w:bookmarkStart w:id="1" w:name="_Toc48667711"/>
      <w:r>
        <w:t>PRINCIPLES</w:t>
      </w:r>
      <w:r>
        <w:rPr>
          <w:rStyle w:val="FootnoteReference"/>
        </w:rPr>
        <w:footnoteReference w:id="1"/>
      </w:r>
      <w:bookmarkEnd w:id="1"/>
    </w:p>
    <w:p w:rsidR="00F26A28" w:rsidRDefault="00F26A28" w:rsidP="00F15BF1">
      <w:pPr>
        <w:pStyle w:val="ListParagraph"/>
        <w:numPr>
          <w:ilvl w:val="0"/>
          <w:numId w:val="14"/>
        </w:numPr>
        <w:ind w:left="426"/>
      </w:pPr>
      <w:r>
        <w:t>The AMRG</w:t>
      </w:r>
      <w:r>
        <w:rPr>
          <w:rStyle w:val="FootnoteReference"/>
        </w:rPr>
        <w:footnoteReference w:id="2"/>
      </w:r>
      <w:r>
        <w:t xml:space="preserve"> shall be guided by the principles of sovereignty, territorial integrity and national unity of the Affected States in accordance with the ASEAN Charter, Charter of the United Nations, the Treaty of Amity and Cooperation in Southeast Asia, ASEAN Agreement on Disaster Management and Emergency Response (AADMER), The Standard Operating Procedure for Regional Standby Arrangements and Coordination of J</w:t>
      </w:r>
      <w:bookmarkStart w:id="2" w:name="_GoBack"/>
      <w:bookmarkEnd w:id="2"/>
      <w:r>
        <w:t>oint Disaster Relief and Emergency Response Operations (SASOP).</w:t>
      </w:r>
    </w:p>
    <w:p w:rsidR="00F26A28" w:rsidRDefault="00F26A28" w:rsidP="00F15BF1">
      <w:pPr>
        <w:pStyle w:val="ListParagraph"/>
        <w:ind w:left="426"/>
      </w:pPr>
    </w:p>
    <w:p w:rsidR="00F26A28" w:rsidRDefault="00F26A28" w:rsidP="00F15BF1">
      <w:pPr>
        <w:pStyle w:val="ListParagraph"/>
        <w:numPr>
          <w:ilvl w:val="0"/>
          <w:numId w:val="14"/>
        </w:numPr>
        <w:ind w:left="426"/>
      </w:pPr>
      <w:r>
        <w:t>The ASEAN Flag can only be used with the consensus of all ten AMS in AMRG-led HADR operations, even if not all AMS contribute to the particular operation.</w:t>
      </w:r>
    </w:p>
    <w:p w:rsidR="00F26A28" w:rsidRDefault="00F26A28" w:rsidP="00F15BF1">
      <w:pPr>
        <w:pStyle w:val="ListParagraph"/>
        <w:ind w:left="426"/>
      </w:pPr>
    </w:p>
    <w:p w:rsidR="00F26A28" w:rsidRDefault="00F26A28" w:rsidP="00F15BF1">
      <w:pPr>
        <w:pStyle w:val="ListParagraph"/>
        <w:numPr>
          <w:ilvl w:val="0"/>
          <w:numId w:val="14"/>
        </w:numPr>
        <w:ind w:left="426"/>
      </w:pPr>
      <w:r>
        <w:t>The AMRG on HADR can be activated and deployed even if not all AMS contribute to the HADR operation. A request to activate the AMRG on HADR will be made by the Affected State.</w:t>
      </w:r>
    </w:p>
    <w:p w:rsidR="00F26A28" w:rsidRDefault="00F26A28" w:rsidP="00F15BF1">
      <w:pPr>
        <w:pStyle w:val="ListParagraph"/>
        <w:ind w:left="426"/>
      </w:pPr>
    </w:p>
    <w:p w:rsidR="00F26A28" w:rsidRDefault="00F26A28" w:rsidP="00F15BF1">
      <w:pPr>
        <w:pStyle w:val="ListParagraph"/>
        <w:numPr>
          <w:ilvl w:val="0"/>
          <w:numId w:val="14"/>
        </w:numPr>
        <w:ind w:left="426"/>
      </w:pPr>
      <w:r>
        <w:t xml:space="preserve">The participation in and contribution to the AMRG on HADR shall be flexible, non- binding and voluntary, and shall be consistent with the rights and obligations of the ASEAN Member States under any existing agreements to which they are parties. AMS can continue to </w:t>
      </w:r>
      <w:proofErr w:type="gramStart"/>
      <w:r>
        <w:t>provide assistance to</w:t>
      </w:r>
      <w:proofErr w:type="gramEnd"/>
      <w:r>
        <w:t xml:space="preserve"> the Affected State bilaterally.</w:t>
      </w:r>
    </w:p>
    <w:p w:rsidR="00F26A28" w:rsidRDefault="00F26A28" w:rsidP="00F15BF1">
      <w:pPr>
        <w:pStyle w:val="ListParagraph"/>
        <w:ind w:left="426"/>
      </w:pPr>
    </w:p>
    <w:p w:rsidR="00F26A28" w:rsidRDefault="00F26A28" w:rsidP="00F15BF1">
      <w:pPr>
        <w:pStyle w:val="ListParagraph"/>
        <w:numPr>
          <w:ilvl w:val="0"/>
          <w:numId w:val="14"/>
        </w:numPr>
        <w:ind w:left="426"/>
      </w:pPr>
      <w:r>
        <w:t>The AMRG on HADR shall build on and complement existing mechanisms already in place under the AADMER as the common platform and policy backbone for disaster management in Southeast Asia.</w:t>
      </w:r>
    </w:p>
    <w:p w:rsidR="00F26A28" w:rsidRDefault="00F26A28" w:rsidP="00F15BF1">
      <w:pPr>
        <w:pStyle w:val="ListParagraph"/>
        <w:ind w:left="426"/>
      </w:pPr>
    </w:p>
    <w:p w:rsidR="00F26A28" w:rsidRDefault="00F26A28" w:rsidP="00F15BF1">
      <w:pPr>
        <w:pStyle w:val="ListParagraph"/>
        <w:numPr>
          <w:ilvl w:val="0"/>
          <w:numId w:val="14"/>
        </w:numPr>
        <w:ind w:left="426"/>
      </w:pPr>
      <w:r>
        <w:t>The SASOP shall be the main reference document for the implementation of the AMRG.</w:t>
      </w:r>
    </w:p>
    <w:p w:rsidR="00F26A28" w:rsidRDefault="00F26A28" w:rsidP="00F15BF1">
      <w:pPr>
        <w:pStyle w:val="ListParagraph"/>
        <w:ind w:left="426"/>
      </w:pPr>
    </w:p>
    <w:p w:rsidR="00F26A28" w:rsidRDefault="00F26A28" w:rsidP="00F15BF1">
      <w:pPr>
        <w:pStyle w:val="ListParagraph"/>
        <w:numPr>
          <w:ilvl w:val="0"/>
          <w:numId w:val="14"/>
        </w:numPr>
        <w:ind w:left="426"/>
      </w:pPr>
      <w:r>
        <w:t>The AMRG on HADR shall, through each AMS’s National Focal Point (NFP), work under the coordination of the AHA Centre, in collaboration with other relevant regional and international HADR partners and act in accordance to the guidelines of respective National Disaster Management Offices (NDMO).</w:t>
      </w:r>
    </w:p>
    <w:p w:rsidR="00F26A28" w:rsidRDefault="00F26A28" w:rsidP="00F15BF1">
      <w:pPr>
        <w:pStyle w:val="ListParagraph"/>
        <w:numPr>
          <w:ilvl w:val="0"/>
          <w:numId w:val="14"/>
        </w:numPr>
        <w:ind w:left="426"/>
      </w:pPr>
      <w:r>
        <w:lastRenderedPageBreak/>
        <w:t>The AMRG on HADR shall, through its respective NFP, coordinate its HADR operations with the Affected State’s NFP in accordance with their national disaster plan</w:t>
      </w:r>
      <w:r>
        <w:rPr>
          <w:rStyle w:val="FootnoteReference"/>
        </w:rPr>
        <w:footnoteReference w:id="3"/>
      </w:r>
      <w:r>
        <w:t>.</w:t>
      </w:r>
    </w:p>
    <w:p w:rsidR="00F26A28" w:rsidRDefault="00F26A28" w:rsidP="00F15BF1">
      <w:pPr>
        <w:pStyle w:val="ListParagraph"/>
        <w:ind w:left="426"/>
      </w:pPr>
    </w:p>
    <w:p w:rsidR="00F26A28" w:rsidRDefault="00F26A28" w:rsidP="00F15BF1">
      <w:pPr>
        <w:pStyle w:val="ListParagraph"/>
        <w:numPr>
          <w:ilvl w:val="0"/>
          <w:numId w:val="14"/>
        </w:numPr>
        <w:ind w:left="426"/>
      </w:pPr>
      <w:r>
        <w:t>AMS military assets and personnel involved in HADR operations shall remain under their own national command and control which operate in support of the Affected State to ensure relevancy to the scope and scale of the disasters</w:t>
      </w:r>
      <w:r>
        <w:rPr>
          <w:rStyle w:val="FootnoteReference"/>
        </w:rPr>
        <w:footnoteReference w:id="4"/>
      </w:r>
      <w:r>
        <w:t>.</w:t>
      </w:r>
    </w:p>
    <w:p w:rsidR="00F26A28" w:rsidRDefault="00F26A28" w:rsidP="00F15BF1">
      <w:pPr>
        <w:pStyle w:val="ListParagraph"/>
        <w:ind w:left="426"/>
      </w:pPr>
    </w:p>
    <w:p w:rsidR="00F26A28" w:rsidRDefault="00F26A28" w:rsidP="00F15BF1">
      <w:pPr>
        <w:pStyle w:val="ListParagraph"/>
        <w:numPr>
          <w:ilvl w:val="0"/>
          <w:numId w:val="14"/>
        </w:numPr>
        <w:ind w:left="426"/>
      </w:pPr>
      <w:r>
        <w:t>The decision to deploy military personnel, assets and other resources shall remain under the prerogative of Assisting State, and upon the request or consent by the Affected State.</w:t>
      </w:r>
    </w:p>
    <w:p w:rsidR="00F26A28" w:rsidRDefault="00F26A28" w:rsidP="00F15BF1">
      <w:pPr>
        <w:pStyle w:val="ListParagraph"/>
        <w:ind w:left="426"/>
      </w:pPr>
    </w:p>
    <w:p w:rsidR="00F26A28" w:rsidRDefault="00F26A28" w:rsidP="00F15BF1">
      <w:pPr>
        <w:pStyle w:val="ListParagraph"/>
        <w:numPr>
          <w:ilvl w:val="0"/>
          <w:numId w:val="14"/>
        </w:numPr>
        <w:ind w:left="426"/>
      </w:pPr>
      <w:r>
        <w:t>The decision to terminate the deployment of military personnel, assets and other resources shall remain under the prerogative of Assisting State, or upon the request by the Affected State.</w:t>
      </w:r>
    </w:p>
    <w:p w:rsidR="00F26A28" w:rsidRDefault="00F26A28" w:rsidP="00F15BF1">
      <w:pPr>
        <w:pStyle w:val="ListParagraph"/>
        <w:ind w:left="426"/>
      </w:pPr>
    </w:p>
    <w:p w:rsidR="00F26A28" w:rsidRDefault="00F26A28" w:rsidP="00F15BF1">
      <w:pPr>
        <w:pStyle w:val="ListParagraph"/>
        <w:numPr>
          <w:ilvl w:val="0"/>
          <w:numId w:val="14"/>
        </w:numPr>
        <w:ind w:left="426"/>
      </w:pPr>
      <w:r>
        <w:t>The AMRG on HADR shall not carry arms as well as vehicles and items or substances that are non-compliant with the customs and rules of law of the Affected State</w:t>
      </w:r>
      <w:r>
        <w:rPr>
          <w:rStyle w:val="FootnoteReference"/>
        </w:rPr>
        <w:footnoteReference w:id="5"/>
      </w:r>
      <w:r>
        <w:t>.</w:t>
      </w:r>
    </w:p>
    <w:p w:rsidR="00F26A28" w:rsidRDefault="00F26A28" w:rsidP="00F15BF1">
      <w:pPr>
        <w:pStyle w:val="ListParagraph"/>
        <w:ind w:left="426"/>
      </w:pPr>
    </w:p>
    <w:p w:rsidR="00F26A28" w:rsidRDefault="00F26A28" w:rsidP="00F15BF1">
      <w:pPr>
        <w:pStyle w:val="ListParagraph"/>
        <w:numPr>
          <w:ilvl w:val="0"/>
          <w:numId w:val="14"/>
        </w:numPr>
        <w:ind w:left="426"/>
      </w:pPr>
      <w:r>
        <w:t>The AMRG on HADR must respect the National Laws and Regulations of the Affected State</w:t>
      </w:r>
      <w:r>
        <w:rPr>
          <w:rStyle w:val="FootnoteReference"/>
        </w:rPr>
        <w:footnoteReference w:id="6"/>
      </w:r>
      <w:r>
        <w:t>.</w:t>
      </w:r>
    </w:p>
    <w:p w:rsidR="00F26A28" w:rsidRDefault="00F26A28" w:rsidP="00F15BF1">
      <w:pPr>
        <w:pStyle w:val="ListParagraph"/>
        <w:ind w:left="426"/>
      </w:pPr>
    </w:p>
    <w:p w:rsidR="00F26A28" w:rsidRDefault="00F26A28" w:rsidP="00F15BF1">
      <w:pPr>
        <w:pStyle w:val="ListParagraph"/>
        <w:numPr>
          <w:ilvl w:val="0"/>
          <w:numId w:val="14"/>
        </w:numPr>
        <w:ind w:left="426"/>
      </w:pPr>
      <w:r>
        <w:t>The Affected State shall exercise the overall direction, control, coordination and supervision of assistance within its territory</w:t>
      </w:r>
      <w:r>
        <w:rPr>
          <w:rStyle w:val="FootnoteReference"/>
        </w:rPr>
        <w:footnoteReference w:id="7"/>
      </w:r>
      <w:r>
        <w:t>.</w:t>
      </w:r>
    </w:p>
    <w:p w:rsidR="00F26A28" w:rsidRDefault="00F26A28" w:rsidP="00F15BF1">
      <w:pPr>
        <w:pStyle w:val="ListParagraph"/>
        <w:ind w:left="426"/>
      </w:pPr>
    </w:p>
    <w:p w:rsidR="00F26A28" w:rsidRDefault="00F26A28" w:rsidP="00F15BF1">
      <w:pPr>
        <w:pStyle w:val="ListParagraph"/>
        <w:numPr>
          <w:ilvl w:val="0"/>
          <w:numId w:val="14"/>
        </w:numPr>
        <w:ind w:left="426"/>
      </w:pPr>
      <w:r>
        <w:t>AMS military personnel are encouraged to be members of the Emergency Response and Assessment Team (ERAT) in supporting the NDMO of the Affected State in the initial phase of the disaster to strengthen and complement civil-military cooperation.</w:t>
      </w:r>
    </w:p>
    <w:p w:rsidR="00F26A28" w:rsidRDefault="00F26A28" w:rsidP="00F26A28">
      <w:pPr>
        <w:pStyle w:val="Heading2"/>
      </w:pPr>
      <w:bookmarkStart w:id="3" w:name="_Toc48667712"/>
      <w:r>
        <w:t>SCOPE OF ASSISTANCE</w:t>
      </w:r>
      <w:r>
        <w:rPr>
          <w:rStyle w:val="FootnoteReference"/>
        </w:rPr>
        <w:footnoteReference w:id="8"/>
      </w:r>
      <w:bookmarkEnd w:id="3"/>
    </w:p>
    <w:p w:rsidR="00F26A28" w:rsidRDefault="00F26A28" w:rsidP="00F15BF1">
      <w:pPr>
        <w:pStyle w:val="ListParagraph"/>
        <w:numPr>
          <w:ilvl w:val="0"/>
          <w:numId w:val="14"/>
        </w:numPr>
        <w:ind w:left="426"/>
      </w:pPr>
      <w:r>
        <w:t>The AMRG on HADR shall consider, but not limited to, the following form of support in assisting the Affected State:</w:t>
      </w:r>
    </w:p>
    <w:p w:rsidR="00F26A28" w:rsidRDefault="00F26A28" w:rsidP="00F26A28">
      <w:pPr>
        <w:pStyle w:val="ListParagraph"/>
        <w:ind w:left="284"/>
      </w:pPr>
    </w:p>
    <w:p w:rsidR="00F26A28" w:rsidRDefault="00F26A28" w:rsidP="00F15BF1">
      <w:pPr>
        <w:pStyle w:val="ListParagraph"/>
        <w:numPr>
          <w:ilvl w:val="0"/>
          <w:numId w:val="15"/>
        </w:numPr>
        <w:ind w:left="851" w:hanging="425"/>
      </w:pPr>
      <w:r>
        <w:t>Search and Rescue;</w:t>
      </w:r>
    </w:p>
    <w:p w:rsidR="00F26A28" w:rsidRDefault="00F26A28" w:rsidP="00F15BF1">
      <w:pPr>
        <w:pStyle w:val="ListParagraph"/>
        <w:ind w:left="851"/>
      </w:pPr>
    </w:p>
    <w:p w:rsidR="00F26A28" w:rsidRDefault="00F26A28" w:rsidP="00F15BF1">
      <w:pPr>
        <w:pStyle w:val="ListParagraph"/>
        <w:numPr>
          <w:ilvl w:val="0"/>
          <w:numId w:val="15"/>
        </w:numPr>
        <w:ind w:left="851" w:hanging="425"/>
      </w:pPr>
      <w:r>
        <w:t>Emergency Medical Aids;</w:t>
      </w:r>
    </w:p>
    <w:p w:rsidR="00F26A28" w:rsidRDefault="00F26A28" w:rsidP="00F15BF1">
      <w:pPr>
        <w:pStyle w:val="ListParagraph"/>
        <w:ind w:left="851"/>
      </w:pPr>
    </w:p>
    <w:p w:rsidR="00F26A28" w:rsidRDefault="00F26A28" w:rsidP="00F15BF1">
      <w:pPr>
        <w:pStyle w:val="ListParagraph"/>
        <w:numPr>
          <w:ilvl w:val="0"/>
          <w:numId w:val="15"/>
        </w:numPr>
        <w:ind w:left="851" w:hanging="425"/>
      </w:pPr>
      <w:r>
        <w:t>Distribution of goods;</w:t>
      </w:r>
    </w:p>
    <w:p w:rsidR="00F26A28" w:rsidRDefault="00F26A28" w:rsidP="00F15BF1">
      <w:pPr>
        <w:pStyle w:val="ListParagraph"/>
        <w:ind w:left="851"/>
      </w:pPr>
    </w:p>
    <w:p w:rsidR="00F26A28" w:rsidRDefault="00F26A28" w:rsidP="00F15BF1">
      <w:pPr>
        <w:pStyle w:val="ListParagraph"/>
        <w:numPr>
          <w:ilvl w:val="0"/>
          <w:numId w:val="15"/>
        </w:numPr>
        <w:ind w:left="851" w:hanging="425"/>
      </w:pPr>
      <w:r>
        <w:t>Transportation and Evacuations; and</w:t>
      </w:r>
    </w:p>
    <w:p w:rsidR="00F26A28" w:rsidRDefault="00F26A28" w:rsidP="00F15BF1">
      <w:pPr>
        <w:pStyle w:val="ListParagraph"/>
        <w:ind w:left="851"/>
      </w:pPr>
    </w:p>
    <w:p w:rsidR="00F26A28" w:rsidRDefault="00F26A28" w:rsidP="00F15BF1">
      <w:pPr>
        <w:pStyle w:val="ListParagraph"/>
        <w:numPr>
          <w:ilvl w:val="0"/>
          <w:numId w:val="15"/>
        </w:numPr>
        <w:ind w:left="851" w:hanging="425"/>
      </w:pPr>
      <w:r>
        <w:t>Exchanging, sharing of expertise, experiences and information.</w:t>
      </w:r>
    </w:p>
    <w:p w:rsidR="00F26A28" w:rsidRDefault="00F26A28" w:rsidP="00F26A28">
      <w:pPr>
        <w:pStyle w:val="ListParagraph"/>
        <w:ind w:left="709"/>
      </w:pPr>
    </w:p>
    <w:p w:rsidR="00F26A28" w:rsidRDefault="00F26A28" w:rsidP="00F15BF1">
      <w:pPr>
        <w:pStyle w:val="ListParagraph"/>
        <w:numPr>
          <w:ilvl w:val="0"/>
          <w:numId w:val="14"/>
        </w:numPr>
        <w:ind w:left="426"/>
      </w:pPr>
      <w:r>
        <w:t>The Affected State shall facilitate the AMRG on HADR the following form of assistance:</w:t>
      </w:r>
    </w:p>
    <w:p w:rsidR="00F26A28" w:rsidRDefault="00F26A28" w:rsidP="00F26A28">
      <w:pPr>
        <w:pStyle w:val="ListParagraph"/>
        <w:ind w:left="284"/>
      </w:pPr>
    </w:p>
    <w:p w:rsidR="00F26A28" w:rsidRDefault="00F26A28" w:rsidP="00F15BF1">
      <w:pPr>
        <w:pStyle w:val="ListParagraph"/>
        <w:numPr>
          <w:ilvl w:val="0"/>
          <w:numId w:val="16"/>
        </w:numPr>
        <w:ind w:left="851" w:hanging="425"/>
      </w:pPr>
      <w:r>
        <w:t>Custom, Immigration and Quarantine (CIQ) assistance to facilitate entry;</w:t>
      </w:r>
    </w:p>
    <w:p w:rsidR="00F26A28" w:rsidRDefault="00F26A28" w:rsidP="00F26A28">
      <w:pPr>
        <w:pStyle w:val="ListParagraph"/>
        <w:ind w:left="709"/>
      </w:pPr>
    </w:p>
    <w:p w:rsidR="00F26A28" w:rsidRDefault="00F26A28" w:rsidP="00F15BF1">
      <w:pPr>
        <w:pStyle w:val="ListParagraph"/>
        <w:numPr>
          <w:ilvl w:val="0"/>
          <w:numId w:val="16"/>
        </w:numPr>
        <w:ind w:left="851" w:hanging="425"/>
      </w:pPr>
      <w:r>
        <w:lastRenderedPageBreak/>
        <w:t>Initial and subsequent briefs and disaster situation update for the AMRG on HADR;</w:t>
      </w:r>
    </w:p>
    <w:p w:rsidR="00F26A28" w:rsidRDefault="00F26A28" w:rsidP="00F15BF1">
      <w:pPr>
        <w:pStyle w:val="ListParagraph"/>
        <w:ind w:left="851"/>
      </w:pPr>
    </w:p>
    <w:p w:rsidR="00F26A28" w:rsidRDefault="00F26A28" w:rsidP="00F15BF1">
      <w:pPr>
        <w:pStyle w:val="ListParagraph"/>
        <w:numPr>
          <w:ilvl w:val="0"/>
          <w:numId w:val="16"/>
        </w:numPr>
        <w:ind w:left="851" w:hanging="425"/>
      </w:pPr>
      <w:r>
        <w:t>A national disaster plan;</w:t>
      </w:r>
    </w:p>
    <w:p w:rsidR="00F26A28" w:rsidRDefault="00F26A28" w:rsidP="00F15BF1">
      <w:pPr>
        <w:pStyle w:val="ListParagraph"/>
        <w:ind w:left="851"/>
      </w:pPr>
    </w:p>
    <w:p w:rsidR="00F26A28" w:rsidRDefault="00F26A28" w:rsidP="00F15BF1">
      <w:pPr>
        <w:pStyle w:val="ListParagraph"/>
        <w:numPr>
          <w:ilvl w:val="0"/>
          <w:numId w:val="16"/>
        </w:numPr>
        <w:ind w:left="851" w:hanging="425"/>
      </w:pPr>
      <w:r>
        <w:t>Direction and coordination, in accordance with the Affected State’s national disaster plan;</w:t>
      </w:r>
    </w:p>
    <w:p w:rsidR="00F26A28" w:rsidRDefault="00F26A28" w:rsidP="00F15BF1">
      <w:pPr>
        <w:pStyle w:val="ListParagraph"/>
        <w:ind w:left="851"/>
      </w:pPr>
    </w:p>
    <w:p w:rsidR="00F26A28" w:rsidRDefault="00F26A28" w:rsidP="00F15BF1">
      <w:pPr>
        <w:pStyle w:val="ListParagraph"/>
        <w:numPr>
          <w:ilvl w:val="0"/>
          <w:numId w:val="16"/>
        </w:numPr>
        <w:ind w:left="851" w:hanging="425"/>
      </w:pPr>
      <w:r>
        <w:t>Scope and military assistance required;</w:t>
      </w:r>
    </w:p>
    <w:p w:rsidR="00F26A28" w:rsidRDefault="00F26A28" w:rsidP="00F15BF1">
      <w:pPr>
        <w:pStyle w:val="ListParagraph"/>
        <w:ind w:left="851"/>
      </w:pPr>
    </w:p>
    <w:p w:rsidR="00F26A28" w:rsidRDefault="00F26A28" w:rsidP="00F15BF1">
      <w:pPr>
        <w:pStyle w:val="ListParagraph"/>
        <w:numPr>
          <w:ilvl w:val="0"/>
          <w:numId w:val="16"/>
        </w:numPr>
        <w:ind w:left="851" w:hanging="425"/>
      </w:pPr>
      <w:r>
        <w:t>Essential local facilities and services, where possible and available;</w:t>
      </w:r>
    </w:p>
    <w:p w:rsidR="00F26A28" w:rsidRDefault="00F26A28" w:rsidP="00F15BF1">
      <w:pPr>
        <w:pStyle w:val="ListParagraph"/>
        <w:ind w:left="851"/>
      </w:pPr>
    </w:p>
    <w:p w:rsidR="00F26A28" w:rsidRDefault="00F26A28" w:rsidP="00F15BF1">
      <w:pPr>
        <w:pStyle w:val="ListParagraph"/>
        <w:numPr>
          <w:ilvl w:val="0"/>
          <w:numId w:val="16"/>
        </w:numPr>
        <w:ind w:left="851" w:hanging="425"/>
      </w:pPr>
      <w:r>
        <w:t>Ensure the safety and security of personnel and assets brought into the territory by the AMRG on HADR; and</w:t>
      </w:r>
    </w:p>
    <w:p w:rsidR="00F26A28" w:rsidRDefault="00F26A28" w:rsidP="00F15BF1">
      <w:pPr>
        <w:pStyle w:val="ListParagraph"/>
        <w:ind w:left="851"/>
      </w:pPr>
    </w:p>
    <w:p w:rsidR="00F26A28" w:rsidRDefault="00F26A28" w:rsidP="00F15BF1">
      <w:pPr>
        <w:pStyle w:val="ListParagraph"/>
        <w:numPr>
          <w:ilvl w:val="0"/>
          <w:numId w:val="16"/>
        </w:numPr>
        <w:ind w:left="851" w:hanging="425"/>
      </w:pPr>
      <w:r>
        <w:t>Other assistance deemed necessary.</w:t>
      </w:r>
    </w:p>
    <w:p w:rsidR="00F26A28" w:rsidRDefault="00F26A28" w:rsidP="00F26A28">
      <w:pPr>
        <w:pStyle w:val="Heading2"/>
      </w:pPr>
      <w:bookmarkStart w:id="4" w:name="_Toc48667713"/>
      <w:r>
        <w:t>STRUCTURE AND ARRANGEMENT</w:t>
      </w:r>
      <w:bookmarkEnd w:id="4"/>
    </w:p>
    <w:p w:rsidR="00F26A28" w:rsidRDefault="00F26A28" w:rsidP="00F15BF1">
      <w:pPr>
        <w:pStyle w:val="ListParagraph"/>
        <w:numPr>
          <w:ilvl w:val="0"/>
          <w:numId w:val="14"/>
        </w:numPr>
        <w:ind w:left="426"/>
      </w:pPr>
      <w:r>
        <w:t>The AMRG on HADR, when activated, will comprise of military forces from the 10 AMS or a subset of the 10 AMS which will operate in coordination with the Affected State.</w:t>
      </w:r>
    </w:p>
    <w:p w:rsidR="00F26A28" w:rsidRDefault="00F26A28" w:rsidP="00F15BF1">
      <w:pPr>
        <w:pStyle w:val="ListParagraph"/>
        <w:ind w:left="426"/>
      </w:pPr>
    </w:p>
    <w:p w:rsidR="00F26A28" w:rsidRDefault="00F26A28" w:rsidP="00F15BF1">
      <w:pPr>
        <w:pStyle w:val="ListParagraph"/>
        <w:numPr>
          <w:ilvl w:val="0"/>
          <w:numId w:val="14"/>
        </w:numPr>
        <w:ind w:left="426"/>
      </w:pPr>
      <w:r>
        <w:t>The AMRG on HADR will liaise with the Affected State’s military and other relevant local authorities through the respective designated Liaison Officer of AMS.</w:t>
      </w:r>
    </w:p>
    <w:p w:rsidR="00F26A28" w:rsidRDefault="00F26A28" w:rsidP="00F26A28">
      <w:pPr>
        <w:pStyle w:val="Heading2"/>
      </w:pPr>
      <w:bookmarkStart w:id="5" w:name="_Toc48667714"/>
      <w:r>
        <w:t>DESIGNATION OF MILITARY REPRESENTATIVES IN THE AHA CENTRE</w:t>
      </w:r>
      <w:r w:rsidR="004F5F39">
        <w:rPr>
          <w:rStyle w:val="FootnoteReference"/>
        </w:rPr>
        <w:footnoteReference w:id="9"/>
      </w:r>
      <w:bookmarkEnd w:id="5"/>
    </w:p>
    <w:p w:rsidR="00F26A28" w:rsidRDefault="00F26A28" w:rsidP="00F15BF1">
      <w:pPr>
        <w:pStyle w:val="ListParagraph"/>
        <w:numPr>
          <w:ilvl w:val="0"/>
          <w:numId w:val="14"/>
        </w:numPr>
        <w:ind w:left="426"/>
      </w:pPr>
      <w:r>
        <w:t>The main role of the military representative is to facilitate coordination and information dispersal between the AMRG on HADR, AHA Centre and Affected State. The proposed functions of the military representative shall be as follows:</w:t>
      </w:r>
    </w:p>
    <w:p w:rsidR="00F26A28" w:rsidRDefault="00F26A28" w:rsidP="00F26A28">
      <w:pPr>
        <w:pStyle w:val="ListParagraph"/>
        <w:ind w:left="284"/>
      </w:pPr>
    </w:p>
    <w:p w:rsidR="00F26A28" w:rsidRDefault="00F26A28" w:rsidP="00F15BF1">
      <w:pPr>
        <w:pStyle w:val="ListParagraph"/>
        <w:numPr>
          <w:ilvl w:val="0"/>
          <w:numId w:val="17"/>
        </w:numPr>
        <w:tabs>
          <w:tab w:val="left" w:pos="284"/>
        </w:tabs>
        <w:ind w:left="851"/>
      </w:pPr>
      <w:r>
        <w:t xml:space="preserve">Retain updated information related to AMRG’s military assets, capabilities and capacities in </w:t>
      </w:r>
      <w:proofErr w:type="gramStart"/>
      <w:r>
        <w:t>providing assistance</w:t>
      </w:r>
      <w:proofErr w:type="gramEnd"/>
      <w:r>
        <w:t>;</w:t>
      </w:r>
    </w:p>
    <w:p w:rsidR="004F5F39" w:rsidRDefault="004F5F39" w:rsidP="00F15BF1">
      <w:pPr>
        <w:pStyle w:val="ListParagraph"/>
        <w:tabs>
          <w:tab w:val="left" w:pos="284"/>
        </w:tabs>
        <w:ind w:left="851"/>
      </w:pPr>
    </w:p>
    <w:p w:rsidR="00F26A28" w:rsidRDefault="00F26A28" w:rsidP="00F15BF1">
      <w:pPr>
        <w:pStyle w:val="ListParagraph"/>
        <w:numPr>
          <w:ilvl w:val="0"/>
          <w:numId w:val="17"/>
        </w:numPr>
        <w:tabs>
          <w:tab w:val="left" w:pos="284"/>
        </w:tabs>
        <w:ind w:left="851"/>
      </w:pPr>
      <w:r>
        <w:t>Establish and maintain liaison with respective NFP of AMS;</w:t>
      </w:r>
    </w:p>
    <w:p w:rsidR="004F5F39" w:rsidRDefault="004F5F39" w:rsidP="00F15BF1">
      <w:pPr>
        <w:pStyle w:val="ListParagraph"/>
        <w:tabs>
          <w:tab w:val="left" w:pos="284"/>
        </w:tabs>
        <w:ind w:left="851"/>
      </w:pPr>
    </w:p>
    <w:p w:rsidR="00F26A28" w:rsidRDefault="00F26A28" w:rsidP="00F15BF1">
      <w:pPr>
        <w:pStyle w:val="ListParagraph"/>
        <w:numPr>
          <w:ilvl w:val="0"/>
          <w:numId w:val="17"/>
        </w:numPr>
        <w:tabs>
          <w:tab w:val="left" w:pos="284"/>
        </w:tabs>
        <w:ind w:left="851"/>
      </w:pPr>
      <w:r>
        <w:t>Collate reports amongst AMRG; and</w:t>
      </w:r>
    </w:p>
    <w:p w:rsidR="004F5F39" w:rsidRDefault="004F5F39" w:rsidP="00F15BF1">
      <w:pPr>
        <w:pStyle w:val="ListParagraph"/>
        <w:tabs>
          <w:tab w:val="left" w:pos="284"/>
        </w:tabs>
        <w:ind w:left="851"/>
      </w:pPr>
    </w:p>
    <w:p w:rsidR="00F26A28" w:rsidRDefault="00F26A28" w:rsidP="00F15BF1">
      <w:pPr>
        <w:pStyle w:val="ListParagraph"/>
        <w:numPr>
          <w:ilvl w:val="0"/>
          <w:numId w:val="17"/>
        </w:numPr>
        <w:tabs>
          <w:tab w:val="left" w:pos="284"/>
        </w:tabs>
        <w:ind w:left="851"/>
      </w:pPr>
      <w:r>
        <w:t>Facilitate AMRG on HADR operations in the Affected State.</w:t>
      </w:r>
    </w:p>
    <w:p w:rsidR="00F26A28" w:rsidRDefault="00F26A28" w:rsidP="00F26A28">
      <w:pPr>
        <w:pStyle w:val="ListParagraph"/>
        <w:tabs>
          <w:tab w:val="left" w:pos="284"/>
        </w:tabs>
        <w:ind w:left="709"/>
      </w:pPr>
    </w:p>
    <w:p w:rsidR="00F26A28" w:rsidRDefault="00F26A28" w:rsidP="00F15BF1">
      <w:pPr>
        <w:pStyle w:val="ListParagraph"/>
        <w:numPr>
          <w:ilvl w:val="0"/>
          <w:numId w:val="18"/>
        </w:numPr>
        <w:ind w:left="426"/>
      </w:pPr>
      <w:r>
        <w:t>The proposed designation of the military representative will be one officer from the ASEAN Chairman country with options as follows:</w:t>
      </w:r>
    </w:p>
    <w:p w:rsidR="004F5F39" w:rsidRDefault="004F5F39" w:rsidP="004F5F39">
      <w:pPr>
        <w:pStyle w:val="ListParagraph"/>
        <w:ind w:left="284"/>
      </w:pPr>
    </w:p>
    <w:p w:rsidR="00F26A28" w:rsidRDefault="00F26A28" w:rsidP="00F15BF1">
      <w:pPr>
        <w:pStyle w:val="ListParagraph"/>
        <w:numPr>
          <w:ilvl w:val="0"/>
          <w:numId w:val="20"/>
        </w:numPr>
        <w:tabs>
          <w:tab w:val="left" w:pos="142"/>
        </w:tabs>
        <w:ind w:left="851"/>
      </w:pPr>
      <w:r>
        <w:t>The military representative will serve one year at AHA Centre; or</w:t>
      </w:r>
    </w:p>
    <w:p w:rsidR="004F5F39" w:rsidRDefault="004F5F39" w:rsidP="00F15BF1">
      <w:pPr>
        <w:pStyle w:val="ListParagraph"/>
        <w:tabs>
          <w:tab w:val="left" w:pos="284"/>
        </w:tabs>
        <w:ind w:left="851"/>
      </w:pPr>
    </w:p>
    <w:p w:rsidR="004F5F39" w:rsidRDefault="004F5F39" w:rsidP="00F15BF1">
      <w:pPr>
        <w:pStyle w:val="ListParagraph"/>
        <w:numPr>
          <w:ilvl w:val="0"/>
          <w:numId w:val="20"/>
        </w:numPr>
        <w:tabs>
          <w:tab w:val="left" w:pos="284"/>
        </w:tabs>
        <w:ind w:left="851"/>
      </w:pPr>
      <w:r w:rsidRPr="004F5F39">
        <w:t xml:space="preserve">The military representative will be based at respective country and periodically visit </w:t>
      </w:r>
      <w:r w:rsidR="00AA1B6A">
        <w:br/>
      </w:r>
      <w:r w:rsidRPr="004F5F39">
        <w:t>AHA Centre. In the event of the deployment of AMRG on HADR, the military representative may be stationed at AHA Centre.</w:t>
      </w:r>
    </w:p>
    <w:p w:rsidR="004F5F39" w:rsidRDefault="004F5F39" w:rsidP="004F5F39">
      <w:pPr>
        <w:pStyle w:val="ListParagraph"/>
        <w:tabs>
          <w:tab w:val="left" w:pos="284"/>
        </w:tabs>
        <w:ind w:left="709"/>
      </w:pPr>
    </w:p>
    <w:p w:rsidR="004F5F39" w:rsidRDefault="004F5F39" w:rsidP="00F15BF1">
      <w:pPr>
        <w:pStyle w:val="ListParagraph"/>
        <w:numPr>
          <w:ilvl w:val="0"/>
          <w:numId w:val="18"/>
        </w:numPr>
        <w:ind w:left="426"/>
      </w:pPr>
      <w:r>
        <w:t>An additional military representative at the AHA Centre may be appointed on a voluntary basis by any AMS.</w:t>
      </w:r>
    </w:p>
    <w:p w:rsidR="004F5F39" w:rsidRDefault="004F5F39" w:rsidP="004F5F39">
      <w:pPr>
        <w:pStyle w:val="ListParagraph"/>
        <w:ind w:left="284"/>
      </w:pPr>
    </w:p>
    <w:p w:rsidR="004F5F39" w:rsidRDefault="004F5F39" w:rsidP="00F15BF1">
      <w:pPr>
        <w:pStyle w:val="ListParagraph"/>
        <w:numPr>
          <w:ilvl w:val="0"/>
          <w:numId w:val="18"/>
        </w:numPr>
        <w:ind w:left="426"/>
      </w:pPr>
      <w:r>
        <w:lastRenderedPageBreak/>
        <w:t>AHA Centre shall provide an office and equipment for appropriate working condition, when necessary.</w:t>
      </w:r>
    </w:p>
    <w:p w:rsidR="004F5F39" w:rsidRDefault="004F5F39" w:rsidP="00F15BF1">
      <w:pPr>
        <w:pStyle w:val="ListParagraph"/>
        <w:ind w:left="426"/>
      </w:pPr>
    </w:p>
    <w:p w:rsidR="004F5F39" w:rsidRDefault="004F5F39" w:rsidP="00F15BF1">
      <w:pPr>
        <w:pStyle w:val="ListParagraph"/>
        <w:numPr>
          <w:ilvl w:val="0"/>
          <w:numId w:val="18"/>
        </w:numPr>
        <w:ind w:left="426"/>
      </w:pPr>
      <w:r>
        <w:t>The military representative shall have access to AHA Centre facilities in executing the task.</w:t>
      </w:r>
    </w:p>
    <w:p w:rsidR="004F5F39" w:rsidRDefault="004F5F39" w:rsidP="00F15BF1">
      <w:pPr>
        <w:pStyle w:val="ListParagraph"/>
        <w:ind w:left="426"/>
      </w:pPr>
    </w:p>
    <w:p w:rsidR="004F5F39" w:rsidRDefault="004F5F39" w:rsidP="00F15BF1">
      <w:pPr>
        <w:pStyle w:val="ListParagraph"/>
        <w:numPr>
          <w:ilvl w:val="0"/>
          <w:numId w:val="18"/>
        </w:numPr>
        <w:ind w:left="426"/>
      </w:pPr>
      <w:r>
        <w:t>The respective TOR for the designation of military representative and the related responsibilities of AHA Centre shall be developed.</w:t>
      </w:r>
    </w:p>
    <w:p w:rsidR="004F5F39" w:rsidRDefault="004F5F39" w:rsidP="004F5F39">
      <w:pPr>
        <w:pStyle w:val="Heading2"/>
      </w:pPr>
      <w:bookmarkStart w:id="6" w:name="_Toc48667715"/>
      <w:r>
        <w:t>DESIGNATION OF LIAISON OFFICERS IN EACH ASSISTING STATE</w:t>
      </w:r>
      <w:r>
        <w:rPr>
          <w:rStyle w:val="FootnoteReference"/>
        </w:rPr>
        <w:footnoteReference w:id="10"/>
      </w:r>
      <w:bookmarkEnd w:id="6"/>
    </w:p>
    <w:p w:rsidR="004F5F39" w:rsidRDefault="004F5F39" w:rsidP="00F15BF1">
      <w:pPr>
        <w:pStyle w:val="ListParagraph"/>
        <w:numPr>
          <w:ilvl w:val="0"/>
          <w:numId w:val="18"/>
        </w:numPr>
        <w:ind w:left="426"/>
      </w:pPr>
      <w:r>
        <w:t>For coordination purpose, each Assisting State shall nominate liaison officers based in the Assisting State’s home country and a contact person on-site during each HADR operation.</w:t>
      </w:r>
    </w:p>
    <w:p w:rsidR="004F5F39" w:rsidRDefault="004F5F39" w:rsidP="00F15BF1">
      <w:pPr>
        <w:pStyle w:val="ListParagraph"/>
        <w:ind w:left="426"/>
      </w:pPr>
    </w:p>
    <w:p w:rsidR="004F5F39" w:rsidRDefault="004F5F39" w:rsidP="00F15BF1">
      <w:pPr>
        <w:pStyle w:val="ListParagraph"/>
        <w:numPr>
          <w:ilvl w:val="0"/>
          <w:numId w:val="18"/>
        </w:numPr>
        <w:ind w:left="426"/>
      </w:pPr>
      <w:r>
        <w:t>These contact persons shall be in communication with the military representative at the AHA Centre, local NFPs and authorities of Affected State with acknowledging NFP’s primary role as main coordinator.</w:t>
      </w:r>
    </w:p>
    <w:p w:rsidR="004F5F39" w:rsidRDefault="004F5F39" w:rsidP="004F5F39">
      <w:pPr>
        <w:pStyle w:val="Heading2"/>
      </w:pPr>
      <w:bookmarkStart w:id="7" w:name="_Toc48667716"/>
      <w:r>
        <w:t>INVENTORY OF MILITARY RESOURCES</w:t>
      </w:r>
      <w:r>
        <w:rPr>
          <w:rStyle w:val="FootnoteReference"/>
        </w:rPr>
        <w:footnoteReference w:id="11"/>
      </w:r>
      <w:bookmarkEnd w:id="7"/>
    </w:p>
    <w:p w:rsidR="004F5F39" w:rsidRDefault="004F5F39" w:rsidP="00F15BF1">
      <w:pPr>
        <w:pStyle w:val="ListParagraph"/>
        <w:numPr>
          <w:ilvl w:val="0"/>
          <w:numId w:val="18"/>
        </w:numPr>
        <w:ind w:left="426"/>
      </w:pPr>
      <w:r>
        <w:t>Each AMS may identify and provide descriptions of the military assets, resources, capabilities and capacities for AMRG on HADR using the relevant template stipulated in SASOP.</w:t>
      </w:r>
    </w:p>
    <w:p w:rsidR="004F5F39" w:rsidRDefault="004F5F39" w:rsidP="00F15BF1">
      <w:pPr>
        <w:pStyle w:val="ListParagraph"/>
        <w:ind w:left="426"/>
      </w:pPr>
    </w:p>
    <w:p w:rsidR="004F5F39" w:rsidRDefault="004F5F39" w:rsidP="00F15BF1">
      <w:pPr>
        <w:pStyle w:val="ListParagraph"/>
        <w:numPr>
          <w:ilvl w:val="0"/>
          <w:numId w:val="18"/>
        </w:numPr>
        <w:ind w:left="426"/>
      </w:pPr>
      <w:r>
        <w:t>Each Assisting State may provide, but not limited to, disaster management expertise and technological capabilities such as engineering, communication, logistic and medical.</w:t>
      </w:r>
    </w:p>
    <w:p w:rsidR="004F5F39" w:rsidRDefault="004F5F39" w:rsidP="004F5F39">
      <w:pPr>
        <w:pStyle w:val="Heading2"/>
      </w:pPr>
      <w:bookmarkStart w:id="8" w:name="_Toc48667717"/>
      <w:r>
        <w:t>IDENTIFICATION</w:t>
      </w:r>
      <w:r>
        <w:rPr>
          <w:rStyle w:val="FootnoteReference"/>
        </w:rPr>
        <w:footnoteReference w:id="12"/>
      </w:r>
      <w:bookmarkEnd w:id="8"/>
    </w:p>
    <w:p w:rsidR="004F5F39" w:rsidRDefault="004F5F39" w:rsidP="00F15BF1">
      <w:pPr>
        <w:pStyle w:val="ListParagraph"/>
        <w:numPr>
          <w:ilvl w:val="0"/>
          <w:numId w:val="18"/>
        </w:numPr>
        <w:ind w:left="426"/>
      </w:pPr>
      <w:r>
        <w:t>AMRG on HADR personnel shall be permitted to wear uniforms which carry both national and ASEAN insignia while performing official duties.</w:t>
      </w:r>
    </w:p>
    <w:p w:rsidR="004F5F39" w:rsidRDefault="004F5F39" w:rsidP="00F15BF1">
      <w:pPr>
        <w:pStyle w:val="ListParagraph"/>
        <w:ind w:left="426"/>
      </w:pPr>
    </w:p>
    <w:p w:rsidR="004F5F39" w:rsidRDefault="004F5F39" w:rsidP="00F15BF1">
      <w:pPr>
        <w:pStyle w:val="ListParagraph"/>
        <w:numPr>
          <w:ilvl w:val="0"/>
          <w:numId w:val="18"/>
        </w:numPr>
        <w:ind w:left="426"/>
      </w:pPr>
      <w:r>
        <w:t>For the purpose of entry into and departure from the territory of the Affected State, each personnel of the AMRG on HADR shall be issued a personal identity card by the appropriate authorities of the Assisting State in coordination with the Affected State.</w:t>
      </w:r>
    </w:p>
    <w:p w:rsidR="004F5F39" w:rsidRDefault="004F5F39" w:rsidP="004F5F39">
      <w:pPr>
        <w:pStyle w:val="Heading2"/>
      </w:pPr>
      <w:bookmarkStart w:id="9" w:name="_Toc48667718"/>
      <w:r>
        <w:t>SECURITY</w:t>
      </w:r>
      <w:r>
        <w:rPr>
          <w:rStyle w:val="FootnoteReference"/>
        </w:rPr>
        <w:footnoteReference w:id="13"/>
      </w:r>
      <w:bookmarkEnd w:id="9"/>
    </w:p>
    <w:p w:rsidR="004F5F39" w:rsidRDefault="004F5F39" w:rsidP="00F15BF1">
      <w:pPr>
        <w:pStyle w:val="ListParagraph"/>
        <w:numPr>
          <w:ilvl w:val="0"/>
          <w:numId w:val="18"/>
        </w:numPr>
        <w:ind w:left="426"/>
      </w:pPr>
      <w:r>
        <w:t>The Affected State shall ensure the safety and security of personnel, equipment, and materials designated to be deployed in its territory by or on behalf of the AMRG on HADR.</w:t>
      </w:r>
    </w:p>
    <w:p w:rsidR="004F5F39" w:rsidRDefault="004F5F39" w:rsidP="004F5F39">
      <w:pPr>
        <w:pStyle w:val="Heading2"/>
      </w:pPr>
      <w:bookmarkStart w:id="10" w:name="_Toc48667719"/>
      <w:r>
        <w:t>FINANCES</w:t>
      </w:r>
      <w:r>
        <w:rPr>
          <w:rStyle w:val="FootnoteReference"/>
        </w:rPr>
        <w:footnoteReference w:id="14"/>
      </w:r>
      <w:bookmarkEnd w:id="10"/>
    </w:p>
    <w:p w:rsidR="004F5F39" w:rsidRDefault="004F5F39" w:rsidP="00F15BF1">
      <w:pPr>
        <w:pStyle w:val="ListParagraph"/>
        <w:numPr>
          <w:ilvl w:val="0"/>
          <w:numId w:val="18"/>
        </w:numPr>
        <w:ind w:left="426"/>
      </w:pPr>
      <w:r>
        <w:t>The Assisting State shall be self-supporting for the duration of the HADR operation in terms of transport, fuel, food ration, water and sanitation, maintenance and communication in order to avoid placing additional stress to the Affected State.</w:t>
      </w:r>
    </w:p>
    <w:p w:rsidR="004F5F39" w:rsidRDefault="004F5F39" w:rsidP="004F5F39">
      <w:pPr>
        <w:pStyle w:val="ListParagraph"/>
        <w:ind w:left="284"/>
      </w:pPr>
    </w:p>
    <w:p w:rsidR="004F5F39" w:rsidRDefault="004F5F39" w:rsidP="00F15BF1">
      <w:pPr>
        <w:pStyle w:val="ListParagraph"/>
        <w:numPr>
          <w:ilvl w:val="0"/>
          <w:numId w:val="18"/>
        </w:numPr>
        <w:ind w:left="426"/>
      </w:pPr>
      <w:r>
        <w:lastRenderedPageBreak/>
        <w:t>The Assisting State will not be obliged to finance operations and resources beyond that necessary for the deployment of its own forces.</w:t>
      </w:r>
    </w:p>
    <w:p w:rsidR="004F5F39" w:rsidRDefault="004F5F39" w:rsidP="00F15BF1">
      <w:pPr>
        <w:pStyle w:val="ListParagraph"/>
        <w:ind w:left="426"/>
      </w:pPr>
    </w:p>
    <w:p w:rsidR="004F5F39" w:rsidRDefault="004F5F39" w:rsidP="00F15BF1">
      <w:pPr>
        <w:pStyle w:val="ListParagraph"/>
        <w:numPr>
          <w:ilvl w:val="0"/>
          <w:numId w:val="18"/>
        </w:numPr>
        <w:ind w:left="426"/>
      </w:pPr>
      <w:r>
        <w:t>The designation of the military representatives is a self-funding initiative. Respective AMS shall bear any costs incurred from this initiative.</w:t>
      </w:r>
    </w:p>
    <w:p w:rsidR="004F5F39" w:rsidRDefault="004F5F39" w:rsidP="004F5F39">
      <w:pPr>
        <w:pStyle w:val="Heading2"/>
      </w:pPr>
      <w:bookmarkStart w:id="11" w:name="_Toc48667720"/>
      <w:r>
        <w:t>DEPLOYMENT</w:t>
      </w:r>
      <w:bookmarkEnd w:id="11"/>
    </w:p>
    <w:p w:rsidR="004F5F39" w:rsidRDefault="004F5F39" w:rsidP="00F15BF1">
      <w:pPr>
        <w:pStyle w:val="ListParagraph"/>
        <w:numPr>
          <w:ilvl w:val="0"/>
          <w:numId w:val="18"/>
        </w:numPr>
        <w:ind w:left="426"/>
      </w:pPr>
      <w:r>
        <w:t>The duration of the deployment of military resources is to be discussed and agreed by the Assisting State through its respective NFP and the appropriate authorities of Affected State in coordination with AHA Centre, consistent with principle No. 9 of this TOR.</w:t>
      </w:r>
    </w:p>
    <w:p w:rsidR="004F5F39" w:rsidRDefault="004F5F39" w:rsidP="00F15BF1">
      <w:pPr>
        <w:pStyle w:val="ListParagraph"/>
        <w:ind w:left="426"/>
      </w:pPr>
    </w:p>
    <w:p w:rsidR="004F5F39" w:rsidRDefault="004F5F39" w:rsidP="00F15BF1">
      <w:pPr>
        <w:pStyle w:val="ListParagraph"/>
        <w:numPr>
          <w:ilvl w:val="0"/>
          <w:numId w:val="18"/>
        </w:numPr>
        <w:ind w:left="426"/>
      </w:pPr>
      <w:r>
        <w:t>The deployment of AMRG on HADR shall be based on three levels according to the period, the needs of the Affected State</w:t>
      </w:r>
      <w:r>
        <w:rPr>
          <w:rStyle w:val="FootnoteReference"/>
        </w:rPr>
        <w:footnoteReference w:id="15"/>
      </w:r>
      <w:r>
        <w:t xml:space="preserve"> and the capabilities available from the Assisting States:</w:t>
      </w:r>
    </w:p>
    <w:tbl>
      <w:tblPr>
        <w:tblStyle w:val="TableGrid"/>
        <w:tblW w:w="7938"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4559"/>
      </w:tblGrid>
      <w:tr w:rsidR="004F5F39" w:rsidTr="004F5F39">
        <w:tc>
          <w:tcPr>
            <w:tcW w:w="3379" w:type="dxa"/>
          </w:tcPr>
          <w:p w:rsidR="004F5F39" w:rsidRDefault="004F5F39" w:rsidP="004F5F39">
            <w:pPr>
              <w:jc w:val="distribute"/>
            </w:pPr>
            <w:r w:rsidRPr="004F5F39">
              <w:rPr>
                <w:b/>
              </w:rPr>
              <w:t>Urgent</w:t>
            </w:r>
            <w:r>
              <w:t xml:space="preserve">                                  </w:t>
            </w:r>
            <w:proofErr w:type="gramStart"/>
            <w:r>
              <w:t xml:space="preserve">  :</w:t>
            </w:r>
            <w:proofErr w:type="gramEnd"/>
          </w:p>
        </w:tc>
        <w:tc>
          <w:tcPr>
            <w:tcW w:w="4559" w:type="dxa"/>
          </w:tcPr>
          <w:p w:rsidR="004F5F39" w:rsidRDefault="004F5F39" w:rsidP="004F5F39">
            <w:r w:rsidRPr="004F5F39">
              <w:t>Provide specialists for a needs-assessment team to complement ERAT</w:t>
            </w:r>
          </w:p>
        </w:tc>
      </w:tr>
      <w:tr w:rsidR="004F5F39" w:rsidTr="004F5F39">
        <w:tc>
          <w:tcPr>
            <w:tcW w:w="3379" w:type="dxa"/>
          </w:tcPr>
          <w:p w:rsidR="004F5F39" w:rsidRDefault="004F5F39" w:rsidP="004F5F39">
            <w:pPr>
              <w:jc w:val="distribute"/>
            </w:pPr>
            <w:r w:rsidRPr="004F5F39">
              <w:rPr>
                <w:b/>
              </w:rPr>
              <w:t>Immediate</w:t>
            </w:r>
            <w:r>
              <w:t xml:space="preserve">                                 </w:t>
            </w:r>
            <w:proofErr w:type="gramStart"/>
            <w:r>
              <w:t xml:space="preserve">  :</w:t>
            </w:r>
            <w:proofErr w:type="gramEnd"/>
          </w:p>
        </w:tc>
        <w:tc>
          <w:tcPr>
            <w:tcW w:w="4559" w:type="dxa"/>
          </w:tcPr>
          <w:p w:rsidR="004F5F39" w:rsidRDefault="004F5F39" w:rsidP="004F5F39">
            <w:r w:rsidRPr="004F5F39">
              <w:t>Deploy among others relevant assets and resources such as carriers, mobile air movement, forklift and fuel, search and rescue team, temporary shelter and field kitchen</w:t>
            </w:r>
          </w:p>
        </w:tc>
      </w:tr>
      <w:tr w:rsidR="004F5F39" w:rsidTr="004F5F39">
        <w:tc>
          <w:tcPr>
            <w:tcW w:w="3379" w:type="dxa"/>
          </w:tcPr>
          <w:p w:rsidR="004F5F39" w:rsidRDefault="004F5F39" w:rsidP="004F5F39">
            <w:pPr>
              <w:jc w:val="distribute"/>
            </w:pPr>
            <w:r w:rsidRPr="004F5F39">
              <w:rPr>
                <w:b/>
              </w:rPr>
              <w:t>Middle and Long Term</w:t>
            </w:r>
            <w:r>
              <w:t xml:space="preserve">                    </w:t>
            </w:r>
            <w:proofErr w:type="gramStart"/>
            <w:r>
              <w:t xml:space="preserve">  :</w:t>
            </w:r>
            <w:proofErr w:type="gramEnd"/>
          </w:p>
        </w:tc>
        <w:tc>
          <w:tcPr>
            <w:tcW w:w="4559" w:type="dxa"/>
          </w:tcPr>
          <w:p w:rsidR="004F5F39" w:rsidRDefault="004F5F39" w:rsidP="004F5F39">
            <w:r w:rsidRPr="004F5F39">
              <w:t>Deploy among others damage assessment team, engineers and heavy machinery for long term recovery</w:t>
            </w:r>
          </w:p>
        </w:tc>
      </w:tr>
    </w:tbl>
    <w:p w:rsidR="004F5F39" w:rsidRDefault="004F5F39" w:rsidP="00F15BF1">
      <w:pPr>
        <w:pStyle w:val="ListParagraph"/>
        <w:numPr>
          <w:ilvl w:val="0"/>
          <w:numId w:val="18"/>
        </w:numPr>
        <w:ind w:left="426"/>
      </w:pPr>
      <w:r>
        <w:t>The Assisting State is not obliged to deploy all assets that have been designated for the AMRG of HADR. The deployment of assets is subject to the prerogative of each Assisting State.</w:t>
      </w:r>
    </w:p>
    <w:p w:rsidR="004F5F39" w:rsidRDefault="004F5F39" w:rsidP="00F15BF1">
      <w:pPr>
        <w:pStyle w:val="ListParagraph"/>
        <w:ind w:left="426"/>
      </w:pPr>
    </w:p>
    <w:p w:rsidR="004F5F39" w:rsidRDefault="004F5F39" w:rsidP="00F15BF1">
      <w:pPr>
        <w:pStyle w:val="ListParagraph"/>
        <w:numPr>
          <w:ilvl w:val="0"/>
          <w:numId w:val="18"/>
        </w:numPr>
        <w:ind w:left="426"/>
      </w:pPr>
      <w:r>
        <w:t>Pre-deployment, deployment and conduct, transition, and redeployment of the AMRG on HADR for HADR operations should be referred to SASOP or any other relevant ASEAN HADR documents.</w:t>
      </w:r>
    </w:p>
    <w:p w:rsidR="004F5F39" w:rsidRDefault="004F5F39" w:rsidP="004F5F39">
      <w:pPr>
        <w:pStyle w:val="Heading2"/>
      </w:pPr>
      <w:bookmarkStart w:id="12" w:name="_Toc48667721"/>
      <w:r>
        <w:t>FUTURE ARRANGEMENTS</w:t>
      </w:r>
      <w:bookmarkEnd w:id="12"/>
    </w:p>
    <w:p w:rsidR="004F5F39" w:rsidRDefault="004F5F39" w:rsidP="00F15BF1">
      <w:pPr>
        <w:pStyle w:val="ListParagraph"/>
        <w:numPr>
          <w:ilvl w:val="0"/>
          <w:numId w:val="18"/>
        </w:numPr>
        <w:ind w:left="426"/>
      </w:pPr>
      <w:r>
        <w:t>Representatives from AMS may convene to discuss any necessary arrangements for the AMRG.</w:t>
      </w:r>
    </w:p>
    <w:p w:rsidR="004F5F39" w:rsidRDefault="004F5F39" w:rsidP="00F15BF1">
      <w:pPr>
        <w:pStyle w:val="ListParagraph"/>
        <w:ind w:left="426"/>
      </w:pPr>
    </w:p>
    <w:p w:rsidR="004F5F39" w:rsidRDefault="004F5F39" w:rsidP="00F15BF1">
      <w:pPr>
        <w:pStyle w:val="ListParagraph"/>
        <w:numPr>
          <w:ilvl w:val="0"/>
          <w:numId w:val="18"/>
        </w:numPr>
        <w:ind w:left="426"/>
      </w:pPr>
      <w:r>
        <w:t>The future instruments that may be developed include Standard Operating Procedure based on relevant ASEAN documents on HADR.</w:t>
      </w:r>
    </w:p>
    <w:p w:rsidR="004F5F39" w:rsidRDefault="004F5F39" w:rsidP="004F5F39">
      <w:pPr>
        <w:pStyle w:val="Heading2"/>
      </w:pPr>
      <w:bookmarkStart w:id="13" w:name="_Toc48667722"/>
      <w:r>
        <w:t>ADOPTION</w:t>
      </w:r>
      <w:bookmarkEnd w:id="13"/>
    </w:p>
    <w:p w:rsidR="004F5F39" w:rsidRDefault="004F5F39" w:rsidP="00F15BF1">
      <w:pPr>
        <w:pStyle w:val="ListParagraph"/>
        <w:numPr>
          <w:ilvl w:val="0"/>
          <w:numId w:val="18"/>
        </w:numPr>
        <w:ind w:left="426"/>
      </w:pPr>
      <w:r>
        <w:t>This TOR shall be subjected to ASEAN Defence Senior Officials’ Meeting (ADSOM) Working Group for consideration and submitted to ADSOM for endorsement and subsequently to ADMM for adoption.</w:t>
      </w:r>
    </w:p>
    <w:p w:rsidR="00F15BF1" w:rsidRDefault="00F15BF1" w:rsidP="004F5F39">
      <w:pPr>
        <w:pStyle w:val="Heading2"/>
      </w:pPr>
    </w:p>
    <w:p w:rsidR="004F5F39" w:rsidRDefault="004F5F39" w:rsidP="004F5F39">
      <w:pPr>
        <w:pStyle w:val="Heading2"/>
      </w:pPr>
      <w:bookmarkStart w:id="14" w:name="_Toc48667723"/>
      <w:r>
        <w:lastRenderedPageBreak/>
        <w:t>REVIEW MECHANISM</w:t>
      </w:r>
      <w:bookmarkEnd w:id="14"/>
    </w:p>
    <w:p w:rsidR="004F5F39" w:rsidRPr="00F26A28" w:rsidRDefault="004F5F39" w:rsidP="00F15BF1">
      <w:pPr>
        <w:pStyle w:val="ListParagraph"/>
        <w:numPr>
          <w:ilvl w:val="0"/>
          <w:numId w:val="18"/>
        </w:numPr>
        <w:ind w:left="426"/>
      </w:pPr>
      <w:r>
        <w:t>This TOR, being an evolving document, can be subject to further review as deemed necessary.</w:t>
      </w:r>
    </w:p>
    <w:sectPr w:rsidR="004F5F39" w:rsidRPr="00F26A28" w:rsidSect="00F26A28">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6FB" w:rsidRDefault="00D836FB" w:rsidP="00F61B4F">
      <w:pPr>
        <w:spacing w:before="0" w:after="0" w:line="240" w:lineRule="auto"/>
      </w:pPr>
      <w:r>
        <w:separator/>
      </w:r>
    </w:p>
  </w:endnote>
  <w:endnote w:type="continuationSeparator" w:id="0">
    <w:p w:rsidR="00D836FB" w:rsidRDefault="00D836FB"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6FB" w:rsidRDefault="00D836FB" w:rsidP="00F61B4F">
      <w:pPr>
        <w:spacing w:before="0" w:after="0" w:line="240" w:lineRule="auto"/>
      </w:pPr>
      <w:r>
        <w:separator/>
      </w:r>
    </w:p>
  </w:footnote>
  <w:footnote w:type="continuationSeparator" w:id="0">
    <w:p w:rsidR="00D836FB" w:rsidRDefault="00D836FB" w:rsidP="00F61B4F">
      <w:pPr>
        <w:spacing w:before="0" w:after="0" w:line="240" w:lineRule="auto"/>
      </w:pPr>
      <w:r>
        <w:continuationSeparator/>
      </w:r>
    </w:p>
  </w:footnote>
  <w:footnote w:id="1">
    <w:p w:rsidR="00F26A28" w:rsidRPr="004F5F39" w:rsidRDefault="00F26A28" w:rsidP="004F5F39">
      <w:pPr>
        <w:pStyle w:val="FootnoteText"/>
        <w:spacing w:before="120"/>
        <w:rPr>
          <w:sz w:val="16"/>
          <w:szCs w:val="16"/>
        </w:rPr>
      </w:pPr>
      <w:r w:rsidRPr="004F5F39">
        <w:rPr>
          <w:rStyle w:val="FootnoteReference"/>
          <w:sz w:val="16"/>
          <w:szCs w:val="16"/>
        </w:rPr>
        <w:footnoteRef/>
      </w:r>
      <w:r w:rsidRPr="004F5F39">
        <w:rPr>
          <w:sz w:val="16"/>
          <w:szCs w:val="16"/>
        </w:rPr>
        <w:t xml:space="preserve"> </w:t>
      </w:r>
      <w:r w:rsidRPr="004F5F39">
        <w:rPr>
          <w:sz w:val="16"/>
          <w:szCs w:val="16"/>
        </w:rPr>
        <w:t>Reference to AADMER and SASOP.</w:t>
      </w:r>
    </w:p>
  </w:footnote>
  <w:footnote w:id="2">
    <w:p w:rsidR="00F26A28" w:rsidRPr="004F5F39" w:rsidRDefault="00F26A28" w:rsidP="004F5F39">
      <w:pPr>
        <w:pStyle w:val="FootnoteText"/>
        <w:spacing w:before="120"/>
        <w:rPr>
          <w:sz w:val="16"/>
          <w:szCs w:val="16"/>
        </w:rPr>
      </w:pPr>
      <w:r w:rsidRPr="004F5F39">
        <w:rPr>
          <w:rStyle w:val="FootnoteReference"/>
          <w:sz w:val="16"/>
          <w:szCs w:val="16"/>
        </w:rPr>
        <w:footnoteRef/>
      </w:r>
      <w:r w:rsidRPr="004F5F39">
        <w:rPr>
          <w:sz w:val="16"/>
          <w:szCs w:val="16"/>
        </w:rPr>
        <w:t xml:space="preserve"> </w:t>
      </w:r>
      <w:r w:rsidRPr="004F5F39">
        <w:rPr>
          <w:sz w:val="16"/>
          <w:szCs w:val="16"/>
        </w:rPr>
        <w:t>The term AMRG on HADR denotes the grouping of multiple Assisting States from AMS.</w:t>
      </w:r>
    </w:p>
  </w:footnote>
  <w:footnote w:id="3">
    <w:p w:rsidR="00F26A28" w:rsidRPr="004F5F39" w:rsidRDefault="00F26A28" w:rsidP="004F5F39">
      <w:pPr>
        <w:pStyle w:val="FootnoteText"/>
        <w:spacing w:before="120"/>
        <w:rPr>
          <w:sz w:val="16"/>
          <w:szCs w:val="16"/>
        </w:rPr>
      </w:pPr>
      <w:r w:rsidRPr="004F5F39">
        <w:rPr>
          <w:rStyle w:val="FootnoteReference"/>
          <w:sz w:val="16"/>
          <w:szCs w:val="16"/>
        </w:rPr>
        <w:footnoteRef/>
      </w:r>
      <w:r w:rsidRPr="004F5F39">
        <w:rPr>
          <w:sz w:val="16"/>
          <w:szCs w:val="16"/>
        </w:rPr>
        <w:t xml:space="preserve"> SASOP Chapter VI Para 12c </w:t>
      </w:r>
    </w:p>
  </w:footnote>
  <w:footnote w:id="4">
    <w:p w:rsidR="00F26A28" w:rsidRPr="004F5F39" w:rsidRDefault="00F26A28" w:rsidP="004F5F39">
      <w:pPr>
        <w:pStyle w:val="FootnoteText"/>
        <w:spacing w:before="120"/>
        <w:rPr>
          <w:sz w:val="16"/>
          <w:szCs w:val="16"/>
        </w:rPr>
      </w:pPr>
      <w:r w:rsidRPr="004F5F39">
        <w:rPr>
          <w:rStyle w:val="FootnoteReference"/>
          <w:sz w:val="16"/>
          <w:szCs w:val="16"/>
        </w:rPr>
        <w:footnoteRef/>
      </w:r>
      <w:r w:rsidRPr="004F5F39">
        <w:rPr>
          <w:sz w:val="16"/>
          <w:szCs w:val="16"/>
        </w:rPr>
        <w:t xml:space="preserve"> </w:t>
      </w:r>
      <w:r w:rsidRPr="004F5F39">
        <w:rPr>
          <w:sz w:val="16"/>
          <w:szCs w:val="16"/>
        </w:rPr>
        <w:t>SASOP Chapter VI Para 1b</w:t>
      </w:r>
    </w:p>
  </w:footnote>
  <w:footnote w:id="5">
    <w:p w:rsidR="00F26A28" w:rsidRPr="004F5F39" w:rsidRDefault="00F26A28" w:rsidP="004F5F39">
      <w:pPr>
        <w:pStyle w:val="FootnoteText"/>
        <w:spacing w:before="120"/>
        <w:rPr>
          <w:sz w:val="16"/>
          <w:szCs w:val="16"/>
        </w:rPr>
      </w:pPr>
      <w:r w:rsidRPr="004F5F39">
        <w:rPr>
          <w:rStyle w:val="FootnoteReference"/>
          <w:sz w:val="16"/>
          <w:szCs w:val="16"/>
        </w:rPr>
        <w:footnoteRef/>
      </w:r>
      <w:r w:rsidRPr="004F5F39">
        <w:rPr>
          <w:sz w:val="16"/>
          <w:szCs w:val="16"/>
        </w:rPr>
        <w:t xml:space="preserve"> </w:t>
      </w:r>
      <w:r w:rsidRPr="004F5F39">
        <w:rPr>
          <w:sz w:val="16"/>
          <w:szCs w:val="16"/>
        </w:rPr>
        <w:t>SASOP Chapter VI Para 1c</w:t>
      </w:r>
    </w:p>
  </w:footnote>
  <w:footnote w:id="6">
    <w:p w:rsidR="00F26A28" w:rsidRPr="004F5F39" w:rsidRDefault="00F26A28" w:rsidP="004F5F39">
      <w:pPr>
        <w:pStyle w:val="FootnoteText"/>
        <w:spacing w:before="120"/>
        <w:rPr>
          <w:sz w:val="16"/>
          <w:szCs w:val="16"/>
        </w:rPr>
      </w:pPr>
      <w:r w:rsidRPr="004F5F39">
        <w:rPr>
          <w:rStyle w:val="FootnoteReference"/>
          <w:sz w:val="16"/>
          <w:szCs w:val="16"/>
        </w:rPr>
        <w:footnoteRef/>
      </w:r>
      <w:r w:rsidRPr="004F5F39">
        <w:rPr>
          <w:sz w:val="16"/>
          <w:szCs w:val="16"/>
        </w:rPr>
        <w:t xml:space="preserve"> </w:t>
      </w:r>
      <w:r w:rsidRPr="004F5F39">
        <w:rPr>
          <w:sz w:val="16"/>
          <w:szCs w:val="16"/>
        </w:rPr>
        <w:t>SASOP Chapter VI Para 19-21</w:t>
      </w:r>
    </w:p>
  </w:footnote>
  <w:footnote w:id="7">
    <w:p w:rsidR="00F26A28" w:rsidRPr="004F5F39" w:rsidRDefault="00F26A28" w:rsidP="004F5F39">
      <w:pPr>
        <w:pStyle w:val="FootnoteText"/>
        <w:spacing w:before="120"/>
        <w:rPr>
          <w:sz w:val="16"/>
          <w:szCs w:val="16"/>
        </w:rPr>
      </w:pPr>
      <w:r w:rsidRPr="004F5F39">
        <w:rPr>
          <w:rStyle w:val="FootnoteReference"/>
          <w:sz w:val="16"/>
          <w:szCs w:val="16"/>
        </w:rPr>
        <w:footnoteRef/>
      </w:r>
      <w:r w:rsidRPr="004F5F39">
        <w:rPr>
          <w:sz w:val="16"/>
          <w:szCs w:val="16"/>
        </w:rPr>
        <w:t xml:space="preserve"> </w:t>
      </w:r>
      <w:r w:rsidRPr="004F5F39">
        <w:rPr>
          <w:sz w:val="16"/>
          <w:szCs w:val="16"/>
        </w:rPr>
        <w:t>SASOP Chapter VI Para 25</w:t>
      </w:r>
    </w:p>
  </w:footnote>
  <w:footnote w:id="8">
    <w:p w:rsidR="00F26A28" w:rsidRPr="004F5F39" w:rsidRDefault="00F26A28" w:rsidP="004F5F39">
      <w:pPr>
        <w:pStyle w:val="FootnoteText"/>
        <w:spacing w:before="120"/>
        <w:rPr>
          <w:sz w:val="16"/>
          <w:szCs w:val="16"/>
        </w:rPr>
      </w:pPr>
      <w:r w:rsidRPr="004F5F39">
        <w:rPr>
          <w:rStyle w:val="FootnoteReference"/>
          <w:sz w:val="16"/>
          <w:szCs w:val="16"/>
        </w:rPr>
        <w:footnoteRef/>
      </w:r>
      <w:r w:rsidRPr="004F5F39">
        <w:rPr>
          <w:sz w:val="16"/>
          <w:szCs w:val="16"/>
        </w:rPr>
        <w:t xml:space="preserve"> </w:t>
      </w:r>
      <w:r w:rsidRPr="004F5F39">
        <w:rPr>
          <w:sz w:val="16"/>
          <w:szCs w:val="16"/>
        </w:rPr>
        <w:t>SASOP Chapter VI Role of Affected State and Role of the Assisting State.</w:t>
      </w:r>
    </w:p>
  </w:footnote>
  <w:footnote w:id="9">
    <w:p w:rsidR="004F5F39" w:rsidRPr="004F5F39" w:rsidRDefault="004F5F39" w:rsidP="004F5F39">
      <w:pPr>
        <w:pStyle w:val="FootnoteText"/>
        <w:spacing w:before="120"/>
        <w:rPr>
          <w:sz w:val="16"/>
          <w:szCs w:val="16"/>
        </w:rPr>
      </w:pPr>
      <w:r w:rsidRPr="004F5F39">
        <w:rPr>
          <w:rStyle w:val="FootnoteReference"/>
          <w:sz w:val="16"/>
          <w:szCs w:val="16"/>
        </w:rPr>
        <w:footnoteRef/>
      </w:r>
      <w:r w:rsidRPr="004F5F39">
        <w:rPr>
          <w:sz w:val="16"/>
          <w:szCs w:val="16"/>
        </w:rPr>
        <w:t xml:space="preserve"> </w:t>
      </w:r>
      <w:r w:rsidRPr="004F5F39">
        <w:rPr>
          <w:sz w:val="16"/>
          <w:szCs w:val="16"/>
        </w:rPr>
        <w:t>SASOP Chapter VI Para 27</w:t>
      </w:r>
    </w:p>
  </w:footnote>
  <w:footnote w:id="10">
    <w:p w:rsidR="004F5F39" w:rsidRPr="004F5F39" w:rsidRDefault="004F5F39" w:rsidP="004F5F39">
      <w:pPr>
        <w:pStyle w:val="FootnoteText"/>
        <w:spacing w:before="120"/>
        <w:rPr>
          <w:sz w:val="16"/>
          <w:szCs w:val="16"/>
        </w:rPr>
      </w:pPr>
      <w:r w:rsidRPr="004F5F39">
        <w:rPr>
          <w:rStyle w:val="FootnoteReference"/>
          <w:sz w:val="16"/>
          <w:szCs w:val="16"/>
        </w:rPr>
        <w:footnoteRef/>
      </w:r>
      <w:r w:rsidRPr="004F5F39">
        <w:rPr>
          <w:sz w:val="16"/>
          <w:szCs w:val="16"/>
        </w:rPr>
        <w:t xml:space="preserve"> </w:t>
      </w:r>
      <w:r w:rsidRPr="004F5F39">
        <w:rPr>
          <w:sz w:val="16"/>
          <w:szCs w:val="16"/>
        </w:rPr>
        <w:t>SASOP Chapter VI Para 27</w:t>
      </w:r>
    </w:p>
  </w:footnote>
  <w:footnote w:id="11">
    <w:p w:rsidR="004F5F39" w:rsidRPr="004F5F39" w:rsidRDefault="004F5F39" w:rsidP="004F5F39">
      <w:pPr>
        <w:pStyle w:val="FootnoteText"/>
        <w:spacing w:before="120"/>
        <w:rPr>
          <w:sz w:val="16"/>
          <w:szCs w:val="16"/>
        </w:rPr>
      </w:pPr>
      <w:r w:rsidRPr="004F5F39">
        <w:rPr>
          <w:rStyle w:val="FootnoteReference"/>
          <w:sz w:val="16"/>
          <w:szCs w:val="16"/>
        </w:rPr>
        <w:footnoteRef/>
      </w:r>
      <w:r w:rsidRPr="004F5F39">
        <w:rPr>
          <w:sz w:val="16"/>
          <w:szCs w:val="16"/>
        </w:rPr>
        <w:t xml:space="preserve"> </w:t>
      </w:r>
      <w:r w:rsidRPr="004F5F39">
        <w:rPr>
          <w:sz w:val="16"/>
          <w:szCs w:val="16"/>
        </w:rPr>
        <w:t>SASOP Chapter III Para B</w:t>
      </w:r>
    </w:p>
  </w:footnote>
  <w:footnote w:id="12">
    <w:p w:rsidR="004F5F39" w:rsidRPr="004F5F39" w:rsidRDefault="004F5F39" w:rsidP="004F5F39">
      <w:pPr>
        <w:pStyle w:val="FootnoteText"/>
        <w:spacing w:before="120"/>
        <w:rPr>
          <w:sz w:val="16"/>
          <w:szCs w:val="16"/>
        </w:rPr>
      </w:pPr>
      <w:r w:rsidRPr="004F5F39">
        <w:rPr>
          <w:rStyle w:val="FootnoteReference"/>
          <w:sz w:val="16"/>
          <w:szCs w:val="16"/>
        </w:rPr>
        <w:footnoteRef/>
      </w:r>
      <w:r w:rsidRPr="004F5F39">
        <w:rPr>
          <w:sz w:val="16"/>
          <w:szCs w:val="16"/>
        </w:rPr>
        <w:t xml:space="preserve"> </w:t>
      </w:r>
      <w:r w:rsidRPr="004F5F39">
        <w:rPr>
          <w:sz w:val="16"/>
          <w:szCs w:val="16"/>
        </w:rPr>
        <w:t>AADMER Art 15 and SASOP Chapter VI Para 15</w:t>
      </w:r>
    </w:p>
  </w:footnote>
  <w:footnote w:id="13">
    <w:p w:rsidR="004F5F39" w:rsidRPr="004F5F39" w:rsidRDefault="004F5F39" w:rsidP="004F5F39">
      <w:pPr>
        <w:pStyle w:val="FootnoteText"/>
        <w:spacing w:before="120"/>
        <w:rPr>
          <w:sz w:val="16"/>
          <w:szCs w:val="16"/>
        </w:rPr>
      </w:pPr>
      <w:r w:rsidRPr="004F5F39">
        <w:rPr>
          <w:rStyle w:val="FootnoteReference"/>
          <w:sz w:val="16"/>
          <w:szCs w:val="16"/>
        </w:rPr>
        <w:footnoteRef/>
      </w:r>
      <w:r w:rsidRPr="004F5F39">
        <w:rPr>
          <w:sz w:val="16"/>
          <w:szCs w:val="16"/>
        </w:rPr>
        <w:t xml:space="preserve"> </w:t>
      </w:r>
      <w:r w:rsidRPr="004F5F39">
        <w:rPr>
          <w:sz w:val="16"/>
          <w:szCs w:val="16"/>
        </w:rPr>
        <w:t>SASOP Chapter VI Para 9</w:t>
      </w:r>
    </w:p>
  </w:footnote>
  <w:footnote w:id="14">
    <w:p w:rsidR="004F5F39" w:rsidRPr="004F5F39" w:rsidRDefault="004F5F39" w:rsidP="004F5F39">
      <w:pPr>
        <w:pStyle w:val="FootnoteText"/>
        <w:spacing w:before="120"/>
        <w:rPr>
          <w:sz w:val="16"/>
          <w:szCs w:val="16"/>
        </w:rPr>
      </w:pPr>
      <w:r w:rsidRPr="004F5F39">
        <w:rPr>
          <w:rStyle w:val="FootnoteReference"/>
          <w:sz w:val="16"/>
          <w:szCs w:val="16"/>
        </w:rPr>
        <w:footnoteRef/>
      </w:r>
      <w:r w:rsidRPr="004F5F39">
        <w:rPr>
          <w:sz w:val="16"/>
          <w:szCs w:val="16"/>
        </w:rPr>
        <w:t xml:space="preserve"> </w:t>
      </w:r>
      <w:r w:rsidRPr="004F5F39">
        <w:rPr>
          <w:sz w:val="16"/>
          <w:szCs w:val="16"/>
        </w:rPr>
        <w:t>SASOP Chapter VI Para 12d</w:t>
      </w:r>
    </w:p>
  </w:footnote>
  <w:footnote w:id="15">
    <w:p w:rsidR="004F5F39" w:rsidRPr="004F5F39" w:rsidRDefault="004F5F39" w:rsidP="004F5F39">
      <w:pPr>
        <w:pStyle w:val="FootnoteText"/>
        <w:spacing w:before="120"/>
        <w:rPr>
          <w:sz w:val="16"/>
          <w:szCs w:val="16"/>
        </w:rPr>
      </w:pPr>
      <w:r w:rsidRPr="004F5F39">
        <w:rPr>
          <w:rStyle w:val="FootnoteReference"/>
          <w:sz w:val="16"/>
          <w:szCs w:val="16"/>
        </w:rPr>
        <w:footnoteRef/>
      </w:r>
      <w:r w:rsidRPr="004F5F39">
        <w:rPr>
          <w:sz w:val="16"/>
          <w:szCs w:val="16"/>
        </w:rPr>
        <w:t xml:space="preserve"> </w:t>
      </w:r>
      <w:r w:rsidRPr="004F5F39">
        <w:rPr>
          <w:sz w:val="16"/>
          <w:szCs w:val="16"/>
        </w:rPr>
        <w:t>Concept Paper AMRG on HADR Para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F15BF1" w:rsidP="00F15BF1">
    <w:pPr>
      <w:pStyle w:val="Header"/>
      <w:pBdr>
        <w:bottom w:val="single" w:sz="4" w:space="1" w:color="auto"/>
      </w:pBdr>
      <w:rPr>
        <w:rFonts w:cs="Arial"/>
        <w:caps/>
        <w:color w:val="808080"/>
        <w:sz w:val="16"/>
        <w:szCs w:val="16"/>
      </w:rPr>
    </w:pPr>
    <w:r w:rsidRPr="00F15BF1">
      <w:rPr>
        <w:rFonts w:cs="Arial"/>
        <w:caps/>
        <w:color w:val="808080"/>
        <w:sz w:val="16"/>
        <w:szCs w:val="16"/>
      </w:rPr>
      <w:t>2016 TERMS OF REFERENCE ASEAN MILITARIES READY GROUP ON HUMANITARIAN ASSISTANCE AND DISASTER RELIEF (AMRG ON HADR)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701E8"/>
    <w:multiLevelType w:val="hybridMultilevel"/>
    <w:tmpl w:val="A7C6E9B4"/>
    <w:lvl w:ilvl="0" w:tplc="CC904DD0">
      <w:start w:val="20"/>
      <w:numFmt w:val="decimal"/>
      <w:lvlText w:val="%1."/>
      <w:lvlJc w:val="left"/>
      <w:pPr>
        <w:ind w:left="720" w:hanging="360"/>
      </w:pPr>
      <w:rPr>
        <w:rFonts w:hint="default"/>
      </w:rPr>
    </w:lvl>
    <w:lvl w:ilvl="1" w:tplc="0D5E0E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158CF"/>
    <w:multiLevelType w:val="hybridMultilevel"/>
    <w:tmpl w:val="9B48925E"/>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A710E6"/>
    <w:multiLevelType w:val="hybridMultilevel"/>
    <w:tmpl w:val="F878B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166617"/>
    <w:multiLevelType w:val="multilevel"/>
    <w:tmpl w:val="20CC725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3261E5"/>
    <w:multiLevelType w:val="hybridMultilevel"/>
    <w:tmpl w:val="A1801738"/>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67A73C3E"/>
    <w:multiLevelType w:val="hybridMultilevel"/>
    <w:tmpl w:val="9B48925E"/>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6E143CC1"/>
    <w:multiLevelType w:val="hybridMultilevel"/>
    <w:tmpl w:val="A1801738"/>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6ECB4056"/>
    <w:multiLevelType w:val="hybridMultilevel"/>
    <w:tmpl w:val="20CC7252"/>
    <w:lvl w:ilvl="0" w:tplc="0409000F">
      <w:start w:val="1"/>
      <w:numFmt w:val="decimal"/>
      <w:lvlText w:val="%1."/>
      <w:lvlJc w:val="left"/>
      <w:pPr>
        <w:ind w:left="720" w:hanging="360"/>
      </w:pPr>
      <w:rPr>
        <w:rFonts w:hint="default"/>
      </w:rPr>
    </w:lvl>
    <w:lvl w:ilvl="1" w:tplc="0D5E0E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9"/>
  </w:num>
  <w:num w:numId="15">
    <w:abstractNumId w:val="16"/>
  </w:num>
  <w:num w:numId="16">
    <w:abstractNumId w:val="18"/>
  </w:num>
  <w:num w:numId="17">
    <w:abstractNumId w:val="17"/>
  </w:num>
  <w:num w:numId="18">
    <w:abstractNumId w:val="10"/>
  </w:num>
  <w:num w:numId="19">
    <w:abstractNumId w:val="15"/>
  </w:num>
  <w:num w:numId="2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AB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4F5F39"/>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1B6A"/>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6AB8"/>
    <w:rsid w:val="00D472FE"/>
    <w:rsid w:val="00D51065"/>
    <w:rsid w:val="00D52236"/>
    <w:rsid w:val="00D528FE"/>
    <w:rsid w:val="00D56D91"/>
    <w:rsid w:val="00D67A09"/>
    <w:rsid w:val="00D712DE"/>
    <w:rsid w:val="00D75BF6"/>
    <w:rsid w:val="00D804A1"/>
    <w:rsid w:val="00D836FB"/>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15BF1"/>
    <w:rsid w:val="00F2602E"/>
    <w:rsid w:val="00F26A28"/>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8FFC7A"/>
  <w15:docId w15:val="{A003F866-E1D2-1E44-B057-0E86BFE1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F26A28"/>
    <w:pPr>
      <w:jc w:val="left"/>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F26A28"/>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F15BF1"/>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after="120" w:line="360" w:lineRule="auto"/>
    </w:pPr>
    <w:rPr>
      <w:rFonts w:cs="Arial"/>
      <w:noProof/>
    </w:rPr>
  </w:style>
  <w:style w:type="paragraph" w:styleId="TOC1">
    <w:name w:val="toc 1"/>
    <w:basedOn w:val="Normal"/>
    <w:next w:val="Normal"/>
    <w:autoRedefine/>
    <w:uiPriority w:val="39"/>
    <w:unhideWhenUsed/>
    <w:rsid w:val="00AB7A69"/>
    <w:pPr>
      <w:spacing w:before="120" w:after="0"/>
      <w:jc w:val="left"/>
    </w:pPr>
    <w:rPr>
      <w:rFonts w:asciiTheme="minorHAnsi" w:hAnsiTheme="minorHAnsi"/>
      <w:b/>
      <w:bCs/>
      <w:i/>
      <w:iCs/>
      <w:sz w:val="24"/>
      <w:szCs w:val="24"/>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120" w:after="0"/>
      <w:ind w:left="200"/>
      <w:outlineLvl w:val="9"/>
    </w:pPr>
    <w:rPr>
      <w:rFonts w:asciiTheme="minorHAnsi" w:hAnsiTheme="minorHAnsi"/>
      <w:caps w:val="0"/>
      <w:sz w:val="22"/>
      <w:szCs w:val="22"/>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0" w:after="0"/>
      <w:ind w:left="400"/>
      <w:jc w:val="left"/>
      <w:outlineLvl w:val="9"/>
    </w:pPr>
    <w:rPr>
      <w:rFonts w:asciiTheme="minorHAnsi" w:hAnsiTheme="minorHAnsi"/>
      <w:u w:val="none"/>
    </w:rPr>
  </w:style>
  <w:style w:type="paragraph" w:styleId="TOC4">
    <w:name w:val="toc 4"/>
    <w:basedOn w:val="Normal"/>
    <w:next w:val="Normal"/>
    <w:autoRedefine/>
    <w:uiPriority w:val="39"/>
    <w:unhideWhenUsed/>
    <w:rsid w:val="00A27F6D"/>
    <w:pPr>
      <w:spacing w:before="0" w:after="0"/>
      <w:ind w:left="600"/>
      <w:jc w:val="left"/>
    </w:pPr>
    <w:rPr>
      <w:rFonts w:asciiTheme="minorHAnsi" w:hAnsiTheme="minorHAnsi"/>
    </w:rPr>
  </w:style>
  <w:style w:type="paragraph" w:styleId="TOC5">
    <w:name w:val="toc 5"/>
    <w:basedOn w:val="Normal"/>
    <w:next w:val="Normal"/>
    <w:autoRedefine/>
    <w:uiPriority w:val="39"/>
    <w:unhideWhenUsed/>
    <w:rsid w:val="00A27F6D"/>
    <w:pPr>
      <w:spacing w:before="0" w:after="0"/>
      <w:ind w:left="800"/>
      <w:jc w:val="left"/>
    </w:pPr>
    <w:rPr>
      <w:rFonts w:asciiTheme="minorHAnsi" w:hAnsiTheme="minorHAnsi"/>
    </w:rPr>
  </w:style>
  <w:style w:type="paragraph" w:styleId="TOC6">
    <w:name w:val="toc 6"/>
    <w:basedOn w:val="Normal"/>
    <w:next w:val="Normal"/>
    <w:autoRedefine/>
    <w:uiPriority w:val="39"/>
    <w:unhideWhenUsed/>
    <w:rsid w:val="00A27F6D"/>
    <w:pPr>
      <w:spacing w:before="0" w:after="0"/>
      <w:ind w:left="1000"/>
      <w:jc w:val="left"/>
    </w:pPr>
    <w:rPr>
      <w:rFonts w:asciiTheme="minorHAnsi" w:hAnsiTheme="minorHAnsi"/>
    </w:rPr>
  </w:style>
  <w:style w:type="paragraph" w:styleId="TOC7">
    <w:name w:val="toc 7"/>
    <w:basedOn w:val="Normal"/>
    <w:next w:val="Normal"/>
    <w:autoRedefine/>
    <w:uiPriority w:val="39"/>
    <w:unhideWhenUsed/>
    <w:rsid w:val="00A27F6D"/>
    <w:pPr>
      <w:spacing w:before="0" w:after="0"/>
      <w:ind w:left="1200"/>
      <w:jc w:val="left"/>
    </w:pPr>
    <w:rPr>
      <w:rFonts w:asciiTheme="minorHAnsi" w:hAnsiTheme="minorHAnsi"/>
    </w:rPr>
  </w:style>
  <w:style w:type="paragraph" w:styleId="TOC8">
    <w:name w:val="toc 8"/>
    <w:basedOn w:val="Normal"/>
    <w:next w:val="Normal"/>
    <w:autoRedefine/>
    <w:uiPriority w:val="39"/>
    <w:unhideWhenUsed/>
    <w:rsid w:val="00A27F6D"/>
    <w:pPr>
      <w:spacing w:before="0" w:after="0"/>
      <w:ind w:left="1400"/>
      <w:jc w:val="left"/>
    </w:pPr>
    <w:rPr>
      <w:rFonts w:asciiTheme="minorHAnsi" w:hAnsiTheme="minorHAnsi"/>
    </w:rPr>
  </w:style>
  <w:style w:type="paragraph" w:styleId="TOC9">
    <w:name w:val="toc 9"/>
    <w:basedOn w:val="Normal"/>
    <w:next w:val="Normal"/>
    <w:autoRedefine/>
    <w:uiPriority w:val="39"/>
    <w:unhideWhenUsed/>
    <w:rsid w:val="00A27F6D"/>
    <w:pPr>
      <w:spacing w:before="0" w:after="0"/>
      <w:ind w:left="1600"/>
      <w:jc w:val="left"/>
    </w:pPr>
    <w:rPr>
      <w:rFonts w:asciiTheme="minorHAnsi" w:hAnsiTheme="minorHAnsi"/>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4F5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01CEC-3B81-1D42-94B7-81F8B9A6C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18</TotalTime>
  <Pages>7</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11795</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2019-01-29T09:08:00Z</cp:lastPrinted>
  <dcterms:created xsi:type="dcterms:W3CDTF">2020-08-18T10:06:00Z</dcterms:created>
  <dcterms:modified xsi:type="dcterms:W3CDTF">2020-08-18T10:32:00Z</dcterms:modified>
</cp:coreProperties>
</file>