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20D7" w14:textId="1A672C41" w:rsidR="00421D21" w:rsidRDefault="00421D21" w:rsidP="00421D21">
      <w:pPr>
        <w:pStyle w:val="CILTitle"/>
      </w:pPr>
      <w:r>
        <w:t>2021-2025 ASEAN-REPUBLIC OF KOREA PLAN OF ACTION TO IMPLEMENT THE JOINT VISION STATEMENT FOR PEACE, PROSPERITY AND PARTNERSHIP</w:t>
      </w:r>
    </w:p>
    <w:p w14:paraId="03196E4B" w14:textId="286B19C3" w:rsidR="00421D21" w:rsidRDefault="00421D21" w:rsidP="00421D21">
      <w:pPr>
        <w:pStyle w:val="CILSubtitle"/>
      </w:pPr>
      <w:r>
        <w:t>Adopted in Viet Nam, on 9 September 2020</w:t>
      </w:r>
    </w:p>
    <w:sdt>
      <w:sdtPr>
        <w:rPr>
          <w:rFonts w:ascii="Arial" w:eastAsia="Calibri" w:hAnsi="Arial"/>
          <w:color w:val="auto"/>
          <w:sz w:val="20"/>
          <w:szCs w:val="20"/>
        </w:rPr>
        <w:id w:val="888842383"/>
        <w:docPartObj>
          <w:docPartGallery w:val="Table of Contents"/>
          <w:docPartUnique/>
        </w:docPartObj>
      </w:sdtPr>
      <w:sdtEndPr>
        <w:rPr>
          <w:b/>
          <w:bCs/>
          <w:noProof/>
        </w:rPr>
      </w:sdtEndPr>
      <w:sdtContent>
        <w:p w14:paraId="5C7FB0F6" w14:textId="08FC6CB3" w:rsidR="00333CFD" w:rsidRPr="00333CFD" w:rsidRDefault="00333CFD">
          <w:pPr>
            <w:pStyle w:val="TOCHeading"/>
            <w:rPr>
              <w:rFonts w:ascii="Arial" w:hAnsi="Arial" w:cs="Arial"/>
              <w:sz w:val="20"/>
              <w:szCs w:val="20"/>
            </w:rPr>
          </w:pPr>
        </w:p>
        <w:p w14:paraId="56C3B6AD" w14:textId="0D290A80" w:rsidR="00333CFD" w:rsidRPr="00333CFD" w:rsidRDefault="00333CFD">
          <w:pPr>
            <w:pStyle w:val="TOC1"/>
            <w:tabs>
              <w:tab w:val="left" w:pos="567"/>
              <w:tab w:val="right" w:leader="dot" w:pos="9017"/>
            </w:tabs>
            <w:rPr>
              <w:rFonts w:ascii="Arial" w:eastAsiaTheme="minorEastAsia" w:hAnsi="Arial" w:cs="Arial"/>
              <w:b w:val="0"/>
              <w:i w:val="0"/>
              <w:caps/>
              <w:noProof/>
              <w:sz w:val="20"/>
              <w:szCs w:val="20"/>
              <w:lang w:val="en-SG" w:eastAsia="zh-CN"/>
            </w:rPr>
          </w:pPr>
          <w:r w:rsidRPr="00333CFD">
            <w:rPr>
              <w:rFonts w:ascii="Arial" w:hAnsi="Arial" w:cs="Arial"/>
              <w:b w:val="0"/>
              <w:bCs w:val="0"/>
              <w:i w:val="0"/>
              <w:sz w:val="20"/>
              <w:szCs w:val="20"/>
            </w:rPr>
            <w:fldChar w:fldCharType="begin"/>
          </w:r>
          <w:r w:rsidRPr="00333CFD">
            <w:rPr>
              <w:rFonts w:ascii="Arial" w:hAnsi="Arial" w:cs="Arial"/>
              <w:b w:val="0"/>
              <w:i w:val="0"/>
              <w:sz w:val="20"/>
              <w:szCs w:val="20"/>
            </w:rPr>
            <w:instrText xml:space="preserve"> TOC \o "1-3" \h \z \u </w:instrText>
          </w:r>
          <w:r w:rsidRPr="00333CFD">
            <w:rPr>
              <w:rFonts w:ascii="Arial" w:hAnsi="Arial" w:cs="Arial"/>
              <w:b w:val="0"/>
              <w:bCs w:val="0"/>
              <w:i w:val="0"/>
              <w:sz w:val="20"/>
              <w:szCs w:val="20"/>
            </w:rPr>
            <w:fldChar w:fldCharType="separate"/>
          </w:r>
          <w:hyperlink w:anchor="_Toc52803106" w:history="1">
            <w:r w:rsidRPr="00333CFD">
              <w:rPr>
                <w:rStyle w:val="Hyperlink"/>
                <w:rFonts w:ascii="Arial" w:hAnsi="Arial" w:cs="Arial"/>
                <w:b w:val="0"/>
                <w:i w:val="0"/>
                <w:noProof/>
                <w:sz w:val="20"/>
                <w:szCs w:val="20"/>
              </w:rPr>
              <w:t>1. POLITICAL AND SECURITY COOPERATION</w:t>
            </w:r>
            <w:r w:rsidRPr="00333CFD">
              <w:rPr>
                <w:rFonts w:ascii="Arial" w:hAnsi="Arial" w:cs="Arial"/>
                <w:b w:val="0"/>
                <w:i w:val="0"/>
                <w:noProof/>
                <w:webHidden/>
                <w:sz w:val="20"/>
                <w:szCs w:val="20"/>
              </w:rPr>
              <w:tab/>
            </w:r>
            <w:r w:rsidRPr="00333CFD">
              <w:rPr>
                <w:rFonts w:ascii="Arial" w:hAnsi="Arial" w:cs="Arial"/>
                <w:b w:val="0"/>
                <w:i w:val="0"/>
                <w:noProof/>
                <w:webHidden/>
                <w:sz w:val="20"/>
                <w:szCs w:val="20"/>
              </w:rPr>
              <w:fldChar w:fldCharType="begin"/>
            </w:r>
            <w:r w:rsidRPr="00333CFD">
              <w:rPr>
                <w:rFonts w:ascii="Arial" w:hAnsi="Arial" w:cs="Arial"/>
                <w:b w:val="0"/>
                <w:i w:val="0"/>
                <w:noProof/>
                <w:webHidden/>
                <w:sz w:val="20"/>
                <w:szCs w:val="20"/>
              </w:rPr>
              <w:instrText xml:space="preserve"> PAGEREF _Toc52803106 \h </w:instrText>
            </w:r>
            <w:r w:rsidRPr="00333CFD">
              <w:rPr>
                <w:rFonts w:ascii="Arial" w:hAnsi="Arial" w:cs="Arial"/>
                <w:b w:val="0"/>
                <w:i w:val="0"/>
                <w:noProof/>
                <w:webHidden/>
                <w:sz w:val="20"/>
                <w:szCs w:val="20"/>
              </w:rPr>
            </w:r>
            <w:r w:rsidRPr="00333CFD">
              <w:rPr>
                <w:rFonts w:ascii="Arial" w:hAnsi="Arial" w:cs="Arial"/>
                <w:b w:val="0"/>
                <w:i w:val="0"/>
                <w:noProof/>
                <w:webHidden/>
                <w:sz w:val="20"/>
                <w:szCs w:val="20"/>
              </w:rPr>
              <w:fldChar w:fldCharType="separate"/>
            </w:r>
            <w:r w:rsidRPr="00333CFD">
              <w:rPr>
                <w:rFonts w:ascii="Arial" w:hAnsi="Arial" w:cs="Arial"/>
                <w:b w:val="0"/>
                <w:i w:val="0"/>
                <w:noProof/>
                <w:webHidden/>
                <w:sz w:val="20"/>
                <w:szCs w:val="20"/>
              </w:rPr>
              <w:t>2</w:t>
            </w:r>
            <w:r w:rsidRPr="00333CFD">
              <w:rPr>
                <w:rFonts w:ascii="Arial" w:hAnsi="Arial" w:cs="Arial"/>
                <w:b w:val="0"/>
                <w:i w:val="0"/>
                <w:noProof/>
                <w:webHidden/>
                <w:sz w:val="20"/>
                <w:szCs w:val="20"/>
              </w:rPr>
              <w:fldChar w:fldCharType="end"/>
            </w:r>
          </w:hyperlink>
        </w:p>
        <w:p w14:paraId="2D43E7AF" w14:textId="7A849761"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07" w:history="1">
            <w:r w:rsidR="00333CFD" w:rsidRPr="00333CFD">
              <w:rPr>
                <w:rStyle w:val="Hyperlink"/>
                <w:rFonts w:ascii="Arial" w:hAnsi="Arial" w:cs="Arial"/>
                <w:b w:val="0"/>
                <w:noProof/>
                <w:sz w:val="20"/>
                <w:szCs w:val="20"/>
              </w:rPr>
              <w:t>1.1 POLITICAL COOPERATION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_Toc52803107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2</w:t>
            </w:r>
            <w:r w:rsidR="00333CFD" w:rsidRPr="00333CFD">
              <w:rPr>
                <w:rFonts w:ascii="Arial" w:hAnsi="Arial" w:cs="Arial"/>
                <w:b w:val="0"/>
                <w:noProof/>
                <w:webHidden/>
                <w:sz w:val="20"/>
                <w:szCs w:val="20"/>
              </w:rPr>
              <w:fldChar w:fldCharType="end"/>
            </w:r>
          </w:hyperlink>
        </w:p>
        <w:p w14:paraId="211C0070" w14:textId="4BB05DFF"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08" w:history="1">
            <w:r w:rsidR="00333CFD" w:rsidRPr="00333CFD">
              <w:rPr>
                <w:rStyle w:val="Hyperlink"/>
                <w:rFonts w:ascii="Arial" w:hAnsi="Arial" w:cs="Arial"/>
                <w:b w:val="0"/>
                <w:noProof/>
                <w:sz w:val="20"/>
                <w:szCs w:val="20"/>
              </w:rPr>
              <w:t>1.2 SECURITY COOPERATION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_Toc52803108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2</w:t>
            </w:r>
            <w:r w:rsidR="00333CFD" w:rsidRPr="00333CFD">
              <w:rPr>
                <w:rFonts w:ascii="Arial" w:hAnsi="Arial" w:cs="Arial"/>
                <w:b w:val="0"/>
                <w:noProof/>
                <w:webHidden/>
                <w:sz w:val="20"/>
                <w:szCs w:val="20"/>
              </w:rPr>
              <w:fldChar w:fldCharType="end"/>
            </w:r>
          </w:hyperlink>
        </w:p>
        <w:p w14:paraId="4A4996B0" w14:textId="4812DFEB"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09" w:history="1">
            <w:r w:rsidR="00333CFD" w:rsidRPr="00333CFD">
              <w:rPr>
                <w:rStyle w:val="Hyperlink"/>
                <w:rFonts w:ascii="Arial" w:hAnsi="Arial" w:cs="Arial"/>
                <w:b w:val="0"/>
                <w:noProof/>
                <w:sz w:val="20"/>
                <w:szCs w:val="20"/>
              </w:rPr>
              <w:t>1.3 NUCLEAR ENERGY AND NUCLEAR WEAPONS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_Toc52803109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3</w:t>
            </w:r>
            <w:r w:rsidR="00333CFD" w:rsidRPr="00333CFD">
              <w:rPr>
                <w:rFonts w:ascii="Arial" w:hAnsi="Arial" w:cs="Arial"/>
                <w:b w:val="0"/>
                <w:noProof/>
                <w:webHidden/>
                <w:sz w:val="20"/>
                <w:szCs w:val="20"/>
              </w:rPr>
              <w:fldChar w:fldCharType="end"/>
            </w:r>
          </w:hyperlink>
        </w:p>
        <w:p w14:paraId="0426BB27" w14:textId="172523DF"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0" w:history="1">
            <w:r w:rsidR="00333CFD" w:rsidRPr="00333CFD">
              <w:rPr>
                <w:rStyle w:val="Hyperlink"/>
                <w:rFonts w:ascii="Arial" w:hAnsi="Arial" w:cs="Arial"/>
                <w:b w:val="0"/>
                <w:noProof/>
                <w:sz w:val="20"/>
                <w:szCs w:val="20"/>
              </w:rPr>
              <w:t>1.4 DEFENCE</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_Toc52803110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3</w:t>
            </w:r>
            <w:r w:rsidR="00333CFD" w:rsidRPr="00333CFD">
              <w:rPr>
                <w:rFonts w:ascii="Arial" w:hAnsi="Arial" w:cs="Arial"/>
                <w:b w:val="0"/>
                <w:noProof/>
                <w:webHidden/>
                <w:sz w:val="20"/>
                <w:szCs w:val="20"/>
              </w:rPr>
              <w:fldChar w:fldCharType="end"/>
            </w:r>
          </w:hyperlink>
        </w:p>
        <w:p w14:paraId="5CE67925" w14:textId="06DDF244"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1" w:history="1">
            <w:r w:rsidR="00333CFD" w:rsidRPr="00333CFD">
              <w:rPr>
                <w:rStyle w:val="Hyperlink"/>
                <w:rFonts w:ascii="Arial" w:hAnsi="Arial" w:cs="Arial"/>
                <w:b w:val="0"/>
                <w:noProof/>
                <w:sz w:val="20"/>
                <w:szCs w:val="20"/>
              </w:rPr>
              <w:t>1.5 MARITIME COOPERATION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_Toc52803111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3</w:t>
            </w:r>
            <w:r w:rsidR="00333CFD" w:rsidRPr="00333CFD">
              <w:rPr>
                <w:rFonts w:ascii="Arial" w:hAnsi="Arial" w:cs="Arial"/>
                <w:b w:val="0"/>
                <w:noProof/>
                <w:webHidden/>
                <w:sz w:val="20"/>
                <w:szCs w:val="20"/>
              </w:rPr>
              <w:fldChar w:fldCharType="end"/>
            </w:r>
          </w:hyperlink>
        </w:p>
        <w:p w14:paraId="10C26034" w14:textId="0BA3BC6D"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2" w:history="1">
            <w:r w:rsidR="00333CFD" w:rsidRPr="00333CFD">
              <w:rPr>
                <w:rStyle w:val="Hyperlink"/>
                <w:rFonts w:ascii="Arial" w:hAnsi="Arial" w:cs="Arial"/>
                <w:b w:val="0"/>
                <w:noProof/>
                <w:sz w:val="20"/>
                <w:szCs w:val="20"/>
              </w:rPr>
              <w:t>1.6 NON-TRADITIONAL SECURITY</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_Toc52803112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3</w:t>
            </w:r>
            <w:r w:rsidR="00333CFD" w:rsidRPr="00333CFD">
              <w:rPr>
                <w:rFonts w:ascii="Arial" w:hAnsi="Arial" w:cs="Arial"/>
                <w:b w:val="0"/>
                <w:noProof/>
                <w:webHidden/>
                <w:sz w:val="20"/>
                <w:szCs w:val="20"/>
              </w:rPr>
              <w:fldChar w:fldCharType="end"/>
            </w:r>
          </w:hyperlink>
        </w:p>
        <w:p w14:paraId="0BF1639D" w14:textId="23804B09"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3" w:history="1">
            <w:r w:rsidR="00333CFD" w:rsidRPr="00333CFD">
              <w:rPr>
                <w:rStyle w:val="Hyperlink"/>
                <w:rFonts w:ascii="Arial" w:hAnsi="Arial" w:cs="Arial"/>
                <w:b w:val="0"/>
                <w:noProof/>
                <w:sz w:val="20"/>
                <w:szCs w:val="20"/>
              </w:rPr>
              <w:t>1.7 GOOD GOVERNANCE AND HUMAN RIGHTS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_Toc52803113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4</w:t>
            </w:r>
            <w:r w:rsidR="00333CFD" w:rsidRPr="00333CFD">
              <w:rPr>
                <w:rFonts w:ascii="Arial" w:hAnsi="Arial" w:cs="Arial"/>
                <w:b w:val="0"/>
                <w:noProof/>
                <w:webHidden/>
                <w:sz w:val="20"/>
                <w:szCs w:val="20"/>
              </w:rPr>
              <w:fldChar w:fldCharType="end"/>
            </w:r>
          </w:hyperlink>
        </w:p>
        <w:p w14:paraId="468744C4" w14:textId="0BCB5CE8"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14" w:history="1">
            <w:r w:rsidR="00333CFD" w:rsidRPr="00333CFD">
              <w:rPr>
                <w:rStyle w:val="Hyperlink"/>
                <w:rFonts w:ascii="Arial" w:hAnsi="Arial" w:cs="Arial"/>
                <w:b w:val="0"/>
                <w:i w:val="0"/>
                <w:noProof/>
                <w:sz w:val="20"/>
                <w:szCs w:val="20"/>
              </w:rPr>
              <w:t>2. ECONOMIC COOPERATION</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_Toc52803114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4</w:t>
            </w:r>
            <w:r w:rsidR="00333CFD" w:rsidRPr="00333CFD">
              <w:rPr>
                <w:rFonts w:ascii="Arial" w:hAnsi="Arial" w:cs="Arial"/>
                <w:b w:val="0"/>
                <w:i w:val="0"/>
                <w:noProof/>
                <w:webHidden/>
                <w:sz w:val="20"/>
                <w:szCs w:val="20"/>
              </w:rPr>
              <w:fldChar w:fldCharType="end"/>
            </w:r>
          </w:hyperlink>
        </w:p>
        <w:p w14:paraId="4E65FF06" w14:textId="13B7F272"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5" w:history="1">
            <w:r w:rsidR="00333CFD" w:rsidRPr="00333CFD">
              <w:rPr>
                <w:rStyle w:val="Hyperlink"/>
                <w:rFonts w:ascii="Arial" w:hAnsi="Arial" w:cs="Arial"/>
                <w:b w:val="0"/>
                <w:noProof/>
                <w:sz w:val="20"/>
                <w:szCs w:val="20"/>
              </w:rPr>
              <w:t>2.1 TRADE AND INVESTMENT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_Toc52803115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4</w:t>
            </w:r>
            <w:r w:rsidR="00333CFD" w:rsidRPr="00333CFD">
              <w:rPr>
                <w:rFonts w:ascii="Arial" w:hAnsi="Arial" w:cs="Arial"/>
                <w:b w:val="0"/>
                <w:noProof/>
                <w:webHidden/>
                <w:sz w:val="20"/>
                <w:szCs w:val="20"/>
              </w:rPr>
              <w:fldChar w:fldCharType="end"/>
            </w:r>
          </w:hyperlink>
        </w:p>
        <w:p w14:paraId="39F571A1" w14:textId="12DCC1CE"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6" w:history="1">
            <w:r w:rsidR="00333CFD" w:rsidRPr="00333CFD">
              <w:rPr>
                <w:rStyle w:val="Hyperlink"/>
                <w:rFonts w:ascii="Arial" w:hAnsi="Arial" w:cs="Arial"/>
                <w:b w:val="0"/>
                <w:noProof/>
                <w:sz w:val="20"/>
                <w:szCs w:val="20"/>
              </w:rPr>
              <w:t>2.2 FINANCE</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_Toc52803116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5</w:t>
            </w:r>
            <w:r w:rsidR="00333CFD" w:rsidRPr="00333CFD">
              <w:rPr>
                <w:rFonts w:ascii="Arial" w:hAnsi="Arial" w:cs="Arial"/>
                <w:b w:val="0"/>
                <w:noProof/>
                <w:webHidden/>
                <w:sz w:val="20"/>
                <w:szCs w:val="20"/>
              </w:rPr>
              <w:fldChar w:fldCharType="end"/>
            </w:r>
          </w:hyperlink>
        </w:p>
        <w:p w14:paraId="18150F46" w14:textId="3A03ACC4"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7" w:history="1">
            <w:r w:rsidR="00333CFD" w:rsidRPr="00333CFD">
              <w:rPr>
                <w:rStyle w:val="Hyperlink"/>
                <w:rFonts w:ascii="Arial" w:hAnsi="Arial" w:cs="Arial"/>
                <w:b w:val="0"/>
                <w:noProof/>
                <w:sz w:val="20"/>
                <w:szCs w:val="20"/>
              </w:rPr>
              <w:t>2.3 CUSTOMS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_Toc52803117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5</w:t>
            </w:r>
            <w:r w:rsidR="00333CFD" w:rsidRPr="00333CFD">
              <w:rPr>
                <w:rFonts w:ascii="Arial" w:hAnsi="Arial" w:cs="Arial"/>
                <w:b w:val="0"/>
                <w:noProof/>
                <w:webHidden/>
                <w:sz w:val="20"/>
                <w:szCs w:val="20"/>
              </w:rPr>
              <w:fldChar w:fldCharType="end"/>
            </w:r>
          </w:hyperlink>
        </w:p>
        <w:p w14:paraId="7AF7A57A" w14:textId="3A07A622"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8" w:history="1">
            <w:r w:rsidR="00333CFD" w:rsidRPr="00333CFD">
              <w:rPr>
                <w:rStyle w:val="Hyperlink"/>
                <w:rFonts w:ascii="Arial" w:hAnsi="Arial" w:cs="Arial"/>
                <w:b w:val="0"/>
                <w:noProof/>
                <w:sz w:val="20"/>
                <w:szCs w:val="20"/>
              </w:rPr>
              <w:t>2.4 MICRO, SMALL, AND MEDIUM ENTERPRISES (MSMES)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_Toc52803118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5</w:t>
            </w:r>
            <w:r w:rsidR="00333CFD" w:rsidRPr="00333CFD">
              <w:rPr>
                <w:rFonts w:ascii="Arial" w:hAnsi="Arial" w:cs="Arial"/>
                <w:b w:val="0"/>
                <w:noProof/>
                <w:webHidden/>
                <w:sz w:val="20"/>
                <w:szCs w:val="20"/>
              </w:rPr>
              <w:fldChar w:fldCharType="end"/>
            </w:r>
          </w:hyperlink>
        </w:p>
        <w:p w14:paraId="09942A3E" w14:textId="527D3267"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19" w:history="1">
            <w:r w:rsidR="00333CFD" w:rsidRPr="00333CFD">
              <w:rPr>
                <w:rStyle w:val="Hyperlink"/>
                <w:rFonts w:ascii="Arial" w:hAnsi="Arial" w:cs="Arial"/>
                <w:b w:val="0"/>
                <w:noProof/>
                <w:sz w:val="20"/>
                <w:szCs w:val="20"/>
              </w:rPr>
              <w:t>2.5 ENERGY</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_Toc52803119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6</w:t>
            </w:r>
            <w:r w:rsidR="00333CFD" w:rsidRPr="00333CFD">
              <w:rPr>
                <w:rFonts w:ascii="Arial" w:hAnsi="Arial" w:cs="Arial"/>
                <w:b w:val="0"/>
                <w:noProof/>
                <w:webHidden/>
                <w:sz w:val="20"/>
                <w:szCs w:val="20"/>
              </w:rPr>
              <w:fldChar w:fldCharType="end"/>
            </w:r>
          </w:hyperlink>
        </w:p>
        <w:p w14:paraId="142535D0" w14:textId="28038145"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0" w:history="1">
            <w:r w:rsidR="00333CFD" w:rsidRPr="00333CFD">
              <w:rPr>
                <w:rStyle w:val="Hyperlink"/>
                <w:rFonts w:ascii="Arial" w:hAnsi="Arial" w:cs="Arial"/>
                <w:b w:val="0"/>
                <w:noProof/>
                <w:sz w:val="20"/>
                <w:szCs w:val="20"/>
              </w:rPr>
              <w:t>2.6 INFRASTRUCTURE</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_Toc52803120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6</w:t>
            </w:r>
            <w:r w:rsidR="00333CFD" w:rsidRPr="00333CFD">
              <w:rPr>
                <w:rFonts w:ascii="Arial" w:hAnsi="Arial" w:cs="Arial"/>
                <w:b w:val="0"/>
                <w:noProof/>
                <w:webHidden/>
                <w:sz w:val="20"/>
                <w:szCs w:val="20"/>
              </w:rPr>
              <w:fldChar w:fldCharType="end"/>
            </w:r>
          </w:hyperlink>
        </w:p>
        <w:p w14:paraId="728E2342" w14:textId="29830477"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1" w:history="1">
            <w:r w:rsidR="00333CFD" w:rsidRPr="00333CFD">
              <w:rPr>
                <w:rStyle w:val="Hyperlink"/>
                <w:rFonts w:ascii="Arial" w:hAnsi="Arial" w:cs="Arial"/>
                <w:b w:val="0"/>
                <w:noProof/>
                <w:sz w:val="20"/>
                <w:szCs w:val="20"/>
              </w:rPr>
              <w:t>2.7 TRANSPORT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_Toc52803121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6</w:t>
            </w:r>
            <w:r w:rsidR="00333CFD" w:rsidRPr="00333CFD">
              <w:rPr>
                <w:rFonts w:ascii="Arial" w:hAnsi="Arial" w:cs="Arial"/>
                <w:b w:val="0"/>
                <w:noProof/>
                <w:webHidden/>
                <w:sz w:val="20"/>
                <w:szCs w:val="20"/>
              </w:rPr>
              <w:fldChar w:fldCharType="end"/>
            </w:r>
          </w:hyperlink>
        </w:p>
        <w:p w14:paraId="51EB8BBE" w14:textId="224F1F40"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2" w:history="1">
            <w:r w:rsidR="00333CFD" w:rsidRPr="00333CFD">
              <w:rPr>
                <w:rStyle w:val="Hyperlink"/>
                <w:rFonts w:ascii="Arial" w:hAnsi="Arial" w:cs="Arial"/>
                <w:b w:val="0"/>
                <w:noProof/>
                <w:sz w:val="20"/>
                <w:szCs w:val="20"/>
              </w:rPr>
              <w:t>2.8 FOOD, AGRICULTURE, AND FORESTRY</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_Toc52803122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7</w:t>
            </w:r>
            <w:r w:rsidR="00333CFD" w:rsidRPr="00333CFD">
              <w:rPr>
                <w:rFonts w:ascii="Arial" w:hAnsi="Arial" w:cs="Arial"/>
                <w:b w:val="0"/>
                <w:noProof/>
                <w:webHidden/>
                <w:sz w:val="20"/>
                <w:szCs w:val="20"/>
              </w:rPr>
              <w:fldChar w:fldCharType="end"/>
            </w:r>
          </w:hyperlink>
        </w:p>
        <w:p w14:paraId="545CE019" w14:textId="506EA1CE"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3" w:history="1">
            <w:r w:rsidR="00333CFD" w:rsidRPr="00333CFD">
              <w:rPr>
                <w:rStyle w:val="Hyperlink"/>
                <w:rFonts w:ascii="Arial" w:hAnsi="Arial" w:cs="Arial"/>
                <w:b w:val="0"/>
                <w:noProof/>
                <w:sz w:val="20"/>
                <w:szCs w:val="20"/>
              </w:rPr>
              <w:t>2.9 INFORMATION AND COMMUNICATION TECHNOLOGY (ICT)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_Toc52803123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7</w:t>
            </w:r>
            <w:r w:rsidR="00333CFD" w:rsidRPr="00333CFD">
              <w:rPr>
                <w:rFonts w:ascii="Arial" w:hAnsi="Arial" w:cs="Arial"/>
                <w:b w:val="0"/>
                <w:noProof/>
                <w:webHidden/>
                <w:sz w:val="20"/>
                <w:szCs w:val="20"/>
              </w:rPr>
              <w:fldChar w:fldCharType="end"/>
            </w:r>
          </w:hyperlink>
        </w:p>
        <w:p w14:paraId="0A0E0464" w14:textId="5D43CD20"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24" w:history="1">
            <w:r w:rsidR="00333CFD" w:rsidRPr="00333CFD">
              <w:rPr>
                <w:rStyle w:val="Hyperlink"/>
                <w:rFonts w:ascii="Arial" w:hAnsi="Arial" w:cs="Arial"/>
                <w:b w:val="0"/>
                <w:noProof/>
                <w:sz w:val="20"/>
                <w:szCs w:val="20"/>
              </w:rPr>
              <w:t>2.10 TOURISM</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_Toc52803124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8</w:t>
            </w:r>
            <w:r w:rsidR="00333CFD" w:rsidRPr="00333CFD">
              <w:rPr>
                <w:rFonts w:ascii="Arial" w:hAnsi="Arial" w:cs="Arial"/>
                <w:b w:val="0"/>
                <w:noProof/>
                <w:webHidden/>
                <w:sz w:val="20"/>
                <w:szCs w:val="20"/>
              </w:rPr>
              <w:fldChar w:fldCharType="end"/>
            </w:r>
          </w:hyperlink>
        </w:p>
        <w:p w14:paraId="56CB139E" w14:textId="0D2128CF"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25" w:history="1">
            <w:r w:rsidR="00333CFD" w:rsidRPr="00333CFD">
              <w:rPr>
                <w:rStyle w:val="Hyperlink"/>
                <w:rFonts w:ascii="Arial" w:hAnsi="Arial" w:cs="Arial"/>
                <w:b w:val="0"/>
                <w:noProof/>
                <w:sz w:val="20"/>
                <w:szCs w:val="20"/>
              </w:rPr>
              <w:t>2.11 SCIENCE, TECHNOLOGY AND INNOVATION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_Toc52803125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8</w:t>
            </w:r>
            <w:r w:rsidR="00333CFD" w:rsidRPr="00333CFD">
              <w:rPr>
                <w:rFonts w:ascii="Arial" w:hAnsi="Arial" w:cs="Arial"/>
                <w:b w:val="0"/>
                <w:noProof/>
                <w:webHidden/>
                <w:sz w:val="20"/>
                <w:szCs w:val="20"/>
              </w:rPr>
              <w:fldChar w:fldCharType="end"/>
            </w:r>
          </w:hyperlink>
        </w:p>
        <w:p w14:paraId="47BC8371" w14:textId="4C273B0E"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26" w:history="1">
            <w:r w:rsidR="00333CFD" w:rsidRPr="00333CFD">
              <w:rPr>
                <w:rStyle w:val="Hyperlink"/>
                <w:rFonts w:ascii="Arial" w:hAnsi="Arial" w:cs="Arial"/>
                <w:b w:val="0"/>
                <w:noProof/>
                <w:sz w:val="20"/>
                <w:szCs w:val="20"/>
              </w:rPr>
              <w:t>2.12 INTELLECTUAL PROPERTY (IP)</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_Toc52803126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8</w:t>
            </w:r>
            <w:r w:rsidR="00333CFD" w:rsidRPr="00333CFD">
              <w:rPr>
                <w:rFonts w:ascii="Arial" w:hAnsi="Arial" w:cs="Arial"/>
                <w:b w:val="0"/>
                <w:noProof/>
                <w:webHidden/>
                <w:sz w:val="20"/>
                <w:szCs w:val="20"/>
              </w:rPr>
              <w:fldChar w:fldCharType="end"/>
            </w:r>
          </w:hyperlink>
        </w:p>
        <w:p w14:paraId="260B673C" w14:textId="18116839"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27" w:history="1">
            <w:r w:rsidR="00333CFD" w:rsidRPr="00333CFD">
              <w:rPr>
                <w:rStyle w:val="Hyperlink"/>
                <w:rFonts w:ascii="Arial" w:hAnsi="Arial" w:cs="Arial"/>
                <w:b w:val="0"/>
                <w:i w:val="0"/>
                <w:noProof/>
                <w:sz w:val="20"/>
                <w:szCs w:val="20"/>
              </w:rPr>
              <w:t>3. SOCIO-CULTURAL COOPERATION</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_Toc52803127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9</w:t>
            </w:r>
            <w:r w:rsidR="00333CFD" w:rsidRPr="00333CFD">
              <w:rPr>
                <w:rFonts w:ascii="Arial" w:hAnsi="Arial" w:cs="Arial"/>
                <w:b w:val="0"/>
                <w:i w:val="0"/>
                <w:noProof/>
                <w:webHidden/>
                <w:sz w:val="20"/>
                <w:szCs w:val="20"/>
              </w:rPr>
              <w:fldChar w:fldCharType="end"/>
            </w:r>
          </w:hyperlink>
        </w:p>
        <w:p w14:paraId="1E8432D4" w14:textId="6ED807E7"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8" w:history="1">
            <w:r w:rsidR="00333CFD" w:rsidRPr="00333CFD">
              <w:rPr>
                <w:rStyle w:val="Hyperlink"/>
                <w:rFonts w:ascii="Arial" w:hAnsi="Arial" w:cs="Arial"/>
                <w:b w:val="0"/>
                <w:noProof/>
                <w:sz w:val="20"/>
                <w:szCs w:val="20"/>
              </w:rPr>
              <w:t>3.1 DISASTER MANAGEMENT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_Toc52803128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9</w:t>
            </w:r>
            <w:r w:rsidR="00333CFD" w:rsidRPr="00333CFD">
              <w:rPr>
                <w:rFonts w:ascii="Arial" w:hAnsi="Arial" w:cs="Arial"/>
                <w:b w:val="0"/>
                <w:noProof/>
                <w:webHidden/>
                <w:sz w:val="20"/>
                <w:szCs w:val="20"/>
              </w:rPr>
              <w:fldChar w:fldCharType="end"/>
            </w:r>
          </w:hyperlink>
        </w:p>
        <w:p w14:paraId="509EB42C" w14:textId="4A669E56"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29" w:history="1">
            <w:r w:rsidR="00333CFD" w:rsidRPr="00333CFD">
              <w:rPr>
                <w:rStyle w:val="Hyperlink"/>
                <w:rFonts w:ascii="Arial" w:hAnsi="Arial" w:cs="Arial"/>
                <w:b w:val="0"/>
                <w:noProof/>
                <w:sz w:val="20"/>
                <w:szCs w:val="20"/>
              </w:rPr>
              <w:t>3.2</w:t>
            </w:r>
            <w:r w:rsidR="00333CFD">
              <w:rPr>
                <w:rStyle w:val="Hyperlink"/>
                <w:rFonts w:ascii="Arial" w:hAnsi="Arial" w:cs="Arial"/>
                <w:b w:val="0"/>
                <w:noProof/>
                <w:sz w:val="20"/>
                <w:szCs w:val="20"/>
              </w:rPr>
              <w:t xml:space="preserve"> </w:t>
            </w:r>
            <w:r w:rsidR="00333CFD" w:rsidRPr="00333CFD">
              <w:rPr>
                <w:rStyle w:val="Hyperlink"/>
                <w:rFonts w:ascii="Arial" w:hAnsi="Arial" w:cs="Arial"/>
                <w:b w:val="0"/>
                <w:noProof/>
                <w:sz w:val="20"/>
                <w:szCs w:val="20"/>
              </w:rPr>
              <w:t>ENVIRONMENT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_Toc52803129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9</w:t>
            </w:r>
            <w:r w:rsidR="00333CFD" w:rsidRPr="00333CFD">
              <w:rPr>
                <w:rFonts w:ascii="Arial" w:hAnsi="Arial" w:cs="Arial"/>
                <w:b w:val="0"/>
                <w:noProof/>
                <w:webHidden/>
                <w:sz w:val="20"/>
                <w:szCs w:val="20"/>
              </w:rPr>
              <w:fldChar w:fldCharType="end"/>
            </w:r>
          </w:hyperlink>
        </w:p>
        <w:p w14:paraId="7372EEEC" w14:textId="5DD52720"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0" w:history="1">
            <w:r w:rsidR="00333CFD" w:rsidRPr="00333CFD">
              <w:rPr>
                <w:rStyle w:val="Hyperlink"/>
                <w:rFonts w:ascii="Arial" w:hAnsi="Arial" w:cs="Arial"/>
                <w:b w:val="0"/>
                <w:noProof/>
                <w:sz w:val="20"/>
                <w:szCs w:val="20"/>
              </w:rPr>
              <w:t>3.3 HEALTH</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_Toc52803130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10</w:t>
            </w:r>
            <w:r w:rsidR="00333CFD" w:rsidRPr="00333CFD">
              <w:rPr>
                <w:rFonts w:ascii="Arial" w:hAnsi="Arial" w:cs="Arial"/>
                <w:b w:val="0"/>
                <w:noProof/>
                <w:webHidden/>
                <w:sz w:val="20"/>
                <w:szCs w:val="20"/>
              </w:rPr>
              <w:fldChar w:fldCharType="end"/>
            </w:r>
          </w:hyperlink>
        </w:p>
        <w:p w14:paraId="1B44C601" w14:textId="554AE751"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1" w:history="1">
            <w:r w:rsidR="00333CFD" w:rsidRPr="00333CFD">
              <w:rPr>
                <w:rStyle w:val="Hyperlink"/>
                <w:rFonts w:ascii="Arial" w:hAnsi="Arial" w:cs="Arial"/>
                <w:b w:val="0"/>
                <w:noProof/>
                <w:sz w:val="20"/>
                <w:szCs w:val="20"/>
              </w:rPr>
              <w:t>3.4 EDUCATION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_Toc52803131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10</w:t>
            </w:r>
            <w:r w:rsidR="00333CFD" w:rsidRPr="00333CFD">
              <w:rPr>
                <w:rFonts w:ascii="Arial" w:hAnsi="Arial" w:cs="Arial"/>
                <w:b w:val="0"/>
                <w:noProof/>
                <w:webHidden/>
                <w:sz w:val="20"/>
                <w:szCs w:val="20"/>
              </w:rPr>
              <w:fldChar w:fldCharType="end"/>
            </w:r>
          </w:hyperlink>
        </w:p>
        <w:p w14:paraId="386CC7FD" w14:textId="3598EF75"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2" w:history="1">
            <w:r w:rsidR="00333CFD" w:rsidRPr="00333CFD">
              <w:rPr>
                <w:rStyle w:val="Hyperlink"/>
                <w:rFonts w:ascii="Arial" w:hAnsi="Arial" w:cs="Arial"/>
                <w:b w:val="0"/>
                <w:noProof/>
                <w:sz w:val="20"/>
                <w:szCs w:val="20"/>
              </w:rPr>
              <w:t>3.5 INFORMATION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_Toc52803132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10</w:t>
            </w:r>
            <w:r w:rsidR="00333CFD" w:rsidRPr="00333CFD">
              <w:rPr>
                <w:rFonts w:ascii="Arial" w:hAnsi="Arial" w:cs="Arial"/>
                <w:b w:val="0"/>
                <w:noProof/>
                <w:webHidden/>
                <w:sz w:val="20"/>
                <w:szCs w:val="20"/>
              </w:rPr>
              <w:fldChar w:fldCharType="end"/>
            </w:r>
          </w:hyperlink>
        </w:p>
        <w:p w14:paraId="40411485" w14:textId="47273DF6"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3" w:history="1">
            <w:r w:rsidR="00333CFD" w:rsidRPr="00333CFD">
              <w:rPr>
                <w:rStyle w:val="Hyperlink"/>
                <w:rFonts w:ascii="Arial" w:hAnsi="Arial" w:cs="Arial"/>
                <w:b w:val="0"/>
                <w:noProof/>
                <w:sz w:val="20"/>
                <w:szCs w:val="20"/>
              </w:rPr>
              <w:t>3.6 CULTURE AND ARTS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_Toc52803133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11</w:t>
            </w:r>
            <w:r w:rsidR="00333CFD" w:rsidRPr="00333CFD">
              <w:rPr>
                <w:rFonts w:ascii="Arial" w:hAnsi="Arial" w:cs="Arial"/>
                <w:b w:val="0"/>
                <w:noProof/>
                <w:webHidden/>
                <w:sz w:val="20"/>
                <w:szCs w:val="20"/>
              </w:rPr>
              <w:fldChar w:fldCharType="end"/>
            </w:r>
          </w:hyperlink>
        </w:p>
        <w:p w14:paraId="1BBD0377" w14:textId="4780D3C5"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4" w:history="1">
            <w:r w:rsidR="00333CFD" w:rsidRPr="00333CFD">
              <w:rPr>
                <w:rStyle w:val="Hyperlink"/>
                <w:rFonts w:ascii="Arial" w:hAnsi="Arial" w:cs="Arial"/>
                <w:b w:val="0"/>
                <w:noProof/>
                <w:sz w:val="20"/>
                <w:szCs w:val="20"/>
              </w:rPr>
              <w:t>3.7 YOUTH AND PEOPLE-TO-PEOPLE EXCHANGE</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_Toc52803134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11</w:t>
            </w:r>
            <w:r w:rsidR="00333CFD" w:rsidRPr="00333CFD">
              <w:rPr>
                <w:rFonts w:ascii="Arial" w:hAnsi="Arial" w:cs="Arial"/>
                <w:b w:val="0"/>
                <w:noProof/>
                <w:webHidden/>
                <w:sz w:val="20"/>
                <w:szCs w:val="20"/>
              </w:rPr>
              <w:fldChar w:fldCharType="end"/>
            </w:r>
          </w:hyperlink>
        </w:p>
        <w:p w14:paraId="3D3ABB35" w14:textId="3448F865"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5" w:history="1">
            <w:r w:rsidR="00333CFD" w:rsidRPr="00333CFD">
              <w:rPr>
                <w:rStyle w:val="Hyperlink"/>
                <w:rFonts w:ascii="Arial" w:hAnsi="Arial" w:cs="Arial"/>
                <w:b w:val="0"/>
                <w:noProof/>
                <w:sz w:val="20"/>
                <w:szCs w:val="20"/>
              </w:rPr>
              <w:t>3.8 SPORTS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_Toc52803135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12</w:t>
            </w:r>
            <w:r w:rsidR="00333CFD" w:rsidRPr="00333CFD">
              <w:rPr>
                <w:rFonts w:ascii="Arial" w:hAnsi="Arial" w:cs="Arial"/>
                <w:b w:val="0"/>
                <w:noProof/>
                <w:webHidden/>
                <w:sz w:val="20"/>
                <w:szCs w:val="20"/>
              </w:rPr>
              <w:fldChar w:fldCharType="end"/>
            </w:r>
          </w:hyperlink>
        </w:p>
        <w:p w14:paraId="112CA4F7" w14:textId="6E6E0DA2"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36" w:history="1">
            <w:r w:rsidR="00333CFD" w:rsidRPr="00333CFD">
              <w:rPr>
                <w:rStyle w:val="Hyperlink"/>
                <w:rFonts w:ascii="Arial" w:hAnsi="Arial" w:cs="Arial"/>
                <w:b w:val="0"/>
                <w:noProof/>
                <w:sz w:val="20"/>
                <w:szCs w:val="20"/>
              </w:rPr>
              <w:t>3.9 CIVIL SERVICE MATTERS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_Toc52803136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12</w:t>
            </w:r>
            <w:r w:rsidR="00333CFD" w:rsidRPr="00333CFD">
              <w:rPr>
                <w:rFonts w:ascii="Arial" w:hAnsi="Arial" w:cs="Arial"/>
                <w:b w:val="0"/>
                <w:noProof/>
                <w:webHidden/>
                <w:sz w:val="20"/>
                <w:szCs w:val="20"/>
              </w:rPr>
              <w:fldChar w:fldCharType="end"/>
            </w:r>
          </w:hyperlink>
        </w:p>
        <w:p w14:paraId="78C160DB" w14:textId="0F0E02FB"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37" w:history="1">
            <w:r w:rsidR="00333CFD" w:rsidRPr="00333CFD">
              <w:rPr>
                <w:rStyle w:val="Hyperlink"/>
                <w:rFonts w:ascii="Arial" w:hAnsi="Arial" w:cs="Arial"/>
                <w:b w:val="0"/>
                <w:noProof/>
                <w:sz w:val="20"/>
                <w:szCs w:val="20"/>
              </w:rPr>
              <w:t>3.10 LABOUR AND MIGRANT WORKERS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_Toc52803137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12</w:t>
            </w:r>
            <w:r w:rsidR="00333CFD" w:rsidRPr="00333CFD">
              <w:rPr>
                <w:rFonts w:ascii="Arial" w:hAnsi="Arial" w:cs="Arial"/>
                <w:b w:val="0"/>
                <w:noProof/>
                <w:webHidden/>
                <w:sz w:val="20"/>
                <w:szCs w:val="20"/>
              </w:rPr>
              <w:fldChar w:fldCharType="end"/>
            </w:r>
          </w:hyperlink>
        </w:p>
        <w:p w14:paraId="2DADBC8D" w14:textId="279505DE"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38" w:history="1">
            <w:r w:rsidR="00333CFD" w:rsidRPr="00333CFD">
              <w:rPr>
                <w:rStyle w:val="Hyperlink"/>
                <w:rFonts w:ascii="Arial" w:hAnsi="Arial" w:cs="Arial"/>
                <w:b w:val="0"/>
                <w:noProof/>
                <w:sz w:val="20"/>
                <w:szCs w:val="20"/>
              </w:rPr>
              <w:t>3.11 SOCIAL WELFARE AND DEVELOPMENT</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_Toc52803138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13</w:t>
            </w:r>
            <w:r w:rsidR="00333CFD" w:rsidRPr="00333CFD">
              <w:rPr>
                <w:rFonts w:ascii="Arial" w:hAnsi="Arial" w:cs="Arial"/>
                <w:b w:val="0"/>
                <w:noProof/>
                <w:webHidden/>
                <w:sz w:val="20"/>
                <w:szCs w:val="20"/>
              </w:rPr>
              <w:fldChar w:fldCharType="end"/>
            </w:r>
          </w:hyperlink>
        </w:p>
        <w:p w14:paraId="7D2744F6" w14:textId="1B0ECF59" w:rsidR="00333CFD" w:rsidRPr="00333CFD" w:rsidRDefault="001A6E54">
          <w:pPr>
            <w:pStyle w:val="TOC2"/>
            <w:tabs>
              <w:tab w:val="left" w:pos="1200"/>
              <w:tab w:val="right" w:leader="dot" w:pos="9017"/>
            </w:tabs>
            <w:rPr>
              <w:rFonts w:ascii="Arial" w:eastAsiaTheme="minorEastAsia" w:hAnsi="Arial" w:cs="Arial"/>
              <w:b w:val="0"/>
              <w:bCs w:val="0"/>
              <w:caps/>
              <w:noProof/>
              <w:sz w:val="20"/>
              <w:szCs w:val="20"/>
              <w:lang w:val="en-SG" w:eastAsia="zh-CN"/>
            </w:rPr>
          </w:pPr>
          <w:hyperlink w:anchor="_Toc52803139" w:history="1">
            <w:r w:rsidR="00333CFD" w:rsidRPr="00333CFD">
              <w:rPr>
                <w:rStyle w:val="Hyperlink"/>
                <w:rFonts w:ascii="Arial" w:hAnsi="Arial" w:cs="Arial"/>
                <w:b w:val="0"/>
                <w:noProof/>
                <w:sz w:val="20"/>
                <w:szCs w:val="20"/>
              </w:rPr>
              <w:t>3.12 CULTURE OF PREVENTION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_Toc52803139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13</w:t>
            </w:r>
            <w:r w:rsidR="00333CFD" w:rsidRPr="00333CFD">
              <w:rPr>
                <w:rFonts w:ascii="Arial" w:hAnsi="Arial" w:cs="Arial"/>
                <w:b w:val="0"/>
                <w:noProof/>
                <w:webHidden/>
                <w:sz w:val="20"/>
                <w:szCs w:val="20"/>
              </w:rPr>
              <w:fldChar w:fldCharType="end"/>
            </w:r>
          </w:hyperlink>
        </w:p>
        <w:p w14:paraId="668D861A" w14:textId="22353791"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40" w:history="1">
            <w:r w:rsidR="00333CFD" w:rsidRPr="00333CFD">
              <w:rPr>
                <w:rStyle w:val="Hyperlink"/>
                <w:rFonts w:ascii="Arial" w:hAnsi="Arial" w:cs="Arial"/>
                <w:b w:val="0"/>
                <w:i w:val="0"/>
                <w:noProof/>
                <w:sz w:val="20"/>
                <w:szCs w:val="20"/>
              </w:rPr>
              <w:t>4. CROSS-SECTORAL COOPERATION</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_Toc52803140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13</w:t>
            </w:r>
            <w:r w:rsidR="00333CFD" w:rsidRPr="00333CFD">
              <w:rPr>
                <w:rFonts w:ascii="Arial" w:hAnsi="Arial" w:cs="Arial"/>
                <w:b w:val="0"/>
                <w:i w:val="0"/>
                <w:noProof/>
                <w:webHidden/>
                <w:sz w:val="20"/>
                <w:szCs w:val="20"/>
              </w:rPr>
              <w:fldChar w:fldCharType="end"/>
            </w:r>
          </w:hyperlink>
        </w:p>
        <w:p w14:paraId="5E5E93A5" w14:textId="6EA16BEC"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41" w:history="1">
            <w:r w:rsidR="00333CFD" w:rsidRPr="00333CFD">
              <w:rPr>
                <w:rStyle w:val="Hyperlink"/>
                <w:rFonts w:ascii="Arial" w:hAnsi="Arial" w:cs="Arial"/>
                <w:b w:val="0"/>
                <w:noProof/>
                <w:sz w:val="20"/>
                <w:szCs w:val="20"/>
              </w:rPr>
              <w:t>4.1 CONNECTIVITY</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_Toc52803141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13</w:t>
            </w:r>
            <w:r w:rsidR="00333CFD" w:rsidRPr="00333CFD">
              <w:rPr>
                <w:rFonts w:ascii="Arial" w:hAnsi="Arial" w:cs="Arial"/>
                <w:b w:val="0"/>
                <w:noProof/>
                <w:webHidden/>
                <w:sz w:val="20"/>
                <w:szCs w:val="20"/>
              </w:rPr>
              <w:fldChar w:fldCharType="end"/>
            </w:r>
          </w:hyperlink>
        </w:p>
        <w:p w14:paraId="6D5318F9" w14:textId="41B62A0E"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42" w:history="1">
            <w:r w:rsidR="00333CFD" w:rsidRPr="00333CFD">
              <w:rPr>
                <w:rStyle w:val="Hyperlink"/>
                <w:rFonts w:ascii="Arial" w:hAnsi="Arial" w:cs="Arial"/>
                <w:b w:val="0"/>
                <w:noProof/>
                <w:sz w:val="20"/>
                <w:szCs w:val="20"/>
              </w:rPr>
              <w:t>4.2 INITIATIVE FOR ASEAN INTEGRATION (IAI) AND NARROWING DEVELOPMENT GAP</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_Toc52803142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14</w:t>
            </w:r>
            <w:r w:rsidR="00333CFD" w:rsidRPr="00333CFD">
              <w:rPr>
                <w:rFonts w:ascii="Arial" w:hAnsi="Arial" w:cs="Arial"/>
                <w:b w:val="0"/>
                <w:noProof/>
                <w:webHidden/>
                <w:sz w:val="20"/>
                <w:szCs w:val="20"/>
              </w:rPr>
              <w:fldChar w:fldCharType="end"/>
            </w:r>
          </w:hyperlink>
        </w:p>
        <w:p w14:paraId="27F20836" w14:textId="04783587"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43" w:history="1">
            <w:r w:rsidR="00333CFD" w:rsidRPr="00333CFD">
              <w:rPr>
                <w:rStyle w:val="Hyperlink"/>
                <w:rFonts w:ascii="Arial" w:hAnsi="Arial" w:cs="Arial"/>
                <w:b w:val="0"/>
                <w:noProof/>
                <w:sz w:val="20"/>
                <w:szCs w:val="20"/>
              </w:rPr>
              <w:t>4.3 SMART CITIES</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_Toc52803143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14</w:t>
            </w:r>
            <w:r w:rsidR="00333CFD" w:rsidRPr="00333CFD">
              <w:rPr>
                <w:rFonts w:ascii="Arial" w:hAnsi="Arial" w:cs="Arial"/>
                <w:b w:val="0"/>
                <w:noProof/>
                <w:webHidden/>
                <w:sz w:val="20"/>
                <w:szCs w:val="20"/>
              </w:rPr>
              <w:fldChar w:fldCharType="end"/>
            </w:r>
          </w:hyperlink>
        </w:p>
        <w:p w14:paraId="0B31CDEC" w14:textId="12AA38BD" w:rsidR="00333CFD" w:rsidRPr="00333CFD" w:rsidRDefault="001A6E54">
          <w:pPr>
            <w:pStyle w:val="TOC2"/>
            <w:tabs>
              <w:tab w:val="left" w:pos="960"/>
              <w:tab w:val="right" w:leader="dot" w:pos="9017"/>
            </w:tabs>
            <w:rPr>
              <w:rFonts w:ascii="Arial" w:eastAsiaTheme="minorEastAsia" w:hAnsi="Arial" w:cs="Arial"/>
              <w:b w:val="0"/>
              <w:bCs w:val="0"/>
              <w:caps/>
              <w:noProof/>
              <w:sz w:val="20"/>
              <w:szCs w:val="20"/>
              <w:lang w:val="en-SG" w:eastAsia="zh-CN"/>
            </w:rPr>
          </w:pPr>
          <w:hyperlink w:anchor="_Toc52803144" w:history="1">
            <w:r w:rsidR="00333CFD" w:rsidRPr="00333CFD">
              <w:rPr>
                <w:rStyle w:val="Hyperlink"/>
                <w:rFonts w:ascii="Arial" w:hAnsi="Arial" w:cs="Arial"/>
                <w:b w:val="0"/>
                <w:noProof/>
                <w:sz w:val="20"/>
                <w:szCs w:val="20"/>
              </w:rPr>
              <w:t>4.4 SUB-REGIONAL COOPERATION</w:t>
            </w:r>
            <w:r w:rsidR="00333CFD" w:rsidRPr="00333CFD">
              <w:rPr>
                <w:rFonts w:ascii="Arial" w:hAnsi="Arial" w:cs="Arial"/>
                <w:b w:val="0"/>
                <w:noProof/>
                <w:webHidden/>
                <w:sz w:val="20"/>
                <w:szCs w:val="20"/>
              </w:rPr>
              <w:tab/>
            </w:r>
            <w:r w:rsidR="00333CFD" w:rsidRPr="00333CFD">
              <w:rPr>
                <w:rFonts w:ascii="Arial" w:hAnsi="Arial" w:cs="Arial"/>
                <w:b w:val="0"/>
                <w:noProof/>
                <w:webHidden/>
                <w:sz w:val="20"/>
                <w:szCs w:val="20"/>
              </w:rPr>
              <w:fldChar w:fldCharType="begin"/>
            </w:r>
            <w:r w:rsidR="00333CFD" w:rsidRPr="00333CFD">
              <w:rPr>
                <w:rFonts w:ascii="Arial" w:hAnsi="Arial" w:cs="Arial"/>
                <w:b w:val="0"/>
                <w:noProof/>
                <w:webHidden/>
                <w:sz w:val="20"/>
                <w:szCs w:val="20"/>
              </w:rPr>
              <w:instrText xml:space="preserve"> PAGEREF _Toc52803144 \h </w:instrText>
            </w:r>
            <w:r w:rsidR="00333CFD" w:rsidRPr="00333CFD">
              <w:rPr>
                <w:rFonts w:ascii="Arial" w:hAnsi="Arial" w:cs="Arial"/>
                <w:b w:val="0"/>
                <w:noProof/>
                <w:webHidden/>
                <w:sz w:val="20"/>
                <w:szCs w:val="20"/>
              </w:rPr>
            </w:r>
            <w:r w:rsidR="00333CFD" w:rsidRPr="00333CFD">
              <w:rPr>
                <w:rFonts w:ascii="Arial" w:hAnsi="Arial" w:cs="Arial"/>
                <w:b w:val="0"/>
                <w:noProof/>
                <w:webHidden/>
                <w:sz w:val="20"/>
                <w:szCs w:val="20"/>
              </w:rPr>
              <w:fldChar w:fldCharType="separate"/>
            </w:r>
            <w:r w:rsidR="00333CFD" w:rsidRPr="00333CFD">
              <w:rPr>
                <w:rFonts w:ascii="Arial" w:hAnsi="Arial" w:cs="Arial"/>
                <w:b w:val="0"/>
                <w:noProof/>
                <w:webHidden/>
                <w:sz w:val="20"/>
                <w:szCs w:val="20"/>
              </w:rPr>
              <w:t>14</w:t>
            </w:r>
            <w:r w:rsidR="00333CFD" w:rsidRPr="00333CFD">
              <w:rPr>
                <w:rFonts w:ascii="Arial" w:hAnsi="Arial" w:cs="Arial"/>
                <w:b w:val="0"/>
                <w:noProof/>
                <w:webHidden/>
                <w:sz w:val="20"/>
                <w:szCs w:val="20"/>
              </w:rPr>
              <w:fldChar w:fldCharType="end"/>
            </w:r>
          </w:hyperlink>
        </w:p>
        <w:p w14:paraId="10B58318" w14:textId="274F6315"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45" w:history="1">
            <w:r w:rsidR="00333CFD" w:rsidRPr="00333CFD">
              <w:rPr>
                <w:rStyle w:val="Hyperlink"/>
                <w:rFonts w:ascii="Arial" w:hAnsi="Arial" w:cs="Arial"/>
                <w:b w:val="0"/>
                <w:i w:val="0"/>
                <w:noProof/>
                <w:sz w:val="20"/>
                <w:szCs w:val="20"/>
              </w:rPr>
              <w:t>5. SUSTAINABLE DEVELOPMENT COOPERATION</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_Toc52803145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14</w:t>
            </w:r>
            <w:r w:rsidR="00333CFD" w:rsidRPr="00333CFD">
              <w:rPr>
                <w:rFonts w:ascii="Arial" w:hAnsi="Arial" w:cs="Arial"/>
                <w:b w:val="0"/>
                <w:i w:val="0"/>
                <w:noProof/>
                <w:webHidden/>
                <w:sz w:val="20"/>
                <w:szCs w:val="20"/>
              </w:rPr>
              <w:fldChar w:fldCharType="end"/>
            </w:r>
          </w:hyperlink>
        </w:p>
        <w:p w14:paraId="1E72F794" w14:textId="2B98EDDA"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46" w:history="1">
            <w:r w:rsidR="00333CFD" w:rsidRPr="00333CFD">
              <w:rPr>
                <w:rStyle w:val="Hyperlink"/>
                <w:rFonts w:ascii="Arial" w:hAnsi="Arial" w:cs="Arial"/>
                <w:b w:val="0"/>
                <w:i w:val="0"/>
                <w:noProof/>
                <w:sz w:val="20"/>
                <w:szCs w:val="20"/>
              </w:rPr>
              <w:t>6. STRENGTHENING ASEAN’S INSTITUTIONAL CAPACITY</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_Toc52803146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14</w:t>
            </w:r>
            <w:r w:rsidR="00333CFD" w:rsidRPr="00333CFD">
              <w:rPr>
                <w:rFonts w:ascii="Arial" w:hAnsi="Arial" w:cs="Arial"/>
                <w:b w:val="0"/>
                <w:i w:val="0"/>
                <w:noProof/>
                <w:webHidden/>
                <w:sz w:val="20"/>
                <w:szCs w:val="20"/>
              </w:rPr>
              <w:fldChar w:fldCharType="end"/>
            </w:r>
          </w:hyperlink>
        </w:p>
        <w:p w14:paraId="3B90A3A9" w14:textId="24E99A24" w:rsidR="00333CFD" w:rsidRPr="00333CFD" w:rsidRDefault="001A6E54">
          <w:pPr>
            <w:pStyle w:val="TOC1"/>
            <w:tabs>
              <w:tab w:val="left" w:pos="567"/>
              <w:tab w:val="right" w:leader="dot" w:pos="9017"/>
            </w:tabs>
            <w:rPr>
              <w:rFonts w:ascii="Arial" w:eastAsiaTheme="minorEastAsia" w:hAnsi="Arial" w:cs="Arial"/>
              <w:b w:val="0"/>
              <w:i w:val="0"/>
              <w:caps/>
              <w:noProof/>
              <w:sz w:val="20"/>
              <w:szCs w:val="20"/>
              <w:lang w:val="en-SG" w:eastAsia="zh-CN"/>
            </w:rPr>
          </w:pPr>
          <w:hyperlink w:anchor="_Toc52803147" w:history="1">
            <w:r w:rsidR="00333CFD" w:rsidRPr="00333CFD">
              <w:rPr>
                <w:rStyle w:val="Hyperlink"/>
                <w:rFonts w:ascii="Arial" w:hAnsi="Arial" w:cs="Arial"/>
                <w:b w:val="0"/>
                <w:i w:val="0"/>
                <w:noProof/>
                <w:sz w:val="20"/>
                <w:szCs w:val="20"/>
              </w:rPr>
              <w:t>7. IMPLEMENTATION ARRANGEMENTS</w:t>
            </w:r>
            <w:r w:rsidR="00333CFD" w:rsidRPr="00333CFD">
              <w:rPr>
                <w:rFonts w:ascii="Arial" w:hAnsi="Arial" w:cs="Arial"/>
                <w:b w:val="0"/>
                <w:i w:val="0"/>
                <w:noProof/>
                <w:webHidden/>
                <w:sz w:val="20"/>
                <w:szCs w:val="20"/>
              </w:rPr>
              <w:tab/>
            </w:r>
            <w:r w:rsidR="00333CFD" w:rsidRPr="00333CFD">
              <w:rPr>
                <w:rFonts w:ascii="Arial" w:hAnsi="Arial" w:cs="Arial"/>
                <w:b w:val="0"/>
                <w:i w:val="0"/>
                <w:noProof/>
                <w:webHidden/>
                <w:sz w:val="20"/>
                <w:szCs w:val="20"/>
              </w:rPr>
              <w:fldChar w:fldCharType="begin"/>
            </w:r>
            <w:r w:rsidR="00333CFD" w:rsidRPr="00333CFD">
              <w:rPr>
                <w:rFonts w:ascii="Arial" w:hAnsi="Arial" w:cs="Arial"/>
                <w:b w:val="0"/>
                <w:i w:val="0"/>
                <w:noProof/>
                <w:webHidden/>
                <w:sz w:val="20"/>
                <w:szCs w:val="20"/>
              </w:rPr>
              <w:instrText xml:space="preserve"> PAGEREF _Toc52803147 \h </w:instrText>
            </w:r>
            <w:r w:rsidR="00333CFD" w:rsidRPr="00333CFD">
              <w:rPr>
                <w:rFonts w:ascii="Arial" w:hAnsi="Arial" w:cs="Arial"/>
                <w:b w:val="0"/>
                <w:i w:val="0"/>
                <w:noProof/>
                <w:webHidden/>
                <w:sz w:val="20"/>
                <w:szCs w:val="20"/>
              </w:rPr>
            </w:r>
            <w:r w:rsidR="00333CFD" w:rsidRPr="00333CFD">
              <w:rPr>
                <w:rFonts w:ascii="Arial" w:hAnsi="Arial" w:cs="Arial"/>
                <w:b w:val="0"/>
                <w:i w:val="0"/>
                <w:noProof/>
                <w:webHidden/>
                <w:sz w:val="20"/>
                <w:szCs w:val="20"/>
              </w:rPr>
              <w:fldChar w:fldCharType="separate"/>
            </w:r>
            <w:r w:rsidR="00333CFD" w:rsidRPr="00333CFD">
              <w:rPr>
                <w:rFonts w:ascii="Arial" w:hAnsi="Arial" w:cs="Arial"/>
                <w:b w:val="0"/>
                <w:i w:val="0"/>
                <w:noProof/>
                <w:webHidden/>
                <w:sz w:val="20"/>
                <w:szCs w:val="20"/>
              </w:rPr>
              <w:t>14</w:t>
            </w:r>
            <w:r w:rsidR="00333CFD" w:rsidRPr="00333CFD">
              <w:rPr>
                <w:rFonts w:ascii="Arial" w:hAnsi="Arial" w:cs="Arial"/>
                <w:b w:val="0"/>
                <w:i w:val="0"/>
                <w:noProof/>
                <w:webHidden/>
                <w:sz w:val="20"/>
                <w:szCs w:val="20"/>
              </w:rPr>
              <w:fldChar w:fldCharType="end"/>
            </w:r>
          </w:hyperlink>
        </w:p>
        <w:p w14:paraId="29B4BE23" w14:textId="502421B4" w:rsidR="00333CFD" w:rsidRDefault="00333CFD">
          <w:r w:rsidRPr="00333CFD">
            <w:rPr>
              <w:rFonts w:cs="Arial"/>
              <w:bCs/>
              <w:noProof/>
            </w:rPr>
            <w:fldChar w:fldCharType="end"/>
          </w:r>
        </w:p>
      </w:sdtContent>
    </w:sdt>
    <w:p w14:paraId="6B4D62E5" w14:textId="3DD4BF23" w:rsidR="00333CFD" w:rsidRDefault="00333CFD">
      <w:pPr>
        <w:spacing w:before="0" w:after="0" w:line="240" w:lineRule="auto"/>
        <w:jc w:val="left"/>
      </w:pPr>
      <w:r>
        <w:br w:type="page"/>
      </w:r>
    </w:p>
    <w:p w14:paraId="530056AF" w14:textId="77777777" w:rsidR="00333CFD" w:rsidRDefault="00333CFD" w:rsidP="00333CFD">
      <w:pPr>
        <w:pStyle w:val="CILTitle"/>
      </w:pPr>
      <w:r>
        <w:lastRenderedPageBreak/>
        <w:t>2021-2025 ASEAN-REPUBLIC OF KOREA PLAN OF ACTION TO IMPLEMENT THE JOINT VISION STATEMENT FOR PEACE, PROSPERITY AND PARTNERSHIP</w:t>
      </w:r>
    </w:p>
    <w:p w14:paraId="4F0A4905" w14:textId="77777777" w:rsidR="00333CFD" w:rsidRDefault="00333CFD" w:rsidP="00333CFD">
      <w:pPr>
        <w:pStyle w:val="CILSubtitle"/>
      </w:pPr>
      <w:r>
        <w:t>Adopted in Viet Nam, on 9 September 2020</w:t>
      </w:r>
    </w:p>
    <w:p w14:paraId="60202EBA" w14:textId="77777777" w:rsidR="00333CFD" w:rsidRDefault="00333CFD" w:rsidP="00421D21">
      <w:pPr>
        <w:spacing w:before="0" w:after="0"/>
      </w:pPr>
    </w:p>
    <w:p w14:paraId="5CC91E13" w14:textId="075BE42E" w:rsidR="00421D21" w:rsidRDefault="00421D21" w:rsidP="00421D21">
      <w:pPr>
        <w:spacing w:before="0" w:after="0"/>
      </w:pPr>
      <w:r>
        <w:t xml:space="preserve">This Plan of Action (POA) aims to implement the Joint Declaration on ASEAN-Republic of Korea (ROK) Strategic Partnership for Peace and Prosperity adopted on 29 October 2010 in Ha </w:t>
      </w:r>
      <w:proofErr w:type="spellStart"/>
      <w:r>
        <w:t>Noi</w:t>
      </w:r>
      <w:proofErr w:type="spellEnd"/>
      <w:r>
        <w:t xml:space="preserve">, Viet Nam, to deepen and enhance the strategic partnership, friendly relations, mutually beneficial, meaningful, and practical cooperation between ASEAN and the ROK for the period of 2021-2025.This POA builds upon the significant achievements made in cooperation activities since the establishment of sectoral dialogue partnership in 1989, the successful implementation of previous POAs, and aims to realise the </w:t>
      </w:r>
      <w:r w:rsidR="00735AA5">
        <w:br/>
      </w:r>
      <w:r>
        <w:t xml:space="preserve">ASEAN-ROK Joint Vision Statement for Peace, Prosperity and Partnership adopted at the </w:t>
      </w:r>
      <w:r w:rsidR="00735AA5">
        <w:br/>
      </w:r>
      <w:r>
        <w:t>ASEAN-ROK Commemorative Summit on the 30</w:t>
      </w:r>
      <w:r w:rsidRPr="00587F77">
        <w:rPr>
          <w:vertAlign w:val="superscript"/>
        </w:rPr>
        <w:t>th</w:t>
      </w:r>
      <w:r w:rsidR="00587F77">
        <w:t xml:space="preserve"> </w:t>
      </w:r>
      <w:r>
        <w:t>Anniversary of ASEAN-ROK Dialogue Relations on 26 November 2019 in Busan, ROK. The POA also aims to contribute to the realisation of ASEAN 2025: Forging Ahead Together.</w:t>
      </w:r>
    </w:p>
    <w:p w14:paraId="513E5802" w14:textId="77777777" w:rsidR="00421D21" w:rsidRDefault="00421D21" w:rsidP="00421D21">
      <w:pPr>
        <w:spacing w:before="0" w:after="0"/>
      </w:pPr>
    </w:p>
    <w:p w14:paraId="7DA7A80D" w14:textId="044A4639" w:rsidR="00421D21" w:rsidRDefault="00421D21" w:rsidP="00421D21">
      <w:pPr>
        <w:pStyle w:val="Heading1"/>
        <w:jc w:val="both"/>
      </w:pPr>
      <w:bookmarkStart w:id="0" w:name="_Toc52803106"/>
      <w:r>
        <w:t xml:space="preserve">1. </w:t>
      </w:r>
      <w:r w:rsidR="003D5B56">
        <w:tab/>
      </w:r>
      <w:r>
        <w:t>Political and Security Cooperation</w:t>
      </w:r>
      <w:bookmarkEnd w:id="0"/>
    </w:p>
    <w:p w14:paraId="4A542CD0" w14:textId="3E3CDCED" w:rsidR="00421D21" w:rsidRDefault="00421D21" w:rsidP="00421D21">
      <w:pPr>
        <w:pStyle w:val="Heading2"/>
        <w:jc w:val="both"/>
      </w:pPr>
      <w:bookmarkStart w:id="1" w:name="_Toc52803107"/>
      <w:r>
        <w:t xml:space="preserve">1.1 </w:t>
      </w:r>
      <w:r w:rsidR="00D416BF">
        <w:tab/>
      </w:r>
      <w:r>
        <w:t>Political Cooperation</w:t>
      </w:r>
      <w:bookmarkEnd w:id="1"/>
    </w:p>
    <w:p w14:paraId="52BFC2B3" w14:textId="77777777" w:rsidR="00421D21" w:rsidRDefault="00421D21" w:rsidP="000A5D80">
      <w:pPr>
        <w:pStyle w:val="ListParagraph"/>
        <w:numPr>
          <w:ilvl w:val="2"/>
          <w:numId w:val="11"/>
        </w:numPr>
        <w:spacing w:before="0" w:after="0"/>
      </w:pPr>
      <w:r>
        <w:t>Strengthen cooperation in ASEAN-led regional processes and arrangements, such as ASEAN Plus One, ASEAN Plus Three, the East Asia Summit (EAS), ASEAN Regional Forum (ARF) and ASEAN Defence Ministers Meeting (ADMM) Plus and enhance engagement at other relevant regional and multilateral fora, to promote peace, stability, security, development and prosperity in the region;</w:t>
      </w:r>
    </w:p>
    <w:p w14:paraId="2EE11D8B" w14:textId="77777777" w:rsidR="00421D21" w:rsidRDefault="00421D21" w:rsidP="00421D21">
      <w:pPr>
        <w:pStyle w:val="ListParagraph"/>
        <w:spacing w:before="0" w:after="0"/>
      </w:pPr>
    </w:p>
    <w:p w14:paraId="3C50D78F" w14:textId="77777777" w:rsidR="00421D21" w:rsidRDefault="00421D21" w:rsidP="000A5D80">
      <w:pPr>
        <w:pStyle w:val="ListParagraph"/>
        <w:numPr>
          <w:ilvl w:val="2"/>
          <w:numId w:val="11"/>
        </w:numPr>
        <w:spacing w:before="0" w:after="0"/>
      </w:pPr>
      <w:r>
        <w:t>Enhance engagement and exchanges at all levels and relevant sectors to raise the profile of ASEAN-ROK relations;</w:t>
      </w:r>
    </w:p>
    <w:p w14:paraId="0011F46C" w14:textId="77777777" w:rsidR="00421D21" w:rsidRDefault="00421D21" w:rsidP="00421D21">
      <w:pPr>
        <w:pStyle w:val="ListParagraph"/>
        <w:spacing w:before="0" w:after="0"/>
      </w:pPr>
    </w:p>
    <w:p w14:paraId="3B8536A2" w14:textId="77777777" w:rsidR="00421D21" w:rsidRDefault="00421D21" w:rsidP="000A5D80">
      <w:pPr>
        <w:pStyle w:val="ListParagraph"/>
        <w:numPr>
          <w:ilvl w:val="2"/>
          <w:numId w:val="11"/>
        </w:numPr>
        <w:spacing w:before="0" w:after="0"/>
      </w:pPr>
      <w:r>
        <w:t>Continue regular engagement among EAS Ambassadors in Jakarta on the implementation of Leader’s decisions as well as exchange information on regional development cooperation initiatives and security policies and initiatives; and</w:t>
      </w:r>
    </w:p>
    <w:p w14:paraId="59704725" w14:textId="77777777" w:rsidR="00421D21" w:rsidRDefault="00421D21" w:rsidP="00421D21">
      <w:pPr>
        <w:pStyle w:val="ListParagraph"/>
        <w:spacing w:before="0" w:after="0"/>
      </w:pPr>
    </w:p>
    <w:p w14:paraId="11120291" w14:textId="43663A2C" w:rsidR="00421D21" w:rsidRDefault="00421D21" w:rsidP="000A5D80">
      <w:pPr>
        <w:pStyle w:val="ListParagraph"/>
        <w:numPr>
          <w:ilvl w:val="2"/>
          <w:numId w:val="11"/>
        </w:numPr>
        <w:spacing w:before="0" w:after="0"/>
      </w:pPr>
      <w:r>
        <w:t>Support ASEAN’s efforts in peace and reconciliation in the region through relevant ASEAN mechanisms, including the ASEAN Institute for Peace and Reconciliation (ASEAN-IPR).</w:t>
      </w:r>
    </w:p>
    <w:p w14:paraId="43D28639" w14:textId="77777777" w:rsidR="00421D21" w:rsidRDefault="00421D21" w:rsidP="00421D21">
      <w:pPr>
        <w:pStyle w:val="ListParagraph"/>
        <w:spacing w:before="0" w:after="0"/>
      </w:pPr>
    </w:p>
    <w:p w14:paraId="7AF92873" w14:textId="3FF44E22" w:rsidR="00421D21" w:rsidRDefault="00421D21" w:rsidP="00421D21">
      <w:pPr>
        <w:pStyle w:val="Heading2"/>
        <w:jc w:val="both"/>
      </w:pPr>
      <w:bookmarkStart w:id="2" w:name="_Toc52803108"/>
      <w:r>
        <w:t xml:space="preserve">1.2 </w:t>
      </w:r>
      <w:r w:rsidR="00D416BF">
        <w:tab/>
      </w:r>
      <w:r>
        <w:t>Security Cooperation</w:t>
      </w:r>
      <w:bookmarkEnd w:id="2"/>
    </w:p>
    <w:p w14:paraId="0E2EB1C6" w14:textId="77777777" w:rsidR="00421D21" w:rsidRDefault="00421D21" w:rsidP="000A5D80">
      <w:pPr>
        <w:pStyle w:val="ListParagraph"/>
        <w:numPr>
          <w:ilvl w:val="0"/>
          <w:numId w:val="12"/>
        </w:numPr>
        <w:spacing w:before="0" w:after="0"/>
        <w:ind w:left="709" w:hanging="709"/>
      </w:pPr>
      <w:r>
        <w:t>Foster cooperation to promote conflict prevention and resolution, preventive diplomacy and conflict management to enhance peace, security and stability in the region;</w:t>
      </w:r>
    </w:p>
    <w:p w14:paraId="5EED2B88" w14:textId="77777777" w:rsidR="00421D21" w:rsidRDefault="00421D21" w:rsidP="00421D21">
      <w:pPr>
        <w:pStyle w:val="ListParagraph"/>
        <w:spacing w:before="0" w:after="0"/>
        <w:ind w:left="709"/>
      </w:pPr>
    </w:p>
    <w:p w14:paraId="5268307C" w14:textId="77777777" w:rsidR="00421D21" w:rsidRDefault="00421D21" w:rsidP="000A5D80">
      <w:pPr>
        <w:pStyle w:val="ListParagraph"/>
        <w:numPr>
          <w:ilvl w:val="0"/>
          <w:numId w:val="12"/>
        </w:numPr>
        <w:spacing w:before="0" w:after="0"/>
        <w:ind w:left="709" w:hanging="709"/>
      </w:pPr>
      <w:r>
        <w:t>Promote the role of the Treaty of Amity and Cooperation in Southeast Asia (TAC) as the code of conduct for inter-state relations in Southeast Asia; and</w:t>
      </w:r>
    </w:p>
    <w:p w14:paraId="10003292" w14:textId="77777777" w:rsidR="00421D21" w:rsidRDefault="00421D21" w:rsidP="00421D21">
      <w:pPr>
        <w:pStyle w:val="ListParagraph"/>
        <w:spacing w:before="0" w:after="0"/>
        <w:ind w:left="709"/>
      </w:pPr>
    </w:p>
    <w:p w14:paraId="09367125" w14:textId="0218E46F" w:rsidR="00421D21" w:rsidRDefault="00421D21" w:rsidP="000A5D80">
      <w:pPr>
        <w:pStyle w:val="ListParagraph"/>
        <w:numPr>
          <w:ilvl w:val="0"/>
          <w:numId w:val="12"/>
        </w:numPr>
        <w:spacing w:before="0" w:after="0"/>
        <w:ind w:left="709" w:hanging="709"/>
      </w:pPr>
      <w:r>
        <w:t>Actively contribute to the realisation of the goals and objectives set out in the ARF Post 2020 Vision and the ARF Hanoi Plan of Action II (2021-2025) in support of strengthening the ARF and advancing the ARF evolution from confidence-building measures to preventive diplomacy and to elaborate approaches to conflict resolution.</w:t>
      </w:r>
    </w:p>
    <w:p w14:paraId="1BF3340B" w14:textId="77777777" w:rsidR="00421D21" w:rsidRDefault="00421D21" w:rsidP="00421D21">
      <w:pPr>
        <w:spacing w:before="0" w:after="0"/>
      </w:pPr>
    </w:p>
    <w:p w14:paraId="089F536A" w14:textId="1A66469F" w:rsidR="00421D21" w:rsidRDefault="00421D21" w:rsidP="00421D21">
      <w:pPr>
        <w:pStyle w:val="Heading2"/>
        <w:jc w:val="both"/>
      </w:pPr>
      <w:bookmarkStart w:id="3" w:name="_Toc52803109"/>
      <w:r>
        <w:lastRenderedPageBreak/>
        <w:t xml:space="preserve">1.3 </w:t>
      </w:r>
      <w:r w:rsidR="00D416BF">
        <w:tab/>
      </w:r>
      <w:r>
        <w:t>Nuclear energy and nuclear weapons</w:t>
      </w:r>
      <w:bookmarkEnd w:id="3"/>
    </w:p>
    <w:p w14:paraId="16F8B5BB" w14:textId="77777777" w:rsidR="00421D21" w:rsidRDefault="00421D21" w:rsidP="000A5D80">
      <w:pPr>
        <w:pStyle w:val="ListParagraph"/>
        <w:numPr>
          <w:ilvl w:val="0"/>
          <w:numId w:val="13"/>
        </w:numPr>
        <w:spacing w:before="0" w:after="0"/>
        <w:ind w:hanging="720"/>
      </w:pPr>
      <w:r>
        <w:t>Strengthen cooperation in promoting peaceful uses of nuclear technology in a safe and secure manner through capacity building cooperative projects on policy, technology and regulatory aspect, including of civilian nuclear energy for ASEAN Member States, through information sharing, best practices and safety management on nuclear energy to reinforce the regional non-proliferation regime and enhance the region’s preparedness and response for a nuclear or radiological emergency; and</w:t>
      </w:r>
    </w:p>
    <w:p w14:paraId="35A9A6CD" w14:textId="77777777" w:rsidR="00421D21" w:rsidRDefault="00421D21" w:rsidP="00421D21">
      <w:pPr>
        <w:pStyle w:val="ListParagraph"/>
        <w:spacing w:before="0" w:after="0"/>
      </w:pPr>
    </w:p>
    <w:p w14:paraId="2C23BCB4" w14:textId="392F5BE3" w:rsidR="00421D21" w:rsidRDefault="00421D21" w:rsidP="000A5D80">
      <w:pPr>
        <w:pStyle w:val="ListParagraph"/>
        <w:numPr>
          <w:ilvl w:val="0"/>
          <w:numId w:val="13"/>
        </w:numPr>
        <w:spacing w:before="0" w:after="0"/>
        <w:ind w:hanging="720"/>
      </w:pPr>
      <w:r>
        <w:t>Support ASEAN’s efforts in the implementation of the Treaty on the Southeast Asia Nuclear Weapon-Free Zone (SEANWFZ) and its Plan of Action.</w:t>
      </w:r>
    </w:p>
    <w:p w14:paraId="68E4DC38" w14:textId="77777777" w:rsidR="00421D21" w:rsidRDefault="00421D21" w:rsidP="00421D21">
      <w:pPr>
        <w:pStyle w:val="ListParagraph"/>
        <w:spacing w:before="0" w:after="0"/>
      </w:pPr>
    </w:p>
    <w:p w14:paraId="5519A377" w14:textId="60AFF430" w:rsidR="00421D21" w:rsidRDefault="00421D21" w:rsidP="00421D21">
      <w:pPr>
        <w:pStyle w:val="Heading2"/>
        <w:jc w:val="both"/>
      </w:pPr>
      <w:bookmarkStart w:id="4" w:name="_Toc52803110"/>
      <w:r>
        <w:t xml:space="preserve">1.4 </w:t>
      </w:r>
      <w:r w:rsidR="00D416BF">
        <w:tab/>
      </w:r>
      <w:r>
        <w:t>Defence</w:t>
      </w:r>
      <w:bookmarkEnd w:id="4"/>
    </w:p>
    <w:p w14:paraId="3DDB68B9" w14:textId="4FD08EF0" w:rsidR="00421D21" w:rsidRDefault="00421D21" w:rsidP="000A5D80">
      <w:pPr>
        <w:pStyle w:val="ListParagraph"/>
        <w:numPr>
          <w:ilvl w:val="0"/>
          <w:numId w:val="14"/>
        </w:numPr>
        <w:spacing w:before="0" w:after="0"/>
        <w:ind w:hanging="720"/>
      </w:pPr>
      <w:r>
        <w:t xml:space="preserve">Enhance defence dialogue and practical cooperation through the ASEAN Regional Forum (ARF) and the ASEAN Defence Ministers’ Meeting Plus (ADMM-Plus) including the </w:t>
      </w:r>
      <w:r w:rsidR="00587F77">
        <w:br/>
      </w:r>
      <w:r>
        <w:t>ASEAN Defence Ministers’ Meeting Plus Expert Working Groups (ADMM-Plus EWG); and</w:t>
      </w:r>
    </w:p>
    <w:p w14:paraId="23854EB7" w14:textId="77777777" w:rsidR="00421D21" w:rsidRDefault="00421D21" w:rsidP="00421D21">
      <w:pPr>
        <w:pStyle w:val="ListParagraph"/>
        <w:spacing w:before="0" w:after="0"/>
      </w:pPr>
    </w:p>
    <w:p w14:paraId="6141F435" w14:textId="4C2984B7" w:rsidR="00421D21" w:rsidRDefault="00421D21" w:rsidP="000A5D80">
      <w:pPr>
        <w:pStyle w:val="ListParagraph"/>
        <w:numPr>
          <w:ilvl w:val="0"/>
          <w:numId w:val="14"/>
        </w:numPr>
        <w:spacing w:before="0" w:after="0"/>
        <w:ind w:hanging="720"/>
      </w:pPr>
      <w:r>
        <w:t>Support ASEAN’s efforts to address humanitarian aspects of landmines and explosive remnants of war in the region through the work of the ASEAN Regional Mine Action Centre (ARMAC) and ADMM-Plus EWG on Humanitarian Mine Action in addressing this issue.</w:t>
      </w:r>
    </w:p>
    <w:p w14:paraId="6FD55032" w14:textId="77777777" w:rsidR="00421D21" w:rsidRDefault="00421D21" w:rsidP="00421D21">
      <w:pPr>
        <w:spacing w:before="0" w:after="0"/>
      </w:pPr>
    </w:p>
    <w:p w14:paraId="3A4271A4" w14:textId="5937B8A4" w:rsidR="00421D21" w:rsidRDefault="00421D21" w:rsidP="00421D21">
      <w:pPr>
        <w:pStyle w:val="Heading2"/>
        <w:jc w:val="both"/>
      </w:pPr>
      <w:bookmarkStart w:id="5" w:name="_Toc52803111"/>
      <w:r>
        <w:t xml:space="preserve">1.5 </w:t>
      </w:r>
      <w:r w:rsidR="00D416BF">
        <w:tab/>
      </w:r>
      <w:r>
        <w:t>Maritime Cooperation</w:t>
      </w:r>
      <w:bookmarkEnd w:id="5"/>
    </w:p>
    <w:p w14:paraId="1EBCA64B" w14:textId="77777777" w:rsidR="00D416BF" w:rsidRDefault="00421D21" w:rsidP="000A5D80">
      <w:pPr>
        <w:pStyle w:val="ListParagraph"/>
        <w:numPr>
          <w:ilvl w:val="0"/>
          <w:numId w:val="15"/>
        </w:numPr>
        <w:spacing w:before="0" w:after="0"/>
        <w:ind w:hanging="720"/>
      </w:pPr>
      <w:r>
        <w:t>Further promote maritime cooperation, maritime security and safety, search and rescue, freedom of navigation and over-flight above the region and other lawful uses of the seas, and unimpeded lawful maritime commerce, the exercise of self-restraint, the non-use of force or the threat to use force, and the resolution of disputes by peaceful means, in accordance with universally recognised principles of international law,  the 1982 United Nations Convention on the Law of the Sea (UNCLOS),</w:t>
      </w:r>
      <w:r w:rsidR="00D416BF">
        <w:t xml:space="preserve"> </w:t>
      </w:r>
      <w:r>
        <w:t>including</w:t>
      </w:r>
      <w:r w:rsidR="00D416BF">
        <w:t xml:space="preserve"> </w:t>
      </w:r>
      <w:r>
        <w:t xml:space="preserve"> the relevant Standards and Recommended</w:t>
      </w:r>
      <w:r w:rsidR="00D416BF">
        <w:t xml:space="preserve"> </w:t>
      </w:r>
      <w:r>
        <w:t>Practices of the International Civil Aviation Organization (ICAO), and the relevant instruments and conventions of the International Maritime</w:t>
      </w:r>
      <w:r w:rsidR="00D416BF">
        <w:t xml:space="preserve"> </w:t>
      </w:r>
      <w:r>
        <w:t>Organization (IMO); and</w:t>
      </w:r>
    </w:p>
    <w:p w14:paraId="442125A1" w14:textId="77777777" w:rsidR="00D416BF" w:rsidRDefault="00D416BF" w:rsidP="00D416BF">
      <w:pPr>
        <w:pStyle w:val="ListParagraph"/>
        <w:spacing w:before="0" w:after="0"/>
      </w:pPr>
    </w:p>
    <w:p w14:paraId="41A63ADC" w14:textId="7324B178" w:rsidR="00421D21" w:rsidRDefault="00421D21" w:rsidP="000A5D80">
      <w:pPr>
        <w:pStyle w:val="ListParagraph"/>
        <w:numPr>
          <w:ilvl w:val="0"/>
          <w:numId w:val="15"/>
        </w:numPr>
        <w:spacing w:before="0" w:after="0"/>
        <w:ind w:hanging="720"/>
      </w:pPr>
      <w:bookmarkStart w:id="6" w:name="_GoBack"/>
      <w:bookmarkEnd w:id="6"/>
      <w:r>
        <w:t>Promote cooperation for the protection and conservation of marine environment, and sustainability of the oceans, in accordance with the UNCLOS and where appropriate other relevant international conventions.</w:t>
      </w:r>
    </w:p>
    <w:p w14:paraId="03ED3EDC" w14:textId="77777777" w:rsidR="00D416BF" w:rsidRDefault="00D416BF" w:rsidP="00421D21">
      <w:pPr>
        <w:spacing w:before="0" w:after="0"/>
      </w:pPr>
    </w:p>
    <w:p w14:paraId="212CE496" w14:textId="49B3584C" w:rsidR="00421D21" w:rsidRDefault="00421D21" w:rsidP="00D416BF">
      <w:pPr>
        <w:pStyle w:val="Heading2"/>
        <w:jc w:val="both"/>
      </w:pPr>
      <w:bookmarkStart w:id="7" w:name="_Toc52803112"/>
      <w:r>
        <w:t xml:space="preserve">1.6 </w:t>
      </w:r>
      <w:r w:rsidR="00D416BF">
        <w:tab/>
      </w:r>
      <w:r>
        <w:t>Non-Traditional Security</w:t>
      </w:r>
      <w:bookmarkEnd w:id="7"/>
    </w:p>
    <w:p w14:paraId="1FE38C1A" w14:textId="77777777" w:rsidR="00D416BF" w:rsidRDefault="00421D21" w:rsidP="000A5D80">
      <w:pPr>
        <w:pStyle w:val="ListParagraph"/>
        <w:numPr>
          <w:ilvl w:val="0"/>
          <w:numId w:val="16"/>
        </w:numPr>
        <w:spacing w:before="0" w:after="0"/>
        <w:ind w:hanging="720"/>
      </w:pPr>
      <w:r>
        <w:t>Strengthen cooperation to combat terrorism, violent extremism and other transnational crimes through the ASEAN Plus ROK Ministerial Meeting on Transnational Crime (AMMTC + ROK), the ASEAN Plus ROK Senior Officials Meeting on Transnational Crime (SOMTC + ROK), ASEAN Senior Officials on Drug Matters + ROK (ASOD + ROK) Consultation and other mechanisms by exchanging information, sharing best practices and expertise, training and capacity-building of law enforcement personnel, including police, prosecutors, investigating magistrates and customs personnel and other personnel charged with the prevention, detection and control of the offences, among others;</w:t>
      </w:r>
    </w:p>
    <w:p w14:paraId="671C21BE" w14:textId="77777777" w:rsidR="00D416BF" w:rsidRDefault="00D416BF" w:rsidP="00D416BF">
      <w:pPr>
        <w:pStyle w:val="ListParagraph"/>
        <w:spacing w:before="0" w:after="0"/>
      </w:pPr>
    </w:p>
    <w:p w14:paraId="5332A722" w14:textId="77777777" w:rsidR="00D416BF" w:rsidRDefault="00421D21" w:rsidP="000A5D80">
      <w:pPr>
        <w:pStyle w:val="ListParagraph"/>
        <w:numPr>
          <w:ilvl w:val="0"/>
          <w:numId w:val="16"/>
        </w:numPr>
        <w:spacing w:before="0" w:after="0"/>
        <w:ind w:hanging="720"/>
      </w:pPr>
      <w:r>
        <w:t>Increase cooperation in border management to safeguard our region while facilitating movement of people and enhance police cooperation under the frameworks of the International Criminal Police Organisation (INTERPOL) and the ASEAN Chiefs of National Police (ASEANAPOL); and</w:t>
      </w:r>
    </w:p>
    <w:p w14:paraId="6E865096" w14:textId="77777777" w:rsidR="00D416BF" w:rsidRDefault="00D416BF" w:rsidP="00D416BF">
      <w:pPr>
        <w:pStyle w:val="ListParagraph"/>
        <w:spacing w:before="0" w:after="0"/>
      </w:pPr>
    </w:p>
    <w:p w14:paraId="0FFE78A4" w14:textId="31CE84B4" w:rsidR="00421D21" w:rsidRDefault="00421D21" w:rsidP="000A5D80">
      <w:pPr>
        <w:pStyle w:val="ListParagraph"/>
        <w:numPr>
          <w:ilvl w:val="0"/>
          <w:numId w:val="16"/>
        </w:numPr>
        <w:spacing w:before="0" w:after="0"/>
        <w:ind w:hanging="720"/>
      </w:pPr>
      <w:r>
        <w:t>Promote cooperation in the areas of cybersecurity to create an open, secure, stable, accessible and a peaceful ICT environment.</w:t>
      </w:r>
    </w:p>
    <w:p w14:paraId="5AC5AAC1" w14:textId="77777777" w:rsidR="00D416BF" w:rsidRDefault="00D416BF" w:rsidP="00D416BF">
      <w:pPr>
        <w:pStyle w:val="ListParagraph"/>
        <w:spacing w:before="0" w:after="0"/>
      </w:pPr>
    </w:p>
    <w:p w14:paraId="3066F6F5" w14:textId="21FB3C16" w:rsidR="00421D21" w:rsidRDefault="00421D21" w:rsidP="00D416BF">
      <w:pPr>
        <w:pStyle w:val="Heading2"/>
        <w:jc w:val="both"/>
      </w:pPr>
      <w:bookmarkStart w:id="8" w:name="_Toc52803113"/>
      <w:r>
        <w:t xml:space="preserve">1.7 </w:t>
      </w:r>
      <w:r w:rsidR="00D416BF">
        <w:tab/>
      </w:r>
      <w:r>
        <w:t>Good Governance and Human Rights</w:t>
      </w:r>
      <w:bookmarkEnd w:id="8"/>
    </w:p>
    <w:p w14:paraId="0BADD08F" w14:textId="77777777" w:rsidR="00D416BF" w:rsidRDefault="00421D21" w:rsidP="000A5D80">
      <w:pPr>
        <w:pStyle w:val="ListParagraph"/>
        <w:numPr>
          <w:ilvl w:val="0"/>
          <w:numId w:val="17"/>
        </w:numPr>
        <w:spacing w:before="0" w:after="0"/>
        <w:ind w:hanging="720"/>
      </w:pPr>
      <w:r>
        <w:t>Enhance dialogue and promote education, awareness raising activities, capacity-building initiatives such as trainings, study visits, and conferences as well as exchanges of best practices and information in the areas of good governance, democracy, rule of law, human rights and fundamental freedoms;</w:t>
      </w:r>
    </w:p>
    <w:p w14:paraId="3438225E" w14:textId="77777777" w:rsidR="00D416BF" w:rsidRDefault="00D416BF" w:rsidP="00D416BF">
      <w:pPr>
        <w:pStyle w:val="ListParagraph"/>
        <w:spacing w:before="0" w:after="0"/>
      </w:pPr>
    </w:p>
    <w:p w14:paraId="3E0E0BC4" w14:textId="77777777" w:rsidR="00D416BF" w:rsidRDefault="00421D21" w:rsidP="000A5D80">
      <w:pPr>
        <w:pStyle w:val="ListParagraph"/>
        <w:numPr>
          <w:ilvl w:val="0"/>
          <w:numId w:val="17"/>
        </w:numPr>
        <w:spacing w:before="0" w:after="0"/>
        <w:ind w:hanging="720"/>
      </w:pPr>
      <w:r>
        <w:t>Support ASEAN’s effort to implement and promote the ASEAN Human Rights Declaration (AHRD), the Phnom Penh Statement on the Adoption of the AHRD, and relevant ASEAN declarations and instruments pertaining to human rights and fundamental freedoms to which all ASEAN Member States are parties;</w:t>
      </w:r>
    </w:p>
    <w:p w14:paraId="08C49DE6" w14:textId="77777777" w:rsidR="00D416BF" w:rsidRDefault="00D416BF" w:rsidP="00D416BF">
      <w:pPr>
        <w:pStyle w:val="ListParagraph"/>
        <w:spacing w:before="0" w:after="0"/>
      </w:pPr>
    </w:p>
    <w:p w14:paraId="2A81411A" w14:textId="77777777" w:rsidR="00D416BF" w:rsidRDefault="00421D21" w:rsidP="000A5D80">
      <w:pPr>
        <w:pStyle w:val="ListParagraph"/>
        <w:numPr>
          <w:ilvl w:val="0"/>
          <w:numId w:val="17"/>
        </w:numPr>
        <w:spacing w:before="0" w:after="0"/>
        <w:ind w:hanging="720"/>
      </w:pPr>
      <w:r>
        <w:t>Support the work of the ASEAN Intergovernmental Commission on Human Rights (AICHR) and the ASEAN Commission on the Promotion and Protection of the Rights of Women and Children (ACWC) and, where appropriate, other ASEAN sectoral bodies dealing with human rights in accordance with the respective mandates and work plans; and</w:t>
      </w:r>
    </w:p>
    <w:p w14:paraId="349EF51F" w14:textId="77777777" w:rsidR="00D416BF" w:rsidRDefault="00D416BF" w:rsidP="00D416BF">
      <w:pPr>
        <w:pStyle w:val="ListParagraph"/>
        <w:spacing w:before="0" w:after="0"/>
      </w:pPr>
    </w:p>
    <w:p w14:paraId="2EFFE96B" w14:textId="3BAB45BB" w:rsidR="00421D21" w:rsidRDefault="00421D21" w:rsidP="000A5D80">
      <w:pPr>
        <w:pStyle w:val="ListParagraph"/>
        <w:numPr>
          <w:ilvl w:val="0"/>
          <w:numId w:val="17"/>
        </w:numPr>
        <w:spacing w:before="0" w:after="0"/>
        <w:ind w:hanging="720"/>
      </w:pPr>
      <w:r>
        <w:t>Explore opportunities to promote gender equality through knowledge sharing and interpersonal exchange.</w:t>
      </w:r>
    </w:p>
    <w:p w14:paraId="7C0FC3FD" w14:textId="77777777" w:rsidR="00D416BF" w:rsidRDefault="00D416BF" w:rsidP="00421D21">
      <w:pPr>
        <w:spacing w:before="0" w:after="0"/>
      </w:pPr>
    </w:p>
    <w:p w14:paraId="2AAA86E3" w14:textId="3074BADF" w:rsidR="00421D21" w:rsidRDefault="00421D21" w:rsidP="00D416BF">
      <w:pPr>
        <w:pStyle w:val="Heading1"/>
        <w:jc w:val="both"/>
      </w:pPr>
      <w:bookmarkStart w:id="9" w:name="_Toc52803114"/>
      <w:r>
        <w:t xml:space="preserve">2. </w:t>
      </w:r>
      <w:r w:rsidR="003D5B56">
        <w:tab/>
      </w:r>
      <w:r>
        <w:t>Economic Cooperation</w:t>
      </w:r>
      <w:bookmarkEnd w:id="9"/>
    </w:p>
    <w:p w14:paraId="6B058436" w14:textId="59796A98" w:rsidR="00421D21" w:rsidRDefault="00421D21" w:rsidP="00D416BF">
      <w:pPr>
        <w:pStyle w:val="Heading2"/>
        <w:jc w:val="both"/>
      </w:pPr>
      <w:bookmarkStart w:id="10" w:name="_Toc52803115"/>
      <w:r>
        <w:t xml:space="preserve">2.1 </w:t>
      </w:r>
      <w:r w:rsidR="00D416BF">
        <w:tab/>
      </w:r>
      <w:r>
        <w:t>Trade and Investment</w:t>
      </w:r>
      <w:bookmarkEnd w:id="10"/>
    </w:p>
    <w:p w14:paraId="33C3CC83" w14:textId="77777777" w:rsidR="00D416BF" w:rsidRDefault="00421D21" w:rsidP="000A5D80">
      <w:pPr>
        <w:pStyle w:val="ListParagraph"/>
        <w:numPr>
          <w:ilvl w:val="0"/>
          <w:numId w:val="18"/>
        </w:numPr>
        <w:spacing w:before="0" w:after="0"/>
        <w:ind w:hanging="720"/>
      </w:pPr>
      <w:r>
        <w:t>Maintain regular dialogue to promote mutual trade and investment through the ASEAN Economic Ministers-ROK (AEM-ROK) Consultations, the Senior Economic Officials’ Meeting (SEOM)-ROK Consultations and other existing dialogue mechanisms including Dialogue between the ASEAN Secretary-General and the Association of ASEAN Korean Chambers (AAKC);</w:t>
      </w:r>
    </w:p>
    <w:p w14:paraId="2AD732ED" w14:textId="77777777" w:rsidR="00D416BF" w:rsidRDefault="00D416BF" w:rsidP="00D416BF">
      <w:pPr>
        <w:pStyle w:val="ListParagraph"/>
        <w:spacing w:before="0" w:after="0"/>
      </w:pPr>
    </w:p>
    <w:p w14:paraId="1895926A" w14:textId="77777777" w:rsidR="00D416BF" w:rsidRDefault="00421D21" w:rsidP="000A5D80">
      <w:pPr>
        <w:pStyle w:val="ListParagraph"/>
        <w:numPr>
          <w:ilvl w:val="0"/>
          <w:numId w:val="18"/>
        </w:numPr>
        <w:spacing w:before="0" w:after="0"/>
        <w:ind w:hanging="720"/>
      </w:pPr>
      <w:r>
        <w:t>Accelerate two-way flows of trade and investment between ASEAN and the ROK, through improving the ASEAN-Korea Free Trade Area (AKFTA), including but not limited to further liberalization of Sensitive Track products under ASEAN-Korea Trade in Goods Agreement (AKTIGA) and full implementation of the Third Protocol to Amend the AKTIGA;</w:t>
      </w:r>
    </w:p>
    <w:p w14:paraId="5C2889FE" w14:textId="77777777" w:rsidR="00D416BF" w:rsidRDefault="00D416BF" w:rsidP="00D416BF">
      <w:pPr>
        <w:pStyle w:val="ListParagraph"/>
        <w:spacing w:before="0" w:after="0"/>
      </w:pPr>
    </w:p>
    <w:p w14:paraId="79C23BBD" w14:textId="77777777" w:rsidR="00D416BF" w:rsidRDefault="00421D21" w:rsidP="000A5D80">
      <w:pPr>
        <w:pStyle w:val="ListParagraph"/>
        <w:numPr>
          <w:ilvl w:val="0"/>
          <w:numId w:val="18"/>
        </w:numPr>
        <w:spacing w:before="0" w:after="0"/>
        <w:ind w:hanging="720"/>
      </w:pPr>
      <w:r>
        <w:t>Strengthen economic cooperation in possible areas of standard cooperation, including the possible establishment of ASEAN-ROK Standardization Joint Research Center to expand mutually beneficial trade and investment, and further enhance capacity building through the effective implementation of ASEAN-ROK economic cooperation projects;</w:t>
      </w:r>
    </w:p>
    <w:p w14:paraId="1F608D8D" w14:textId="77777777" w:rsidR="00D416BF" w:rsidRDefault="00D416BF" w:rsidP="00D416BF">
      <w:pPr>
        <w:pStyle w:val="ListParagraph"/>
        <w:spacing w:before="0" w:after="0"/>
      </w:pPr>
    </w:p>
    <w:p w14:paraId="5547FE02" w14:textId="77777777" w:rsidR="00D416BF" w:rsidRDefault="00421D21" w:rsidP="000A5D80">
      <w:pPr>
        <w:pStyle w:val="ListParagraph"/>
        <w:numPr>
          <w:ilvl w:val="0"/>
          <w:numId w:val="18"/>
        </w:numPr>
        <w:spacing w:before="0" w:after="0"/>
        <w:ind w:hanging="720"/>
      </w:pPr>
      <w:r>
        <w:t>Encourage ASEAN-Korea Centre (AKC) to facilitate and promote trade and investment opportunities such as green technology, and innovations of Fourth Industrial Revolution (4IR), as well as in manufacturing industries; and</w:t>
      </w:r>
    </w:p>
    <w:p w14:paraId="7F26F907" w14:textId="77777777" w:rsidR="00D416BF" w:rsidRDefault="00D416BF" w:rsidP="00D416BF">
      <w:pPr>
        <w:pStyle w:val="ListParagraph"/>
        <w:spacing w:before="0" w:after="0"/>
      </w:pPr>
    </w:p>
    <w:p w14:paraId="2B0087BA" w14:textId="45E862E6" w:rsidR="00421D21" w:rsidRDefault="00421D21" w:rsidP="000A5D80">
      <w:pPr>
        <w:pStyle w:val="ListParagraph"/>
        <w:numPr>
          <w:ilvl w:val="0"/>
          <w:numId w:val="18"/>
        </w:numPr>
        <w:spacing w:before="0" w:after="0"/>
        <w:ind w:hanging="720"/>
      </w:pPr>
      <w:r>
        <w:t>Support the implementation of a modern, comprehensive, high-quality and mutually beneficial Regional Comprehensive Economic Partnership (RCEP) Agreement.</w:t>
      </w:r>
    </w:p>
    <w:p w14:paraId="4E63B9EB" w14:textId="004F4AF5" w:rsidR="00421D21" w:rsidRDefault="00421D21" w:rsidP="00D416BF">
      <w:pPr>
        <w:pStyle w:val="Heading2"/>
        <w:jc w:val="both"/>
      </w:pPr>
      <w:bookmarkStart w:id="11" w:name="_Toc52803116"/>
      <w:r>
        <w:lastRenderedPageBreak/>
        <w:t xml:space="preserve">2.2 </w:t>
      </w:r>
      <w:r w:rsidR="00D416BF">
        <w:tab/>
      </w:r>
      <w:r>
        <w:t>Finance</w:t>
      </w:r>
      <w:bookmarkEnd w:id="11"/>
    </w:p>
    <w:p w14:paraId="5B0580B5" w14:textId="77777777" w:rsidR="00D416BF" w:rsidRDefault="00421D21" w:rsidP="000A5D80">
      <w:pPr>
        <w:pStyle w:val="ListParagraph"/>
        <w:numPr>
          <w:ilvl w:val="0"/>
          <w:numId w:val="19"/>
        </w:numPr>
        <w:spacing w:before="0" w:after="0"/>
        <w:ind w:hanging="720"/>
      </w:pPr>
      <w:r>
        <w:t xml:space="preserve">Enhance regional financial stability through the Chiang Mai Initiative </w:t>
      </w:r>
      <w:proofErr w:type="spellStart"/>
      <w:r>
        <w:t>Multilateralisation</w:t>
      </w:r>
      <w:proofErr w:type="spellEnd"/>
      <w:r>
        <w:t xml:space="preserve"> (CMIM) and the Asian Bond Markets Initiative (ABMI), including the Credit Guarantee and Investment Facility (CGIF), as well as strengthen regional macroeconomic surveillance and dialogue on macroeconomic and financial policies particularly through the ASEAN+3 Macroeconomic Research Office;</w:t>
      </w:r>
    </w:p>
    <w:p w14:paraId="70B813A3" w14:textId="77777777" w:rsidR="00D416BF" w:rsidRDefault="00D416BF" w:rsidP="00D416BF">
      <w:pPr>
        <w:pStyle w:val="ListParagraph"/>
        <w:spacing w:before="0" w:after="0"/>
      </w:pPr>
    </w:p>
    <w:p w14:paraId="7DA39925" w14:textId="77777777" w:rsidR="00D416BF" w:rsidRDefault="00421D21" w:rsidP="000A5D80">
      <w:pPr>
        <w:pStyle w:val="ListParagraph"/>
        <w:numPr>
          <w:ilvl w:val="0"/>
          <w:numId w:val="19"/>
        </w:numPr>
        <w:spacing w:before="0" w:after="0"/>
        <w:ind w:hanging="720"/>
      </w:pPr>
      <w:r>
        <w:t>Support the development and growth of Asian bond markets for the security and advancement of the region’s financial market; including exploring creative and innovative and mutually beneficial approaches to push forward the ABMI in line with the new ABMI Roadmap to lay foundation for the development and expansion of regional bond markets; and</w:t>
      </w:r>
    </w:p>
    <w:p w14:paraId="4539F3B5" w14:textId="77777777" w:rsidR="00D416BF" w:rsidRDefault="00D416BF" w:rsidP="00D416BF">
      <w:pPr>
        <w:pStyle w:val="ListParagraph"/>
        <w:spacing w:before="0" w:after="0"/>
      </w:pPr>
    </w:p>
    <w:p w14:paraId="4A5A70E0" w14:textId="2ED401B1" w:rsidR="00421D21" w:rsidRDefault="00421D21" w:rsidP="000A5D80">
      <w:pPr>
        <w:pStyle w:val="ListParagraph"/>
        <w:numPr>
          <w:ilvl w:val="0"/>
          <w:numId w:val="19"/>
        </w:numPr>
        <w:spacing w:before="0" w:after="0"/>
        <w:ind w:hanging="720"/>
      </w:pPr>
      <w:r>
        <w:t>Support ASEAN in human resource development and capacity building in the financial sectors.</w:t>
      </w:r>
    </w:p>
    <w:p w14:paraId="1651A4DE" w14:textId="77777777" w:rsidR="00D416BF" w:rsidRDefault="00D416BF" w:rsidP="00D416BF">
      <w:pPr>
        <w:pStyle w:val="ListParagraph"/>
        <w:spacing w:before="0" w:after="0"/>
      </w:pPr>
    </w:p>
    <w:p w14:paraId="0AA91FCA" w14:textId="19ECC9CE" w:rsidR="00421D21" w:rsidRDefault="00421D21" w:rsidP="00D416BF">
      <w:pPr>
        <w:pStyle w:val="Heading2"/>
        <w:jc w:val="both"/>
      </w:pPr>
      <w:bookmarkStart w:id="12" w:name="_Toc52803117"/>
      <w:r>
        <w:t xml:space="preserve">2.3 </w:t>
      </w:r>
      <w:r w:rsidR="00D416BF">
        <w:tab/>
      </w:r>
      <w:r>
        <w:t>Customs</w:t>
      </w:r>
      <w:bookmarkEnd w:id="12"/>
    </w:p>
    <w:p w14:paraId="153536C4" w14:textId="7C14DB01" w:rsidR="00421D21" w:rsidRDefault="00421D21" w:rsidP="000A5D80">
      <w:pPr>
        <w:pStyle w:val="ListParagraph"/>
        <w:numPr>
          <w:ilvl w:val="0"/>
          <w:numId w:val="20"/>
        </w:numPr>
        <w:spacing w:before="0" w:after="0"/>
        <w:ind w:hanging="720"/>
      </w:pPr>
      <w:r>
        <w:t>Strengthen customs cooperation, in the sharing of best practices on streamlining and simplification of customs procedures, enforcement and risk management techniques, application of information technology in customs procedures, and to continue consultations within the ASEAN-ROK Customs Consultation to enhance coordination in the customs areas.</w:t>
      </w:r>
    </w:p>
    <w:p w14:paraId="4722B7AA" w14:textId="77777777" w:rsidR="00D416BF" w:rsidRDefault="00D416BF" w:rsidP="00D416BF">
      <w:pPr>
        <w:pStyle w:val="ListParagraph"/>
        <w:spacing w:before="0" w:after="0"/>
      </w:pPr>
    </w:p>
    <w:p w14:paraId="3582C164" w14:textId="7A3BBF9C" w:rsidR="00421D21" w:rsidRDefault="00421D21" w:rsidP="00D416BF">
      <w:pPr>
        <w:pStyle w:val="Heading2"/>
        <w:jc w:val="both"/>
      </w:pPr>
      <w:bookmarkStart w:id="13" w:name="_Toc52803118"/>
      <w:r>
        <w:t xml:space="preserve">2.4 </w:t>
      </w:r>
      <w:r w:rsidR="00D416BF">
        <w:tab/>
      </w:r>
      <w:r>
        <w:t>Micro, Small, and Medium Enterprises (MSMEs)</w:t>
      </w:r>
      <w:bookmarkEnd w:id="13"/>
    </w:p>
    <w:p w14:paraId="078DF3ED" w14:textId="53AEDA63" w:rsidR="00D416BF" w:rsidRDefault="00421D21" w:rsidP="000A5D80">
      <w:pPr>
        <w:pStyle w:val="ListParagraph"/>
        <w:numPr>
          <w:ilvl w:val="0"/>
          <w:numId w:val="21"/>
        </w:numPr>
        <w:spacing w:before="0" w:after="0"/>
        <w:ind w:hanging="720"/>
      </w:pPr>
      <w:r>
        <w:t xml:space="preserve">Support the implementation of the ASEAN Strategic Action Plan for SME Development </w:t>
      </w:r>
      <w:r w:rsidR="00587F77">
        <w:br/>
      </w:r>
      <w:r>
        <w:t>(2016-2025) including sharing best practices, experiences, strengthening business networks and capacity building on the development of MSMEs and convening of seminars, workshops and symposiums;</w:t>
      </w:r>
    </w:p>
    <w:p w14:paraId="2BB43EB0" w14:textId="77777777" w:rsidR="00D416BF" w:rsidRDefault="00D416BF" w:rsidP="00D416BF">
      <w:pPr>
        <w:pStyle w:val="ListParagraph"/>
        <w:spacing w:before="0" w:after="0"/>
      </w:pPr>
    </w:p>
    <w:p w14:paraId="5947182D" w14:textId="75FCD85C" w:rsidR="00D416BF" w:rsidRDefault="00421D21" w:rsidP="000A5D80">
      <w:pPr>
        <w:pStyle w:val="ListParagraph"/>
        <w:numPr>
          <w:ilvl w:val="0"/>
          <w:numId w:val="21"/>
        </w:numPr>
        <w:spacing w:before="0" w:after="0"/>
        <w:ind w:hanging="720"/>
      </w:pPr>
      <w:r>
        <w:t xml:space="preserve">Promote stronger networking, cooperation and knowledge sharing between ASEAN and ROK to facilitate development of the startup ecosystem including through the “ASEAN-ROK Startups Partnership” and ASEAN Coordinating Committee on Micro, Small and Medium </w:t>
      </w:r>
      <w:r w:rsidR="00587F77">
        <w:br/>
      </w:r>
      <w:r>
        <w:t>Enterprises-the Ministry of SMEs and Startups of the ROK (ACCMSME-MSS) Policy Dialogue platform;</w:t>
      </w:r>
    </w:p>
    <w:p w14:paraId="5B3745F9" w14:textId="77777777" w:rsidR="00D416BF" w:rsidRDefault="00D416BF" w:rsidP="00D416BF">
      <w:pPr>
        <w:pStyle w:val="ListParagraph"/>
        <w:spacing w:before="0" w:after="0"/>
      </w:pPr>
    </w:p>
    <w:p w14:paraId="1645D5D3" w14:textId="77777777" w:rsidR="00D416BF" w:rsidRDefault="00421D21" w:rsidP="000A5D80">
      <w:pPr>
        <w:pStyle w:val="ListParagraph"/>
        <w:numPr>
          <w:ilvl w:val="0"/>
          <w:numId w:val="21"/>
        </w:numPr>
        <w:spacing w:before="0" w:after="0"/>
        <w:ind w:hanging="720"/>
      </w:pPr>
      <w:r>
        <w:t>Promote the role of the ASEAN-ROK Business Council (AKBC) as a business-driven consultative body, and the ASEAN Coordinating Committee on Micro, Small and Medium Enterprises (ACCMSMEs) as a focal point in MSMEs, in order to assist ASEAN and the ROK MSMEs in entering each other’s markets and in promoting bilateral trade and investment;</w:t>
      </w:r>
    </w:p>
    <w:p w14:paraId="06CE2F3F" w14:textId="77777777" w:rsidR="00D416BF" w:rsidRDefault="00D416BF" w:rsidP="00D416BF">
      <w:pPr>
        <w:pStyle w:val="ListParagraph"/>
        <w:spacing w:before="0" w:after="0"/>
      </w:pPr>
    </w:p>
    <w:p w14:paraId="5289B893" w14:textId="77777777" w:rsidR="00D416BF" w:rsidRDefault="00421D21" w:rsidP="000A5D80">
      <w:pPr>
        <w:pStyle w:val="ListParagraph"/>
        <w:numPr>
          <w:ilvl w:val="0"/>
          <w:numId w:val="21"/>
        </w:numPr>
        <w:spacing w:before="0" w:after="0"/>
        <w:ind w:hanging="720"/>
      </w:pPr>
      <w:r>
        <w:t>Promote cooperation on innovation between ASEAN and the ROK, including the possible establishment of an ASEAN-ROK Industrial Innovation Center, to enhance innovation capacity, optimise human capital development and improve the capacity and capability of ASEAN MSMEs, as well as expand cooperation regarding non-tech-based startup in ASEAN countries; and</w:t>
      </w:r>
    </w:p>
    <w:p w14:paraId="69E47161" w14:textId="77777777" w:rsidR="00D416BF" w:rsidRDefault="00D416BF" w:rsidP="00D416BF">
      <w:pPr>
        <w:pStyle w:val="ListParagraph"/>
        <w:spacing w:before="0" w:after="0"/>
      </w:pPr>
    </w:p>
    <w:p w14:paraId="11B8DEC6" w14:textId="1FD44CFC" w:rsidR="00421D21" w:rsidRDefault="00421D21" w:rsidP="000A5D80">
      <w:pPr>
        <w:pStyle w:val="ListParagraph"/>
        <w:numPr>
          <w:ilvl w:val="0"/>
          <w:numId w:val="21"/>
        </w:numPr>
        <w:spacing w:before="0" w:after="0"/>
        <w:ind w:hanging="720"/>
      </w:pPr>
      <w:r>
        <w:t>Encourage and empower MSMEs by promoting and accelerating the use of digital technology in order to enhance competitiveness and resilience of MSMEs as well as market access.</w:t>
      </w:r>
    </w:p>
    <w:p w14:paraId="2E9A156C" w14:textId="00053DCF" w:rsidR="00D416BF" w:rsidRDefault="00D416BF" w:rsidP="00D416BF">
      <w:pPr>
        <w:pStyle w:val="ListParagraph"/>
        <w:spacing w:before="0" w:after="0"/>
      </w:pPr>
    </w:p>
    <w:p w14:paraId="6420CF64" w14:textId="59C11B13" w:rsidR="00587F77" w:rsidRDefault="00587F77" w:rsidP="00D416BF">
      <w:pPr>
        <w:pStyle w:val="ListParagraph"/>
        <w:spacing w:before="0" w:after="0"/>
      </w:pPr>
    </w:p>
    <w:p w14:paraId="6038973F" w14:textId="77777777" w:rsidR="00587F77" w:rsidRDefault="00587F77" w:rsidP="00D416BF">
      <w:pPr>
        <w:pStyle w:val="ListParagraph"/>
        <w:spacing w:before="0" w:after="0"/>
      </w:pPr>
    </w:p>
    <w:p w14:paraId="7C4707A6" w14:textId="13095762" w:rsidR="00421D21" w:rsidRDefault="00421D21" w:rsidP="00D416BF">
      <w:pPr>
        <w:pStyle w:val="Heading2"/>
        <w:jc w:val="both"/>
      </w:pPr>
      <w:bookmarkStart w:id="14" w:name="_Toc52803119"/>
      <w:r>
        <w:lastRenderedPageBreak/>
        <w:t xml:space="preserve">2.5 </w:t>
      </w:r>
      <w:r w:rsidR="003D5B56">
        <w:tab/>
      </w:r>
      <w:r>
        <w:t>Energy</w:t>
      </w:r>
      <w:bookmarkEnd w:id="14"/>
    </w:p>
    <w:p w14:paraId="3060B21D" w14:textId="760F2293" w:rsidR="003D5B56" w:rsidRDefault="00421D21" w:rsidP="000A5D80">
      <w:pPr>
        <w:pStyle w:val="ListParagraph"/>
        <w:numPr>
          <w:ilvl w:val="0"/>
          <w:numId w:val="22"/>
        </w:numPr>
        <w:spacing w:before="0" w:after="0"/>
        <w:ind w:hanging="720"/>
      </w:pPr>
      <w:r>
        <w:t xml:space="preserve">Further enhance the cooperation and collaboration in energy cooperation between ASEAN and the ROK through capacity-building programmes on technology transfer such as workshops, seminars, exchange of expertise and technical assistance as well as various activities for instance joint research and publications and demonstration projects, in line with the relevant regional frameworks such as the ASEAN Plan on Action of Energy Cooperation (APAEC) </w:t>
      </w:r>
      <w:r w:rsidR="00587F77">
        <w:br/>
      </w:r>
      <w:r>
        <w:t>2016-2025;</w:t>
      </w:r>
    </w:p>
    <w:p w14:paraId="2A448A3F" w14:textId="77777777" w:rsidR="003D5B56" w:rsidRDefault="003D5B56" w:rsidP="003D5B56">
      <w:pPr>
        <w:pStyle w:val="ListParagraph"/>
        <w:spacing w:before="0" w:after="0"/>
      </w:pPr>
    </w:p>
    <w:p w14:paraId="3DE920F2" w14:textId="77777777" w:rsidR="003D5B56" w:rsidRDefault="00421D21" w:rsidP="000A5D80">
      <w:pPr>
        <w:pStyle w:val="ListParagraph"/>
        <w:numPr>
          <w:ilvl w:val="0"/>
          <w:numId w:val="22"/>
        </w:numPr>
        <w:spacing w:before="0" w:after="0"/>
        <w:ind w:hanging="720"/>
      </w:pPr>
      <w:r>
        <w:t>Strengthen cooperation in renewable energy, energy efficiency and conservation, energy storage system and low carbon technologies in order to reduce the dependence on fossil fuels; and</w:t>
      </w:r>
    </w:p>
    <w:p w14:paraId="5ED9C835" w14:textId="77777777" w:rsidR="003D5B56" w:rsidRDefault="003D5B56" w:rsidP="003D5B56">
      <w:pPr>
        <w:pStyle w:val="ListParagraph"/>
        <w:spacing w:before="0" w:after="0"/>
      </w:pPr>
    </w:p>
    <w:p w14:paraId="7772FCB6" w14:textId="426F9F35" w:rsidR="00421D21" w:rsidRDefault="00421D21" w:rsidP="000A5D80">
      <w:pPr>
        <w:pStyle w:val="ListParagraph"/>
        <w:numPr>
          <w:ilvl w:val="0"/>
          <w:numId w:val="22"/>
        </w:numPr>
        <w:spacing w:before="0" w:after="0"/>
        <w:ind w:hanging="720"/>
      </w:pPr>
      <w:r>
        <w:t>Support the rural household electrification programmes of ASEAN Member States including through solar energy storage, biomass, biogas, micro hydro and off-grid electrification.</w:t>
      </w:r>
    </w:p>
    <w:p w14:paraId="4F3B7CB6" w14:textId="77777777" w:rsidR="003D5B56" w:rsidRDefault="003D5B56" w:rsidP="003D5B56">
      <w:pPr>
        <w:pStyle w:val="ListParagraph"/>
        <w:spacing w:before="0" w:after="0"/>
      </w:pPr>
    </w:p>
    <w:p w14:paraId="1155CDAD" w14:textId="382C3566" w:rsidR="00421D21" w:rsidRDefault="00421D21" w:rsidP="003D5B56">
      <w:pPr>
        <w:pStyle w:val="Heading2"/>
        <w:jc w:val="both"/>
      </w:pPr>
      <w:bookmarkStart w:id="15" w:name="_Toc52803120"/>
      <w:r>
        <w:t xml:space="preserve">2.6 </w:t>
      </w:r>
      <w:r w:rsidR="003D5B56">
        <w:tab/>
      </w:r>
      <w:r>
        <w:t>Infrastructure</w:t>
      </w:r>
      <w:bookmarkEnd w:id="15"/>
    </w:p>
    <w:p w14:paraId="6E01DF24" w14:textId="77777777" w:rsidR="003D5B56" w:rsidRDefault="00421D21" w:rsidP="000A5D80">
      <w:pPr>
        <w:pStyle w:val="ListParagraph"/>
        <w:numPr>
          <w:ilvl w:val="0"/>
          <w:numId w:val="23"/>
        </w:numPr>
        <w:spacing w:before="0" w:after="0"/>
        <w:ind w:hanging="720"/>
      </w:pPr>
      <w:r>
        <w:t>Enhance cooperation in sustainable infrastructure including green infrastructure, transport and logistics, energy, water resources management and ICT infrastructure development by implementing related projects and sharing best practices and technologies that will together provide a long-term foundation for inclusive and equitable growth, and encourage regular exchanges between ASEAN and the ROK through various platforms, including through meetings between ASEAN and ROK Ministers Responsible for Infrastructure; and</w:t>
      </w:r>
    </w:p>
    <w:p w14:paraId="4D5B29DA" w14:textId="77777777" w:rsidR="003D5B56" w:rsidRDefault="003D5B56" w:rsidP="003D5B56">
      <w:pPr>
        <w:pStyle w:val="ListParagraph"/>
        <w:spacing w:before="0" w:after="0"/>
      </w:pPr>
    </w:p>
    <w:p w14:paraId="1EA073E9" w14:textId="31543156" w:rsidR="00421D21" w:rsidRDefault="00421D21" w:rsidP="000A5D80">
      <w:pPr>
        <w:pStyle w:val="ListParagraph"/>
        <w:numPr>
          <w:ilvl w:val="0"/>
          <w:numId w:val="23"/>
        </w:numPr>
        <w:spacing w:before="0" w:after="0"/>
        <w:ind w:hanging="720"/>
      </w:pPr>
      <w:r>
        <w:t xml:space="preserve">Strengthen cooperation to improve infrastructure development in the region by encouraging sustainable infrastructure investment through public and private partnership and other modalities to </w:t>
      </w:r>
      <w:proofErr w:type="spellStart"/>
      <w:r>
        <w:t>mobilise</w:t>
      </w:r>
      <w:proofErr w:type="spellEnd"/>
      <w:r>
        <w:t xml:space="preserve"> private sector investment, where appropriate, with a view to contributing to implementation of the Master Plan on ASEAN Connectivity (MPAC) 2025.</w:t>
      </w:r>
    </w:p>
    <w:p w14:paraId="05F57315" w14:textId="77777777" w:rsidR="003D5B56" w:rsidRDefault="003D5B56" w:rsidP="003D5B56">
      <w:pPr>
        <w:pStyle w:val="ListParagraph"/>
        <w:spacing w:before="0" w:after="0"/>
      </w:pPr>
    </w:p>
    <w:p w14:paraId="0C8B6486" w14:textId="49FE06B5" w:rsidR="00421D21" w:rsidRDefault="00421D21" w:rsidP="003D5B56">
      <w:pPr>
        <w:pStyle w:val="Heading2"/>
        <w:jc w:val="both"/>
      </w:pPr>
      <w:bookmarkStart w:id="16" w:name="_Toc52803121"/>
      <w:r>
        <w:t xml:space="preserve">2.7 </w:t>
      </w:r>
      <w:r w:rsidR="003D5B56">
        <w:tab/>
      </w:r>
      <w:r>
        <w:t>Transport</w:t>
      </w:r>
      <w:bookmarkEnd w:id="16"/>
    </w:p>
    <w:p w14:paraId="0142C8BB" w14:textId="77777777" w:rsidR="003D5B56" w:rsidRDefault="00421D21" w:rsidP="000A5D80">
      <w:pPr>
        <w:pStyle w:val="ListParagraph"/>
        <w:numPr>
          <w:ilvl w:val="0"/>
          <w:numId w:val="24"/>
        </w:numPr>
        <w:spacing w:before="0" w:after="0"/>
        <w:ind w:hanging="720"/>
      </w:pPr>
      <w:r>
        <w:t>Enhance policy dialogue and knowledge exchanges in transport and logistics cooperation through the ASEAN and ROK Transport Ministers Meeting, ASEAN and ROK Senior Transport Officials Meeting (STOM+ROK) and other relevant mechanisms to support the implementation of the Kuala Lumpur Transport Strategic Plan (ASEAN Transport Strategic Plan) (2016-2025);</w:t>
      </w:r>
    </w:p>
    <w:p w14:paraId="090738B7" w14:textId="77777777" w:rsidR="003D5B56" w:rsidRDefault="003D5B56" w:rsidP="003D5B56">
      <w:pPr>
        <w:pStyle w:val="ListParagraph"/>
        <w:spacing w:before="0" w:after="0"/>
      </w:pPr>
    </w:p>
    <w:p w14:paraId="714B055D" w14:textId="46C2DE42" w:rsidR="003D5B56" w:rsidRDefault="00421D21" w:rsidP="000A5D80">
      <w:pPr>
        <w:pStyle w:val="ListParagraph"/>
        <w:numPr>
          <w:ilvl w:val="0"/>
          <w:numId w:val="24"/>
        </w:numPr>
        <w:spacing w:before="0" w:after="0"/>
        <w:ind w:hanging="720"/>
      </w:pPr>
      <w:r>
        <w:t>Support the implementation of the “Framework of Transport Cooperation between Transport Authorities of ASEAN and the Ministry of Land, Transport and Maritime Affairs of the ROK”, which was adopted in December 2009, and the revised ASEAN-ROK Transport Cooperation Roadmap, which will contribute, through the cooperation between ASEAN and the ROK, to the ASEAN Transport Strategic Plan 2016-2025;</w:t>
      </w:r>
    </w:p>
    <w:p w14:paraId="196B5C5B" w14:textId="77777777" w:rsidR="003D5B56" w:rsidRDefault="003D5B56" w:rsidP="003D5B56">
      <w:pPr>
        <w:pStyle w:val="ListParagraph"/>
        <w:spacing w:before="0" w:after="0"/>
      </w:pPr>
    </w:p>
    <w:p w14:paraId="2C3524FB" w14:textId="77777777" w:rsidR="003D5B56" w:rsidRDefault="00421D21" w:rsidP="000A5D80">
      <w:pPr>
        <w:pStyle w:val="ListParagraph"/>
        <w:numPr>
          <w:ilvl w:val="0"/>
          <w:numId w:val="24"/>
        </w:numPr>
        <w:spacing w:before="0" w:after="0"/>
        <w:ind w:hanging="720"/>
      </w:pPr>
      <w:r>
        <w:t>Continue capacity building and knowledge sharing in the transport sector through training programmes, the ASEAN-ROK Transport Cooperation Forum, and other related ASEAN-ROK projects;</w:t>
      </w:r>
    </w:p>
    <w:p w14:paraId="42C28BBF" w14:textId="77777777" w:rsidR="003D5B56" w:rsidRDefault="003D5B56" w:rsidP="003D5B56">
      <w:pPr>
        <w:pStyle w:val="ListParagraph"/>
        <w:spacing w:before="0" w:after="0"/>
      </w:pPr>
    </w:p>
    <w:p w14:paraId="5192A627" w14:textId="77777777" w:rsidR="003D5B56" w:rsidRDefault="00421D21" w:rsidP="000A5D80">
      <w:pPr>
        <w:pStyle w:val="ListParagraph"/>
        <w:numPr>
          <w:ilvl w:val="0"/>
          <w:numId w:val="24"/>
        </w:numPr>
        <w:spacing w:before="0" w:after="0"/>
        <w:ind w:hanging="720"/>
      </w:pPr>
      <w:r>
        <w:t>Enhance air transport connectivity between and beyond ASEAN and the ROK and strengthen efforts to conclude a more liberal and mutually beneficial ASEAN-ROK Air Services Agreement; and</w:t>
      </w:r>
    </w:p>
    <w:p w14:paraId="6529598A" w14:textId="77777777" w:rsidR="003D5B56" w:rsidRDefault="003D5B56" w:rsidP="003D5B56">
      <w:pPr>
        <w:pStyle w:val="ListParagraph"/>
        <w:spacing w:before="0" w:after="0"/>
      </w:pPr>
    </w:p>
    <w:p w14:paraId="6C24520C" w14:textId="4458A487" w:rsidR="003D5B56" w:rsidRDefault="00421D21" w:rsidP="000A5D80">
      <w:pPr>
        <w:pStyle w:val="ListParagraph"/>
        <w:numPr>
          <w:ilvl w:val="0"/>
          <w:numId w:val="24"/>
        </w:numPr>
        <w:spacing w:before="0" w:after="0"/>
        <w:ind w:hanging="720"/>
      </w:pPr>
      <w:r>
        <w:lastRenderedPageBreak/>
        <w:t>Promote ASEAN-ROK Port Development Cooperation by implementing effective measures to ensure navigation safety and better port linkages and transferring the ROK's knowledge and skills on policies and technologies of port development and operation to ASEAN port experts.</w:t>
      </w:r>
    </w:p>
    <w:p w14:paraId="17ACB7DF" w14:textId="77777777" w:rsidR="00587F77" w:rsidRPr="00587F77" w:rsidRDefault="00587F77" w:rsidP="00587F77">
      <w:pPr>
        <w:pStyle w:val="ListParagraph"/>
        <w:spacing w:before="0" w:after="0"/>
      </w:pPr>
    </w:p>
    <w:p w14:paraId="09EFB903" w14:textId="486C7598" w:rsidR="00421D21" w:rsidRDefault="00421D21" w:rsidP="003D5B56">
      <w:pPr>
        <w:pStyle w:val="Heading2"/>
        <w:jc w:val="both"/>
      </w:pPr>
      <w:bookmarkStart w:id="17" w:name="_Toc52803122"/>
      <w:r>
        <w:t xml:space="preserve">2.8 </w:t>
      </w:r>
      <w:r w:rsidR="003D5B56">
        <w:tab/>
      </w:r>
      <w:r>
        <w:t>Food, Agriculture, and Forestry</w:t>
      </w:r>
      <w:bookmarkEnd w:id="17"/>
    </w:p>
    <w:p w14:paraId="3CC36A5E" w14:textId="77777777" w:rsidR="003D5B56" w:rsidRDefault="00421D21" w:rsidP="000A5D80">
      <w:pPr>
        <w:pStyle w:val="ListParagraph"/>
        <w:numPr>
          <w:ilvl w:val="0"/>
          <w:numId w:val="25"/>
        </w:numPr>
        <w:spacing w:before="0" w:after="0"/>
        <w:ind w:hanging="720"/>
      </w:pPr>
      <w:r>
        <w:t>Enhance dialogue, exchange of information and technology, sharing of best practices and expertise, capacity building, human resource developments in key areas of mutual interests in the fields of food, agriculture and forestry;</w:t>
      </w:r>
    </w:p>
    <w:p w14:paraId="02DB3775" w14:textId="77777777" w:rsidR="003D5B56" w:rsidRDefault="003D5B56" w:rsidP="003D5B56">
      <w:pPr>
        <w:pStyle w:val="ListParagraph"/>
        <w:spacing w:before="0" w:after="0"/>
      </w:pPr>
    </w:p>
    <w:p w14:paraId="2A02A652" w14:textId="77777777" w:rsidR="003D5B56" w:rsidRDefault="00421D21" w:rsidP="000A5D80">
      <w:pPr>
        <w:pStyle w:val="ListParagraph"/>
        <w:numPr>
          <w:ilvl w:val="0"/>
          <w:numId w:val="25"/>
        </w:numPr>
        <w:spacing w:before="0" w:after="0"/>
        <w:ind w:hanging="720"/>
      </w:pPr>
      <w:r>
        <w:t>Endeavour to launch cooperation projects in the fields of food, agriculture and forestry including by encouraging more investment and involvement of private sector;</w:t>
      </w:r>
    </w:p>
    <w:p w14:paraId="75D684CA" w14:textId="77777777" w:rsidR="003D5B56" w:rsidRDefault="003D5B56" w:rsidP="003D5B56">
      <w:pPr>
        <w:pStyle w:val="ListParagraph"/>
        <w:spacing w:before="0" w:after="0"/>
      </w:pPr>
    </w:p>
    <w:p w14:paraId="10B84FD3" w14:textId="77777777" w:rsidR="003D5B56" w:rsidRDefault="00421D21" w:rsidP="000A5D80">
      <w:pPr>
        <w:pStyle w:val="ListParagraph"/>
        <w:numPr>
          <w:ilvl w:val="0"/>
          <w:numId w:val="25"/>
        </w:numPr>
        <w:spacing w:before="0" w:after="0"/>
        <w:ind w:hanging="720"/>
      </w:pPr>
      <w:r>
        <w:t>Enhance collaboration on the implementation of sustainable forest management, forest law enforcement and governance (FLEG), timber legality assurance, forest and climate change, and assist small and medium (forestry) enterprises to meet international market requirements;</w:t>
      </w:r>
    </w:p>
    <w:p w14:paraId="33E1C355" w14:textId="77777777" w:rsidR="003D5B56" w:rsidRDefault="003D5B56" w:rsidP="003D5B56">
      <w:pPr>
        <w:pStyle w:val="ListParagraph"/>
        <w:spacing w:before="0" w:after="0"/>
      </w:pPr>
    </w:p>
    <w:p w14:paraId="6AF8CF81" w14:textId="77777777" w:rsidR="003D5B56" w:rsidRDefault="00421D21" w:rsidP="000A5D80">
      <w:pPr>
        <w:pStyle w:val="ListParagraph"/>
        <w:numPr>
          <w:ilvl w:val="0"/>
          <w:numId w:val="25"/>
        </w:numPr>
        <w:spacing w:before="0" w:after="0"/>
        <w:ind w:hanging="720"/>
      </w:pPr>
      <w:r>
        <w:t>Strengthen collaboration and synergy with the Asian Forest Cooperation Organisation (</w:t>
      </w:r>
      <w:proofErr w:type="spellStart"/>
      <w:r>
        <w:t>AFoCO</w:t>
      </w:r>
      <w:proofErr w:type="spellEnd"/>
      <w:r>
        <w:t xml:space="preserve">) to address common forestry-related issues and promote joint cooperation between ASEAN and </w:t>
      </w:r>
      <w:proofErr w:type="spellStart"/>
      <w:r>
        <w:t>AFoCO</w:t>
      </w:r>
      <w:proofErr w:type="spellEnd"/>
      <w:r>
        <w:t>; and</w:t>
      </w:r>
    </w:p>
    <w:p w14:paraId="5ED0E5FE" w14:textId="77777777" w:rsidR="003D5B56" w:rsidRDefault="003D5B56" w:rsidP="003D5B56">
      <w:pPr>
        <w:pStyle w:val="ListParagraph"/>
        <w:spacing w:before="0" w:after="0"/>
      </w:pPr>
    </w:p>
    <w:p w14:paraId="00DBE1DD" w14:textId="663D757B" w:rsidR="00421D21" w:rsidRDefault="00421D21" w:rsidP="000A5D80">
      <w:pPr>
        <w:pStyle w:val="ListParagraph"/>
        <w:numPr>
          <w:ilvl w:val="0"/>
          <w:numId w:val="25"/>
        </w:numPr>
        <w:spacing w:before="0" w:after="0"/>
        <w:ind w:hanging="720"/>
      </w:pPr>
      <w:r>
        <w:t>Promote responsible fishing practices and combat illegal, unreported and unregulated fishing and enhance the capacity to preserve and manage the marine resources.</w:t>
      </w:r>
    </w:p>
    <w:p w14:paraId="0742BEE9" w14:textId="77777777" w:rsidR="00421D21" w:rsidRDefault="00421D21" w:rsidP="00421D21">
      <w:pPr>
        <w:spacing w:before="0" w:after="0"/>
      </w:pPr>
    </w:p>
    <w:p w14:paraId="26A293E6" w14:textId="0F143A36" w:rsidR="00421D21" w:rsidRDefault="00421D21" w:rsidP="003D5B56">
      <w:pPr>
        <w:pStyle w:val="Heading2"/>
        <w:jc w:val="both"/>
      </w:pPr>
      <w:bookmarkStart w:id="18" w:name="_Toc52803123"/>
      <w:r>
        <w:t xml:space="preserve">2.9 </w:t>
      </w:r>
      <w:r w:rsidR="003D5B56">
        <w:tab/>
      </w:r>
      <w:r>
        <w:t>Information and Communication Technology (ICT)</w:t>
      </w:r>
      <w:bookmarkEnd w:id="18"/>
    </w:p>
    <w:p w14:paraId="4610B6EF" w14:textId="67CCF84C" w:rsidR="00421D21" w:rsidRDefault="00421D21" w:rsidP="000A5D80">
      <w:pPr>
        <w:pStyle w:val="ListParagraph"/>
        <w:numPr>
          <w:ilvl w:val="0"/>
          <w:numId w:val="26"/>
        </w:numPr>
        <w:spacing w:before="0" w:after="0"/>
        <w:ind w:hanging="720"/>
      </w:pPr>
      <w:r>
        <w:t>Enhance policy dialogue and information exchanges through the ASEAN Digital Ministers’ Meeting with the ROK (ADGMIN + ROK) and other relevant mechanisms;</w:t>
      </w:r>
    </w:p>
    <w:p w14:paraId="74BB7D76" w14:textId="77777777" w:rsidR="003D5B56" w:rsidRDefault="003D5B56" w:rsidP="003D5B56">
      <w:pPr>
        <w:pStyle w:val="ListParagraph"/>
        <w:spacing w:before="0" w:after="0"/>
      </w:pPr>
    </w:p>
    <w:p w14:paraId="0A46BEE4" w14:textId="413A4D7D" w:rsidR="00421D21" w:rsidRDefault="00421D21" w:rsidP="000A5D80">
      <w:pPr>
        <w:pStyle w:val="ListParagraph"/>
        <w:numPr>
          <w:ilvl w:val="0"/>
          <w:numId w:val="26"/>
        </w:numPr>
        <w:spacing w:before="0" w:after="0"/>
        <w:ind w:hanging="720"/>
      </w:pPr>
      <w:r>
        <w:t>Support the implementation of the ASEAN Digital Master Plan (ADMP) 2025 with emerging technologies such as 5G, Internet of Things (IoT) and Artificial Intelligence (AI), open data and big data analytics in order to foster ASEAN-ROK digital ecosystem;</w:t>
      </w:r>
    </w:p>
    <w:p w14:paraId="593FD5C4" w14:textId="77777777" w:rsidR="003D5B56" w:rsidRDefault="003D5B56" w:rsidP="003D5B56">
      <w:pPr>
        <w:pStyle w:val="ListParagraph"/>
        <w:spacing w:before="0" w:after="0"/>
      </w:pPr>
    </w:p>
    <w:p w14:paraId="5715D458" w14:textId="57C91BE4" w:rsidR="00421D21" w:rsidRDefault="00421D21" w:rsidP="000A5D80">
      <w:pPr>
        <w:pStyle w:val="ListParagraph"/>
        <w:numPr>
          <w:ilvl w:val="0"/>
          <w:numId w:val="26"/>
        </w:numPr>
        <w:spacing w:before="0" w:after="0"/>
        <w:ind w:hanging="720"/>
      </w:pPr>
      <w:r>
        <w:t>Support the development of ICT infrastructure and bridge the digital divide through capacity-building initiatives, as well as sharing of experiences and best practices to harness benefits of digital innovation;</w:t>
      </w:r>
    </w:p>
    <w:p w14:paraId="5B7F9213" w14:textId="77777777" w:rsidR="003D5B56" w:rsidRDefault="003D5B56" w:rsidP="003D5B56">
      <w:pPr>
        <w:pStyle w:val="ListParagraph"/>
        <w:spacing w:before="0" w:after="0"/>
      </w:pPr>
    </w:p>
    <w:p w14:paraId="7B80118D" w14:textId="00F8952D" w:rsidR="00421D21" w:rsidRDefault="00421D21" w:rsidP="000A5D80">
      <w:pPr>
        <w:pStyle w:val="ListParagraph"/>
        <w:numPr>
          <w:ilvl w:val="0"/>
          <w:numId w:val="26"/>
        </w:numPr>
        <w:spacing w:before="0" w:after="0"/>
        <w:ind w:hanging="720"/>
      </w:pPr>
      <w:r>
        <w:t>Promote cooperation through various activities, initiatives and joint programmes of ICT development to deepen partnership between ASEAN and the ROK, which facilitate digital innovation and enhance smart connectivity; and</w:t>
      </w:r>
    </w:p>
    <w:p w14:paraId="3811841A" w14:textId="77777777" w:rsidR="003D5B56" w:rsidRDefault="003D5B56" w:rsidP="003D5B56">
      <w:pPr>
        <w:pStyle w:val="ListParagraph"/>
        <w:spacing w:before="0" w:after="0"/>
      </w:pPr>
    </w:p>
    <w:p w14:paraId="7B2E4967" w14:textId="0F0877BD" w:rsidR="00421D21" w:rsidRDefault="00421D21" w:rsidP="000A5D80">
      <w:pPr>
        <w:pStyle w:val="ListParagraph"/>
        <w:numPr>
          <w:ilvl w:val="0"/>
          <w:numId w:val="26"/>
        </w:numPr>
        <w:spacing w:before="0" w:after="0"/>
        <w:ind w:hanging="720"/>
      </w:pPr>
      <w:r>
        <w:t>Further strengthen cooperation in the fields of digital economy, including ICT, human resource development, information security, e-government, smart city development, digital literacy, digital convergence and enhance collaboration to address new challenges brought about by advances in digital technology.</w:t>
      </w:r>
    </w:p>
    <w:p w14:paraId="6EEBA4DC" w14:textId="58169DE8" w:rsidR="003D5B56" w:rsidRDefault="003D5B56" w:rsidP="003D5B56">
      <w:pPr>
        <w:pStyle w:val="ListParagraph"/>
        <w:spacing w:before="0" w:after="0"/>
      </w:pPr>
    </w:p>
    <w:p w14:paraId="76B4BA73" w14:textId="0E61C092" w:rsidR="00587F77" w:rsidRDefault="00587F77" w:rsidP="003D5B56">
      <w:pPr>
        <w:pStyle w:val="ListParagraph"/>
        <w:spacing w:before="0" w:after="0"/>
      </w:pPr>
    </w:p>
    <w:p w14:paraId="57255F01" w14:textId="4FBA8B85" w:rsidR="00587F77" w:rsidRDefault="00587F77" w:rsidP="003D5B56">
      <w:pPr>
        <w:pStyle w:val="ListParagraph"/>
        <w:spacing w:before="0" w:after="0"/>
      </w:pPr>
    </w:p>
    <w:p w14:paraId="42874535" w14:textId="5A76DE90" w:rsidR="00587F77" w:rsidRDefault="00587F77" w:rsidP="003D5B56">
      <w:pPr>
        <w:pStyle w:val="ListParagraph"/>
        <w:spacing w:before="0" w:after="0"/>
      </w:pPr>
    </w:p>
    <w:p w14:paraId="1D453220" w14:textId="02A0BA1D" w:rsidR="00587F77" w:rsidRDefault="00587F77" w:rsidP="003D5B56">
      <w:pPr>
        <w:pStyle w:val="ListParagraph"/>
        <w:spacing w:before="0" w:after="0"/>
      </w:pPr>
    </w:p>
    <w:p w14:paraId="6B109EC2" w14:textId="77777777" w:rsidR="00587F77" w:rsidRDefault="00587F77" w:rsidP="003D5B56">
      <w:pPr>
        <w:pStyle w:val="ListParagraph"/>
        <w:spacing w:before="0" w:after="0"/>
      </w:pPr>
    </w:p>
    <w:p w14:paraId="39C2E5EF" w14:textId="61207CE9" w:rsidR="00421D21" w:rsidRDefault="00421D21" w:rsidP="003D5B56">
      <w:pPr>
        <w:pStyle w:val="Heading2"/>
        <w:jc w:val="both"/>
      </w:pPr>
      <w:bookmarkStart w:id="19" w:name="_Toc52803124"/>
      <w:r>
        <w:lastRenderedPageBreak/>
        <w:t xml:space="preserve">2.10 </w:t>
      </w:r>
      <w:r w:rsidR="003D5B56">
        <w:tab/>
      </w:r>
      <w:r>
        <w:t>Tourism</w:t>
      </w:r>
      <w:bookmarkEnd w:id="19"/>
    </w:p>
    <w:p w14:paraId="04FBE2DC" w14:textId="53BBAEF4" w:rsidR="00421D21" w:rsidRDefault="00421D21" w:rsidP="000A5D80">
      <w:pPr>
        <w:pStyle w:val="ListParagraph"/>
        <w:numPr>
          <w:ilvl w:val="0"/>
          <w:numId w:val="27"/>
        </w:numPr>
        <w:spacing w:before="0" w:after="0"/>
        <w:ind w:hanging="720"/>
      </w:pPr>
      <w:r>
        <w:t>Promote tourism between ASEAN and the ROK through joint programmes on marketing and promotions, travel and investment facilitation, improvement of the environment to receive tourists in local areas, sharing of best practices, exchange of information on tourism statistics and investment opportunity, capacity building and encourage training and advancement programs for tourism professionals, including MSMEs and other relevant sectors, so that they can benefit from the development in tourism industry;</w:t>
      </w:r>
    </w:p>
    <w:p w14:paraId="2E803E47" w14:textId="77777777" w:rsidR="003D5B56" w:rsidRDefault="003D5B56" w:rsidP="003D5B56">
      <w:pPr>
        <w:pStyle w:val="ListParagraph"/>
        <w:spacing w:before="0" w:after="0"/>
      </w:pPr>
    </w:p>
    <w:p w14:paraId="4E3ACE04" w14:textId="02A9286B" w:rsidR="00421D21" w:rsidRDefault="00421D21" w:rsidP="000A5D80">
      <w:pPr>
        <w:pStyle w:val="ListParagraph"/>
        <w:numPr>
          <w:ilvl w:val="0"/>
          <w:numId w:val="27"/>
        </w:numPr>
        <w:spacing w:before="0" w:after="0"/>
        <w:ind w:hanging="720"/>
      </w:pPr>
      <w:r>
        <w:t>Promote tourism development that supports the protection and conservation of biodiversity, and enhance its role as one of the main resources for tourism destinations;</w:t>
      </w:r>
    </w:p>
    <w:p w14:paraId="293573D3" w14:textId="77777777" w:rsidR="003D5B56" w:rsidRDefault="003D5B56" w:rsidP="003D5B56">
      <w:pPr>
        <w:pStyle w:val="ListParagraph"/>
        <w:spacing w:before="0" w:after="0"/>
      </w:pPr>
    </w:p>
    <w:p w14:paraId="40FE3CDB" w14:textId="4EABA067" w:rsidR="00421D21" w:rsidRDefault="00421D21" w:rsidP="000A5D80">
      <w:pPr>
        <w:pStyle w:val="ListParagraph"/>
        <w:numPr>
          <w:ilvl w:val="0"/>
          <w:numId w:val="27"/>
        </w:numPr>
        <w:spacing w:before="0" w:after="0"/>
        <w:ind w:hanging="720"/>
      </w:pPr>
      <w:r>
        <w:t>Support the development of quality tourism, where appropriate, through promotion of tourism industry standards and programmes for sustainable tourism and human resources development;</w:t>
      </w:r>
    </w:p>
    <w:p w14:paraId="2A05E071" w14:textId="77777777" w:rsidR="003D5B56" w:rsidRDefault="003D5B56" w:rsidP="003D5B56">
      <w:pPr>
        <w:pStyle w:val="ListParagraph"/>
        <w:spacing w:before="0" w:after="0"/>
      </w:pPr>
    </w:p>
    <w:p w14:paraId="74716962" w14:textId="6468F82E" w:rsidR="00421D21" w:rsidRDefault="00421D21" w:rsidP="000A5D80">
      <w:pPr>
        <w:pStyle w:val="ListParagraph"/>
        <w:numPr>
          <w:ilvl w:val="0"/>
          <w:numId w:val="27"/>
        </w:numPr>
        <w:spacing w:before="0" w:after="0"/>
        <w:ind w:hanging="720"/>
      </w:pPr>
      <w:r>
        <w:t>Support activities of the ASEAN-Korea Centre to promote tourism and cultural exchanges between ASEAN and the ROK, including the ASEAN Week and the ASEAN-Korea Tourism Development Workshop;</w:t>
      </w:r>
    </w:p>
    <w:p w14:paraId="354CF53D" w14:textId="77777777" w:rsidR="003D5B56" w:rsidRDefault="003D5B56" w:rsidP="003D5B56">
      <w:pPr>
        <w:pStyle w:val="ListParagraph"/>
        <w:spacing w:before="0" w:after="0"/>
      </w:pPr>
    </w:p>
    <w:p w14:paraId="1E89EADD" w14:textId="169A376C" w:rsidR="00421D21" w:rsidRDefault="00421D21" w:rsidP="000A5D80">
      <w:pPr>
        <w:pStyle w:val="ListParagraph"/>
        <w:numPr>
          <w:ilvl w:val="0"/>
          <w:numId w:val="27"/>
        </w:numPr>
        <w:spacing w:before="0" w:after="0"/>
        <w:ind w:hanging="720"/>
      </w:pPr>
      <w:r>
        <w:t>Encourage and facilitate the participation of business communities and other tourism segments in travel marts, exhibitions and tourism festivals both in ASEAN and the ROK; and</w:t>
      </w:r>
    </w:p>
    <w:p w14:paraId="7A4A7C94" w14:textId="77777777" w:rsidR="003D5B56" w:rsidRDefault="003D5B56" w:rsidP="003D5B56">
      <w:pPr>
        <w:pStyle w:val="ListParagraph"/>
        <w:spacing w:before="0" w:after="0"/>
      </w:pPr>
    </w:p>
    <w:p w14:paraId="2C03D722" w14:textId="35F39A4D" w:rsidR="00421D21" w:rsidRDefault="00421D21" w:rsidP="000A5D80">
      <w:pPr>
        <w:pStyle w:val="ListParagraph"/>
        <w:numPr>
          <w:ilvl w:val="0"/>
          <w:numId w:val="27"/>
        </w:numPr>
        <w:spacing w:before="0" w:after="0"/>
        <w:ind w:hanging="720"/>
      </w:pPr>
      <w:r>
        <w:t>Strengthen cooperation in crisis communications through sharing of accurate and timely information to relevant tourism organisations.</w:t>
      </w:r>
    </w:p>
    <w:p w14:paraId="5D735E94" w14:textId="77777777" w:rsidR="003D5B56" w:rsidRDefault="003D5B56" w:rsidP="003D5B56">
      <w:pPr>
        <w:pStyle w:val="ListParagraph"/>
        <w:spacing w:before="0" w:after="0"/>
      </w:pPr>
    </w:p>
    <w:p w14:paraId="2A610BB2" w14:textId="2E002F1B" w:rsidR="00421D21" w:rsidRDefault="00421D21" w:rsidP="003D5B56">
      <w:pPr>
        <w:pStyle w:val="Heading2"/>
        <w:jc w:val="both"/>
      </w:pPr>
      <w:bookmarkStart w:id="20" w:name="_Toc52803125"/>
      <w:r>
        <w:t xml:space="preserve">2.11 </w:t>
      </w:r>
      <w:r w:rsidR="003D5B56">
        <w:tab/>
      </w:r>
      <w:r>
        <w:t>Science, Technology and Innovation</w:t>
      </w:r>
      <w:bookmarkEnd w:id="20"/>
    </w:p>
    <w:p w14:paraId="680A650F" w14:textId="29820DDB" w:rsidR="00421D21" w:rsidRDefault="00421D21" w:rsidP="000A5D80">
      <w:pPr>
        <w:pStyle w:val="ListParagraph"/>
        <w:numPr>
          <w:ilvl w:val="0"/>
          <w:numId w:val="28"/>
        </w:numPr>
        <w:spacing w:before="0" w:after="0"/>
        <w:ind w:hanging="720"/>
      </w:pPr>
      <w:r>
        <w:t xml:space="preserve">Promote cooperation on science, technology, and innovation through facilitating human resource development, intensifying research and development collaboration in strategic and innovative areas, fostering technology transfer including exchange of information and sharing of knowledge, and </w:t>
      </w:r>
      <w:proofErr w:type="spellStart"/>
      <w:r>
        <w:t>commercialisation</w:t>
      </w:r>
      <w:proofErr w:type="spellEnd"/>
      <w:r>
        <w:t xml:space="preserve"> between ASEAN Member States and the ROK;</w:t>
      </w:r>
    </w:p>
    <w:p w14:paraId="1AC01FA1" w14:textId="77777777" w:rsidR="003D5B56" w:rsidRDefault="003D5B56" w:rsidP="003D5B56">
      <w:pPr>
        <w:pStyle w:val="ListParagraph"/>
        <w:spacing w:before="0" w:after="0"/>
      </w:pPr>
    </w:p>
    <w:p w14:paraId="71D3CF88" w14:textId="63C86B10" w:rsidR="00421D21" w:rsidRDefault="00421D21" w:rsidP="000A5D80">
      <w:pPr>
        <w:pStyle w:val="ListParagraph"/>
        <w:numPr>
          <w:ilvl w:val="0"/>
          <w:numId w:val="28"/>
        </w:numPr>
        <w:spacing w:before="0" w:after="0"/>
        <w:ind w:hanging="720"/>
      </w:pPr>
      <w:r>
        <w:t>Encourage joint research activities and exchanges of youth experts, and scientists among research institutes, higher education institutions and enterprises among all ASEAN Member States and the ROK; and</w:t>
      </w:r>
    </w:p>
    <w:p w14:paraId="687A4992" w14:textId="77777777" w:rsidR="003D5B56" w:rsidRDefault="003D5B56" w:rsidP="003D5B56">
      <w:pPr>
        <w:pStyle w:val="ListParagraph"/>
        <w:spacing w:before="0" w:after="0"/>
      </w:pPr>
    </w:p>
    <w:p w14:paraId="65CD8180" w14:textId="216E5F65" w:rsidR="00421D21" w:rsidRDefault="00421D21" w:rsidP="000A5D80">
      <w:pPr>
        <w:pStyle w:val="ListParagraph"/>
        <w:numPr>
          <w:ilvl w:val="0"/>
          <w:numId w:val="28"/>
        </w:numPr>
        <w:spacing w:before="0" w:after="0"/>
        <w:ind w:hanging="720"/>
      </w:pPr>
      <w:r>
        <w:t xml:space="preserve">Strengthen partnerships in the fields of innovative industries such as smart agriculture, future environment and energy, future mobility and smart life including next generation automobile, healthcare innovation, robotics and automation, </w:t>
      </w:r>
      <w:proofErr w:type="spellStart"/>
      <w:r>
        <w:t>bioeconomy</w:t>
      </w:r>
      <w:proofErr w:type="spellEnd"/>
      <w:r>
        <w:t>, and smart electronics and appliances, by sharing best practices and experiences to better respond the challenges and opportunities of the Fourth Industrial Revolution (4IR).</w:t>
      </w:r>
    </w:p>
    <w:p w14:paraId="6A0D75D5" w14:textId="77777777" w:rsidR="003D5B56" w:rsidRDefault="003D5B56" w:rsidP="00421D21">
      <w:pPr>
        <w:spacing w:before="0" w:after="0"/>
      </w:pPr>
    </w:p>
    <w:p w14:paraId="17EDF753" w14:textId="3774021B" w:rsidR="00421D21" w:rsidRDefault="00421D21" w:rsidP="003D5B56">
      <w:pPr>
        <w:pStyle w:val="Heading2"/>
        <w:jc w:val="both"/>
      </w:pPr>
      <w:bookmarkStart w:id="21" w:name="_Toc52803126"/>
      <w:r>
        <w:t xml:space="preserve">2.12 </w:t>
      </w:r>
      <w:r w:rsidR="003D5B56">
        <w:tab/>
      </w:r>
      <w:r>
        <w:t>Intellectual Property (IP)</w:t>
      </w:r>
      <w:bookmarkEnd w:id="21"/>
    </w:p>
    <w:p w14:paraId="1270439A" w14:textId="77777777" w:rsidR="003D5B56" w:rsidRDefault="00421D21" w:rsidP="000A5D80">
      <w:pPr>
        <w:pStyle w:val="ListParagraph"/>
        <w:numPr>
          <w:ilvl w:val="0"/>
          <w:numId w:val="29"/>
        </w:numPr>
        <w:spacing w:before="0" w:after="0"/>
        <w:ind w:hanging="720"/>
      </w:pPr>
      <w:r>
        <w:t>Strengthen cooperation in areas of IP capacity building, IP protection and IP utilization; and</w:t>
      </w:r>
    </w:p>
    <w:p w14:paraId="2010DD99" w14:textId="77777777" w:rsidR="003D5B56" w:rsidRDefault="003D5B56" w:rsidP="003D5B56">
      <w:pPr>
        <w:pStyle w:val="ListParagraph"/>
        <w:spacing w:before="0" w:after="0"/>
      </w:pPr>
    </w:p>
    <w:p w14:paraId="72DB1EF0" w14:textId="3831FF38" w:rsidR="00421D21" w:rsidRDefault="00421D21" w:rsidP="000A5D80">
      <w:pPr>
        <w:pStyle w:val="ListParagraph"/>
        <w:numPr>
          <w:ilvl w:val="0"/>
          <w:numId w:val="29"/>
        </w:numPr>
        <w:spacing w:before="0" w:after="0"/>
        <w:ind w:hanging="720"/>
      </w:pPr>
      <w:r>
        <w:t>Continue collaboration on IP education and continue dialogue and exchange of information on IP policies and regulations.</w:t>
      </w:r>
    </w:p>
    <w:p w14:paraId="7118E0A8" w14:textId="77777777" w:rsidR="003D5B56" w:rsidRDefault="003D5B56" w:rsidP="003D5B56">
      <w:pPr>
        <w:pStyle w:val="ListParagraph"/>
        <w:spacing w:before="0" w:after="0"/>
      </w:pPr>
    </w:p>
    <w:p w14:paraId="69C1289D" w14:textId="5791828D" w:rsidR="003D5B56" w:rsidRDefault="00421D21" w:rsidP="003D5B56">
      <w:pPr>
        <w:pStyle w:val="Heading1"/>
        <w:jc w:val="both"/>
      </w:pPr>
      <w:bookmarkStart w:id="22" w:name="_Toc52803127"/>
      <w:r>
        <w:lastRenderedPageBreak/>
        <w:t xml:space="preserve">3. </w:t>
      </w:r>
      <w:r w:rsidR="003D5B56">
        <w:tab/>
      </w:r>
      <w:r>
        <w:t>Socio-Cultural Cooperation</w:t>
      </w:r>
      <w:bookmarkEnd w:id="22"/>
      <w:r>
        <w:t xml:space="preserve"> </w:t>
      </w:r>
    </w:p>
    <w:p w14:paraId="5B3EDEF6" w14:textId="27F0AFB5" w:rsidR="00421D21" w:rsidRDefault="00421D21" w:rsidP="003D5B56">
      <w:pPr>
        <w:pStyle w:val="Heading2"/>
        <w:jc w:val="both"/>
      </w:pPr>
      <w:bookmarkStart w:id="23" w:name="_Toc52803128"/>
      <w:r>
        <w:t xml:space="preserve">3.1 </w:t>
      </w:r>
      <w:r w:rsidR="003D5B56">
        <w:tab/>
      </w:r>
      <w:r>
        <w:t>Disaster Management</w:t>
      </w:r>
      <w:bookmarkEnd w:id="23"/>
    </w:p>
    <w:p w14:paraId="6674A550" w14:textId="738EF076" w:rsidR="00BD547A" w:rsidRDefault="00421D21" w:rsidP="000A5D80">
      <w:pPr>
        <w:pStyle w:val="ListParagraph"/>
        <w:numPr>
          <w:ilvl w:val="0"/>
          <w:numId w:val="30"/>
        </w:numPr>
        <w:spacing w:before="0" w:after="0"/>
        <w:ind w:hanging="720"/>
      </w:pPr>
      <w:r>
        <w:t xml:space="preserve">Strengthen cooperation in disaster management, including </w:t>
      </w:r>
      <w:r w:rsidR="004B3968">
        <w:t>community-based</w:t>
      </w:r>
      <w:r>
        <w:t xml:space="preserve"> approach in the disaster risk reduction, disaster risk monitoring, and early warning, emergency preparedness, emergency response and relief, and recovery with a view to contribute to building resilient ASEAN Community based on the ASEAN Agreement on Disaster Management and Emergency Response (AADMER) and its Work Programmes;</w:t>
      </w:r>
    </w:p>
    <w:p w14:paraId="1F113BDF" w14:textId="77777777" w:rsidR="00BD547A" w:rsidRDefault="00BD547A" w:rsidP="00BD547A">
      <w:pPr>
        <w:pStyle w:val="ListParagraph"/>
        <w:spacing w:before="0" w:after="0"/>
      </w:pPr>
    </w:p>
    <w:p w14:paraId="31756E64" w14:textId="77777777" w:rsidR="00BD547A" w:rsidRDefault="00421D21" w:rsidP="000A5D80">
      <w:pPr>
        <w:pStyle w:val="ListParagraph"/>
        <w:numPr>
          <w:ilvl w:val="0"/>
          <w:numId w:val="30"/>
        </w:numPr>
        <w:spacing w:before="0" w:after="0"/>
        <w:ind w:hanging="720"/>
      </w:pPr>
      <w:r>
        <w:t xml:space="preserve">Jointly develop and implement various cooperative projects in disaster management, including providing training to officials in the field of disaster management, and supporting the implementation of </w:t>
      </w:r>
      <w:proofErr w:type="spellStart"/>
      <w:r>
        <w:t>standardisation</w:t>
      </w:r>
      <w:proofErr w:type="spellEnd"/>
      <w:r>
        <w:t xml:space="preserve"> and certification framework of disaster management profession in the region; and</w:t>
      </w:r>
    </w:p>
    <w:p w14:paraId="2CCB1CE9" w14:textId="77777777" w:rsidR="00BD547A" w:rsidRDefault="00BD547A" w:rsidP="00BD547A">
      <w:pPr>
        <w:pStyle w:val="ListParagraph"/>
        <w:spacing w:before="0" w:after="0"/>
      </w:pPr>
    </w:p>
    <w:p w14:paraId="767FAA40" w14:textId="3670DF74" w:rsidR="00421D21" w:rsidRDefault="00421D21" w:rsidP="000A5D80">
      <w:pPr>
        <w:pStyle w:val="ListParagraph"/>
        <w:numPr>
          <w:ilvl w:val="0"/>
          <w:numId w:val="30"/>
        </w:numPr>
        <w:spacing w:before="0" w:after="0"/>
        <w:ind w:hanging="720"/>
      </w:pPr>
      <w:r>
        <w:t>Support the ASEAN Coordinating Centre for Humanitarian Assistance on disaster management’s (AHA Centre) initiatives in capacity building in disaster management such as its collaboration with the National Fire Agency of the ROK.</w:t>
      </w:r>
    </w:p>
    <w:p w14:paraId="23393175" w14:textId="77777777" w:rsidR="00BD547A" w:rsidRDefault="00BD547A" w:rsidP="00BD547A">
      <w:pPr>
        <w:pStyle w:val="ListParagraph"/>
        <w:spacing w:before="0" w:after="0"/>
      </w:pPr>
    </w:p>
    <w:p w14:paraId="1AB361FF" w14:textId="64E7159E" w:rsidR="00421D21" w:rsidRDefault="00421D21" w:rsidP="00BD547A">
      <w:pPr>
        <w:pStyle w:val="Heading2"/>
        <w:jc w:val="both"/>
      </w:pPr>
      <w:bookmarkStart w:id="24" w:name="_Toc52803129"/>
      <w:r>
        <w:t>3.2</w:t>
      </w:r>
      <w:r w:rsidR="00BD547A">
        <w:tab/>
      </w:r>
      <w:r>
        <w:t>Environment</w:t>
      </w:r>
      <w:bookmarkEnd w:id="24"/>
    </w:p>
    <w:p w14:paraId="6765410E" w14:textId="77777777" w:rsidR="00BD547A" w:rsidRDefault="00421D21" w:rsidP="000A5D80">
      <w:pPr>
        <w:pStyle w:val="ListParagraph"/>
        <w:numPr>
          <w:ilvl w:val="0"/>
          <w:numId w:val="31"/>
        </w:numPr>
        <w:spacing w:before="0" w:after="0"/>
        <w:ind w:hanging="720"/>
      </w:pPr>
      <w:r>
        <w:t>Conduct supplementary activities with ASEAN Member States to respond to climate change by focusing on the implementation of relevant actions in the ASEAN Socio-Cultural Community Blueprint (ASCC Blueprint) 2025 and the Action Plan of the ASEAN Working Group on Climate Change (AWGCC). This include strengthening capacity-building and technical support for ASEAN Member States to respond to climate change including Carbon Capture Utilisation and Storage (CCUS), Carbon Pricing cooperation and renewable energy;</w:t>
      </w:r>
    </w:p>
    <w:p w14:paraId="195A227E" w14:textId="77777777" w:rsidR="00BD547A" w:rsidRDefault="00BD547A" w:rsidP="00BD547A">
      <w:pPr>
        <w:pStyle w:val="ListParagraph"/>
        <w:spacing w:before="0" w:after="0"/>
      </w:pPr>
    </w:p>
    <w:p w14:paraId="3D3E76C5" w14:textId="77777777" w:rsidR="00BD547A" w:rsidRDefault="00421D21" w:rsidP="000A5D80">
      <w:pPr>
        <w:pStyle w:val="ListParagraph"/>
        <w:numPr>
          <w:ilvl w:val="0"/>
          <w:numId w:val="31"/>
        </w:numPr>
        <w:spacing w:before="0" w:after="0"/>
        <w:ind w:hanging="720"/>
      </w:pPr>
      <w:r>
        <w:t>Promote high-level policy dialogue on environment, including through the ASEAN Plus Three Environment Ministers Meeting;</w:t>
      </w:r>
    </w:p>
    <w:p w14:paraId="7E67EB9C" w14:textId="77777777" w:rsidR="00BD547A" w:rsidRDefault="00BD547A" w:rsidP="00BD547A">
      <w:pPr>
        <w:pStyle w:val="ListParagraph"/>
        <w:spacing w:before="0" w:after="0"/>
      </w:pPr>
    </w:p>
    <w:p w14:paraId="6855565F" w14:textId="77777777" w:rsidR="00BD547A" w:rsidRDefault="00421D21" w:rsidP="000A5D80">
      <w:pPr>
        <w:pStyle w:val="ListParagraph"/>
        <w:numPr>
          <w:ilvl w:val="0"/>
          <w:numId w:val="31"/>
        </w:numPr>
        <w:spacing w:before="0" w:after="0"/>
        <w:ind w:hanging="720"/>
      </w:pPr>
      <w:r>
        <w:t>Promote cooperation to provide the peoples of ASEAN access to clean water, clean air, waste management and sanitation service and other social services;</w:t>
      </w:r>
    </w:p>
    <w:p w14:paraId="1300C0D7" w14:textId="77777777" w:rsidR="00BD547A" w:rsidRDefault="00BD547A" w:rsidP="00BD547A">
      <w:pPr>
        <w:pStyle w:val="ListParagraph"/>
        <w:spacing w:before="0" w:after="0"/>
      </w:pPr>
    </w:p>
    <w:p w14:paraId="52907B1A" w14:textId="4DABC78B" w:rsidR="00BD547A" w:rsidRDefault="00421D21" w:rsidP="000A5D80">
      <w:pPr>
        <w:pStyle w:val="ListParagraph"/>
        <w:numPr>
          <w:ilvl w:val="0"/>
          <w:numId w:val="31"/>
        </w:numPr>
        <w:spacing w:before="0" w:after="0"/>
        <w:ind w:hanging="720"/>
      </w:pPr>
      <w:r>
        <w:t xml:space="preserve">Promote capacity-building for ASEAN Member States through education programmes, </w:t>
      </w:r>
      <w:r w:rsidR="004B3968">
        <w:br/>
      </w:r>
      <w:r>
        <w:t>joint-training courses, joint research, exchanges of expertise, transfer of technology and sharing knowledge in field of environment;</w:t>
      </w:r>
    </w:p>
    <w:p w14:paraId="31A9A277" w14:textId="77777777" w:rsidR="00BD547A" w:rsidRDefault="00BD547A" w:rsidP="00BD547A">
      <w:pPr>
        <w:pStyle w:val="ListParagraph"/>
        <w:spacing w:before="0" w:after="0"/>
      </w:pPr>
    </w:p>
    <w:p w14:paraId="7E741AAD" w14:textId="77777777" w:rsidR="00BD547A" w:rsidRDefault="00421D21" w:rsidP="000A5D80">
      <w:pPr>
        <w:pStyle w:val="ListParagraph"/>
        <w:numPr>
          <w:ilvl w:val="0"/>
          <w:numId w:val="31"/>
        </w:numPr>
        <w:spacing w:before="0" w:after="0"/>
        <w:ind w:hanging="720"/>
      </w:pPr>
      <w:r>
        <w:t>Strengthen cooperation on biodiversity conservation and management and support the work of ASEAN Centre for Biodiversity (ACB); and</w:t>
      </w:r>
    </w:p>
    <w:p w14:paraId="26C97B51" w14:textId="77777777" w:rsidR="00BD547A" w:rsidRDefault="00BD547A" w:rsidP="00BD547A">
      <w:pPr>
        <w:pStyle w:val="ListParagraph"/>
        <w:spacing w:before="0" w:after="0"/>
      </w:pPr>
    </w:p>
    <w:p w14:paraId="00ECD918" w14:textId="1A8C88AD" w:rsidR="00421D21" w:rsidRDefault="00421D21" w:rsidP="000A5D80">
      <w:pPr>
        <w:pStyle w:val="ListParagraph"/>
        <w:numPr>
          <w:ilvl w:val="0"/>
          <w:numId w:val="31"/>
        </w:numPr>
        <w:spacing w:before="0" w:after="0"/>
        <w:ind w:hanging="720"/>
      </w:pPr>
      <w:r>
        <w:t>Strengthen cooperation in environment, sustainable marine economic development, and human health by supporting existing efforts to combat plastic pollution and reduce marine plastic debris, through the implementation of the Bangkok Declaration on Combating Marine Debris in ASEAN Region and the ASEAN Framework of Action on Marine Debris, including by exploring the possible development of a regional plan of action and guidelines on combating marine plastic debris, and promoting efforts to support the development of national actions to prevent, reduce, and manage marine plastic debris.</w:t>
      </w:r>
    </w:p>
    <w:p w14:paraId="1C641BCF" w14:textId="5212EFE5" w:rsidR="00BD547A" w:rsidRDefault="00BD547A" w:rsidP="00BD547A">
      <w:pPr>
        <w:pStyle w:val="ListParagraph"/>
        <w:spacing w:before="0" w:after="0"/>
      </w:pPr>
    </w:p>
    <w:p w14:paraId="3B89FA36" w14:textId="3750B12D" w:rsidR="004B3968" w:rsidRDefault="004B3968" w:rsidP="00BD547A">
      <w:pPr>
        <w:pStyle w:val="ListParagraph"/>
        <w:spacing w:before="0" w:after="0"/>
      </w:pPr>
    </w:p>
    <w:p w14:paraId="2DA9D0BC" w14:textId="77777777" w:rsidR="004B3968" w:rsidRDefault="004B3968" w:rsidP="00BD547A">
      <w:pPr>
        <w:pStyle w:val="ListParagraph"/>
        <w:spacing w:before="0" w:after="0"/>
      </w:pPr>
    </w:p>
    <w:p w14:paraId="316EC2C7" w14:textId="478B8833" w:rsidR="00421D21" w:rsidRDefault="00421D21" w:rsidP="00BD547A">
      <w:pPr>
        <w:pStyle w:val="Heading2"/>
        <w:jc w:val="both"/>
      </w:pPr>
      <w:bookmarkStart w:id="25" w:name="_Toc52803130"/>
      <w:r>
        <w:lastRenderedPageBreak/>
        <w:t xml:space="preserve">3.3 </w:t>
      </w:r>
      <w:r w:rsidR="00BD547A">
        <w:tab/>
      </w:r>
      <w:r>
        <w:t>Health</w:t>
      </w:r>
      <w:bookmarkEnd w:id="25"/>
    </w:p>
    <w:p w14:paraId="7C08834B" w14:textId="77777777" w:rsidR="00BD547A" w:rsidRDefault="00421D21" w:rsidP="000A5D80">
      <w:pPr>
        <w:pStyle w:val="ListParagraph"/>
        <w:numPr>
          <w:ilvl w:val="0"/>
          <w:numId w:val="32"/>
        </w:numPr>
        <w:spacing w:before="0" w:after="0"/>
        <w:ind w:hanging="720"/>
      </w:pPr>
      <w:r>
        <w:t>Strengthen efforts on universal health coverage, including ensuring access to basic healthcare, building a dialogue channel such as meeting between ASEAN and ROK Ministers for Health, sharing health technology and capacity building for health workforce and healthcare system;</w:t>
      </w:r>
    </w:p>
    <w:p w14:paraId="70F638D6" w14:textId="77777777" w:rsidR="00BD547A" w:rsidRDefault="00BD547A" w:rsidP="00BD547A">
      <w:pPr>
        <w:pStyle w:val="ListParagraph"/>
        <w:spacing w:before="0" w:after="0"/>
      </w:pPr>
    </w:p>
    <w:p w14:paraId="44434455" w14:textId="77777777" w:rsidR="00BD547A" w:rsidRDefault="00421D21" w:rsidP="000A5D80">
      <w:pPr>
        <w:pStyle w:val="ListParagraph"/>
        <w:numPr>
          <w:ilvl w:val="0"/>
          <w:numId w:val="32"/>
        </w:numPr>
        <w:spacing w:before="0" w:after="0"/>
        <w:ind w:hanging="720"/>
      </w:pPr>
      <w:r>
        <w:t>Cooperate in response to public health emergencies including emerging and re-emerging infectious and communicable diseases as well as in preparedness and responses against pandemic influenza including cooperation to strengthen capacity to address public health emergencies, and support for the COVID-19 ASEAN Response Fund as well as facilitating post-pandemic recovery, with a view to addressing the adverse impact of the pandemic and enhancing regional resilience;</w:t>
      </w:r>
    </w:p>
    <w:p w14:paraId="404BA908" w14:textId="77777777" w:rsidR="00BD547A" w:rsidRDefault="00BD547A" w:rsidP="00BD547A">
      <w:pPr>
        <w:pStyle w:val="ListParagraph"/>
        <w:spacing w:before="0" w:after="0"/>
      </w:pPr>
    </w:p>
    <w:p w14:paraId="6B19209C" w14:textId="66B9776A" w:rsidR="00BD547A" w:rsidRDefault="00421D21" w:rsidP="000A5D80">
      <w:pPr>
        <w:pStyle w:val="ListParagraph"/>
        <w:numPr>
          <w:ilvl w:val="0"/>
          <w:numId w:val="32"/>
        </w:numPr>
        <w:spacing w:before="0" w:after="0"/>
        <w:ind w:hanging="720"/>
      </w:pPr>
      <w:r>
        <w:t xml:space="preserve">Exchange information and expertise in chronic disease prevention and control and </w:t>
      </w:r>
      <w:r w:rsidR="004B3968">
        <w:br/>
      </w:r>
      <w:r>
        <w:t>non-communicable diseases, including mental health;</w:t>
      </w:r>
    </w:p>
    <w:p w14:paraId="5F223897" w14:textId="77777777" w:rsidR="00BD547A" w:rsidRDefault="00BD547A" w:rsidP="00BD547A">
      <w:pPr>
        <w:pStyle w:val="ListParagraph"/>
        <w:spacing w:before="0" w:after="0"/>
      </w:pPr>
    </w:p>
    <w:p w14:paraId="62FA0B1F" w14:textId="77777777" w:rsidR="00BD547A" w:rsidRDefault="00421D21" w:rsidP="000A5D80">
      <w:pPr>
        <w:pStyle w:val="ListParagraph"/>
        <w:numPr>
          <w:ilvl w:val="0"/>
          <w:numId w:val="32"/>
        </w:numPr>
        <w:spacing w:before="0" w:after="0"/>
        <w:ind w:hanging="720"/>
      </w:pPr>
      <w:r>
        <w:t>Cooperate on Traditional and Complementary Medicine (T&amp;CM) using an evidence-based approach; and</w:t>
      </w:r>
    </w:p>
    <w:p w14:paraId="10B1665C" w14:textId="77777777" w:rsidR="00BD547A" w:rsidRDefault="00BD547A" w:rsidP="00BD547A">
      <w:pPr>
        <w:pStyle w:val="ListParagraph"/>
        <w:spacing w:before="0" w:after="0"/>
      </w:pPr>
    </w:p>
    <w:p w14:paraId="2C641D14" w14:textId="6E24C8DE" w:rsidR="00421D21" w:rsidRDefault="00421D21" w:rsidP="000A5D80">
      <w:pPr>
        <w:pStyle w:val="ListParagraph"/>
        <w:numPr>
          <w:ilvl w:val="0"/>
          <w:numId w:val="32"/>
        </w:numPr>
        <w:spacing w:before="0" w:after="0"/>
        <w:ind w:hanging="720"/>
      </w:pPr>
      <w:r>
        <w:t>Explore cooperation in addressing other growing health challenges, including ageing, through capacity development programmes, exchange of best practices and research and development.</w:t>
      </w:r>
    </w:p>
    <w:p w14:paraId="143AD61D" w14:textId="77777777" w:rsidR="00BD547A" w:rsidRDefault="00BD547A" w:rsidP="00BD547A">
      <w:pPr>
        <w:pStyle w:val="ListParagraph"/>
        <w:spacing w:before="0" w:after="0"/>
      </w:pPr>
    </w:p>
    <w:p w14:paraId="17BC633B" w14:textId="3034D028" w:rsidR="00421D21" w:rsidRDefault="00421D21" w:rsidP="00BD547A">
      <w:pPr>
        <w:pStyle w:val="Heading2"/>
        <w:jc w:val="both"/>
      </w:pPr>
      <w:bookmarkStart w:id="26" w:name="_Toc52803131"/>
      <w:r>
        <w:t xml:space="preserve">3.4 </w:t>
      </w:r>
      <w:r w:rsidR="00BD547A">
        <w:tab/>
      </w:r>
      <w:r>
        <w:t>Education</w:t>
      </w:r>
      <w:bookmarkEnd w:id="26"/>
    </w:p>
    <w:p w14:paraId="3240414E" w14:textId="77777777" w:rsidR="00BD547A" w:rsidRDefault="00421D21" w:rsidP="000A5D80">
      <w:pPr>
        <w:pStyle w:val="ListParagraph"/>
        <w:numPr>
          <w:ilvl w:val="0"/>
          <w:numId w:val="33"/>
        </w:numPr>
        <w:spacing w:before="0" w:after="0"/>
        <w:ind w:hanging="720"/>
      </w:pPr>
      <w:r>
        <w:t>Expand education scholarship programmes for ASEAN students, children and youth with disabilities including through the existing International College Student Exchange Programme, and promote ASEAN studies and languages in the ROK as well as Korean studies and Korean language in ASEAN, including through Centers for Korean studies in ASEAN Member States;</w:t>
      </w:r>
    </w:p>
    <w:p w14:paraId="78DE928E" w14:textId="77777777" w:rsidR="00BD547A" w:rsidRDefault="00BD547A" w:rsidP="00BD547A">
      <w:pPr>
        <w:pStyle w:val="ListParagraph"/>
        <w:spacing w:before="0" w:after="0"/>
      </w:pPr>
    </w:p>
    <w:p w14:paraId="1D2F791A" w14:textId="0068E91D" w:rsidR="00BD547A" w:rsidRDefault="00421D21" w:rsidP="000A5D80">
      <w:pPr>
        <w:pStyle w:val="ListParagraph"/>
        <w:numPr>
          <w:ilvl w:val="0"/>
          <w:numId w:val="33"/>
        </w:numPr>
        <w:spacing w:before="0" w:after="0"/>
        <w:ind w:hanging="720"/>
      </w:pPr>
      <w:r>
        <w:t>Promote inclusive education, including early childhood education, lifelong learning, 21</w:t>
      </w:r>
      <w:r w:rsidRPr="00587F77">
        <w:rPr>
          <w:vertAlign w:val="superscript"/>
        </w:rPr>
        <w:t>st</w:t>
      </w:r>
      <w:r w:rsidR="00587F77">
        <w:t xml:space="preserve"> </w:t>
      </w:r>
      <w:r>
        <w:t>Century skills-training as well as efforts to improve the quality of education, and encourage innovation such as e-learning through the use of ICTs;</w:t>
      </w:r>
    </w:p>
    <w:p w14:paraId="262E53B7" w14:textId="77777777" w:rsidR="00BD547A" w:rsidRDefault="00BD547A" w:rsidP="00BD547A">
      <w:pPr>
        <w:pStyle w:val="ListParagraph"/>
        <w:spacing w:before="0" w:after="0"/>
      </w:pPr>
    </w:p>
    <w:p w14:paraId="36EE384D" w14:textId="680CD9FC" w:rsidR="00BD547A" w:rsidRDefault="00421D21" w:rsidP="000A5D80">
      <w:pPr>
        <w:pStyle w:val="ListParagraph"/>
        <w:numPr>
          <w:ilvl w:val="0"/>
          <w:numId w:val="33"/>
        </w:numPr>
        <w:spacing w:before="0" w:after="0"/>
        <w:ind w:hanging="720"/>
      </w:pPr>
      <w:r>
        <w:t>Carry out workshops, joint research and training, and exchange of fellowships, exchange of teachers and students, and staff from think-tanks as well as enhance capabilities of higher education through the existing ASEAN-Korea Academic Exchange Programme, ASEAN-ROK Think Tank Strategic Dialogue and among ASEAN and ROK academic institutions; and</w:t>
      </w:r>
    </w:p>
    <w:p w14:paraId="57D1869E" w14:textId="77777777" w:rsidR="00BD547A" w:rsidRDefault="00BD547A" w:rsidP="00BD547A">
      <w:pPr>
        <w:pStyle w:val="ListParagraph"/>
        <w:spacing w:before="0" w:after="0"/>
      </w:pPr>
    </w:p>
    <w:p w14:paraId="3515B078" w14:textId="61718804" w:rsidR="00421D21" w:rsidRDefault="00421D21" w:rsidP="000A5D80">
      <w:pPr>
        <w:pStyle w:val="ListParagraph"/>
        <w:numPr>
          <w:ilvl w:val="0"/>
          <w:numId w:val="33"/>
        </w:numPr>
        <w:spacing w:before="0" w:after="0"/>
        <w:ind w:hanging="720"/>
      </w:pPr>
      <w:r>
        <w:t>Support educational programmes in the field of science and technology as well as increase Technical and Vocational Education and Training (TVET) opportunities for ASEAN students, including those with disabilities.</w:t>
      </w:r>
    </w:p>
    <w:p w14:paraId="5B7BE40F" w14:textId="77777777" w:rsidR="00BD547A" w:rsidRDefault="00BD547A" w:rsidP="00BD547A">
      <w:pPr>
        <w:pStyle w:val="ListParagraph"/>
        <w:spacing w:before="0" w:after="0"/>
      </w:pPr>
    </w:p>
    <w:p w14:paraId="1C1FB660" w14:textId="3AE8FD2C" w:rsidR="00421D21" w:rsidRDefault="00421D21" w:rsidP="00BD547A">
      <w:pPr>
        <w:pStyle w:val="Heading2"/>
        <w:jc w:val="both"/>
      </w:pPr>
      <w:bookmarkStart w:id="27" w:name="_Toc52803132"/>
      <w:r>
        <w:t xml:space="preserve">3.5 </w:t>
      </w:r>
      <w:r w:rsidR="00BD547A">
        <w:tab/>
      </w:r>
      <w:r>
        <w:t>Information</w:t>
      </w:r>
      <w:bookmarkEnd w:id="27"/>
    </w:p>
    <w:p w14:paraId="79AA6A59" w14:textId="77777777" w:rsidR="00BD547A" w:rsidRDefault="00421D21" w:rsidP="000A5D80">
      <w:pPr>
        <w:pStyle w:val="ListParagraph"/>
        <w:numPr>
          <w:ilvl w:val="0"/>
          <w:numId w:val="34"/>
        </w:numPr>
        <w:spacing w:before="0" w:after="0"/>
        <w:ind w:hanging="720"/>
      </w:pPr>
      <w:r>
        <w:t>Promote further cooperation in the fields of information, news and mass media, including through dialogue among policymakers and relevant government bodies such as news and broadcasting agencies, regular media exchange visits and trainings, and good practice sharing among media personnel and professionals;</w:t>
      </w:r>
    </w:p>
    <w:p w14:paraId="477D8900" w14:textId="77777777" w:rsidR="00BD547A" w:rsidRDefault="00BD547A" w:rsidP="00BD547A">
      <w:pPr>
        <w:pStyle w:val="ListParagraph"/>
        <w:spacing w:before="0" w:after="0"/>
      </w:pPr>
    </w:p>
    <w:p w14:paraId="02B88A8A" w14:textId="77777777" w:rsidR="00BD547A" w:rsidRDefault="00421D21" w:rsidP="000A5D80">
      <w:pPr>
        <w:pStyle w:val="ListParagraph"/>
        <w:numPr>
          <w:ilvl w:val="0"/>
          <w:numId w:val="34"/>
        </w:numPr>
        <w:spacing w:before="0" w:after="0"/>
        <w:ind w:hanging="720"/>
      </w:pPr>
      <w:r>
        <w:t>Organise activities in ASEAN and the ROK to promote public awareness on ASEAN-ROK relations;</w:t>
      </w:r>
    </w:p>
    <w:p w14:paraId="40C730FA" w14:textId="77777777" w:rsidR="00BD547A" w:rsidRDefault="00BD547A" w:rsidP="00BD547A">
      <w:pPr>
        <w:pStyle w:val="ListParagraph"/>
        <w:spacing w:before="0" w:after="0"/>
      </w:pPr>
    </w:p>
    <w:p w14:paraId="1D3021A4" w14:textId="501393F4" w:rsidR="00BD547A" w:rsidRDefault="00421D21" w:rsidP="000A5D80">
      <w:pPr>
        <w:pStyle w:val="ListParagraph"/>
        <w:numPr>
          <w:ilvl w:val="0"/>
          <w:numId w:val="34"/>
        </w:numPr>
        <w:spacing w:before="0" w:after="0"/>
        <w:ind w:hanging="720"/>
      </w:pPr>
      <w:r>
        <w:t>Strengthen cooperation in promoting film development and organisations between ASEAN and ROK in various fields such as co-production, archiving, promotion, education, training, research and information sharing, with a view toward ASEAN-ROK partnership in film;</w:t>
      </w:r>
    </w:p>
    <w:p w14:paraId="166C6F2B" w14:textId="77777777" w:rsidR="00BD547A" w:rsidRDefault="00BD547A" w:rsidP="00BD547A">
      <w:pPr>
        <w:pStyle w:val="ListParagraph"/>
        <w:spacing w:before="0" w:after="0"/>
      </w:pPr>
    </w:p>
    <w:p w14:paraId="27D770D7" w14:textId="77777777" w:rsidR="00BD547A" w:rsidRDefault="00421D21" w:rsidP="000A5D80">
      <w:pPr>
        <w:pStyle w:val="ListParagraph"/>
        <w:numPr>
          <w:ilvl w:val="0"/>
          <w:numId w:val="34"/>
        </w:numPr>
        <w:spacing w:before="0" w:after="0"/>
        <w:ind w:hanging="720"/>
      </w:pPr>
      <w:r>
        <w:t>Promote the development of creative industries through cooperation initiatives that leverage 4IR and emerging digital technologies; and</w:t>
      </w:r>
    </w:p>
    <w:p w14:paraId="0F74A388" w14:textId="77777777" w:rsidR="00BD547A" w:rsidRDefault="00BD547A" w:rsidP="00BD547A">
      <w:pPr>
        <w:pStyle w:val="ListParagraph"/>
        <w:spacing w:before="0" w:after="0"/>
      </w:pPr>
    </w:p>
    <w:p w14:paraId="43EAB892" w14:textId="612644A5" w:rsidR="00421D21" w:rsidRDefault="00421D21" w:rsidP="000A5D80">
      <w:pPr>
        <w:pStyle w:val="ListParagraph"/>
        <w:numPr>
          <w:ilvl w:val="0"/>
          <w:numId w:val="34"/>
        </w:numPr>
        <w:spacing w:before="0" w:after="0"/>
        <w:ind w:hanging="720"/>
      </w:pPr>
      <w:r>
        <w:t>Develop human resources by encouraging technical cooperation among broadcasters, content producers, and other practitioners in the field of media and information, including through the cooperation and assistance of the ASEAN-Korea Centre.</w:t>
      </w:r>
    </w:p>
    <w:p w14:paraId="14244755" w14:textId="77777777" w:rsidR="00BD547A" w:rsidRDefault="00BD547A" w:rsidP="00BD547A">
      <w:pPr>
        <w:pStyle w:val="ListParagraph"/>
        <w:spacing w:before="0" w:after="0"/>
      </w:pPr>
    </w:p>
    <w:p w14:paraId="1EB7A11E" w14:textId="4ED1561A" w:rsidR="00421D21" w:rsidRDefault="00421D21" w:rsidP="00BD547A">
      <w:pPr>
        <w:pStyle w:val="Heading2"/>
        <w:jc w:val="both"/>
      </w:pPr>
      <w:bookmarkStart w:id="28" w:name="_Toc52803133"/>
      <w:r>
        <w:t xml:space="preserve">3.6 </w:t>
      </w:r>
      <w:r w:rsidR="00BD547A">
        <w:tab/>
      </w:r>
      <w:r>
        <w:t>Culture and Arts</w:t>
      </w:r>
      <w:bookmarkEnd w:id="28"/>
    </w:p>
    <w:p w14:paraId="05ACBAD8" w14:textId="359E32C9" w:rsidR="00421D21" w:rsidRDefault="00421D21" w:rsidP="000A5D80">
      <w:pPr>
        <w:pStyle w:val="ListParagraph"/>
        <w:numPr>
          <w:ilvl w:val="0"/>
          <w:numId w:val="35"/>
        </w:numPr>
        <w:spacing w:before="0" w:after="0"/>
        <w:ind w:hanging="720"/>
      </w:pPr>
      <w:r>
        <w:t>Enhance dialogue among culture and arts policymakers, practitioners and experts to foster greater awareness of cultural heritage and strengthen cultural identity and a sense of regional belonging;</w:t>
      </w:r>
    </w:p>
    <w:p w14:paraId="110F1B12" w14:textId="77777777" w:rsidR="00BD547A" w:rsidRDefault="00BD547A" w:rsidP="00BD547A">
      <w:pPr>
        <w:pStyle w:val="ListParagraph"/>
        <w:spacing w:before="0" w:after="0"/>
      </w:pPr>
    </w:p>
    <w:p w14:paraId="4E8893C2" w14:textId="0905014B" w:rsidR="00421D21" w:rsidRDefault="00421D21" w:rsidP="000A5D80">
      <w:pPr>
        <w:pStyle w:val="ListParagraph"/>
        <w:numPr>
          <w:ilvl w:val="0"/>
          <w:numId w:val="35"/>
        </w:numPr>
        <w:spacing w:before="0" w:after="0"/>
        <w:ind w:hanging="720"/>
      </w:pPr>
      <w:r>
        <w:t>Promote high-level policy dialogue on culture and arts, including through the ASEAN-ROK Ministers Responsible for Culture and Arts and the ASEAN Plus Three Ministers Responsible for Culture and Arts;</w:t>
      </w:r>
    </w:p>
    <w:p w14:paraId="68FC52FA" w14:textId="77777777" w:rsidR="00BD547A" w:rsidRDefault="00BD547A" w:rsidP="00BD547A">
      <w:pPr>
        <w:pStyle w:val="ListParagraph"/>
        <w:spacing w:before="0" w:after="0"/>
      </w:pPr>
    </w:p>
    <w:p w14:paraId="68996885" w14:textId="0B8E310C" w:rsidR="00421D21" w:rsidRDefault="00421D21" w:rsidP="000A5D80">
      <w:pPr>
        <w:pStyle w:val="ListParagraph"/>
        <w:numPr>
          <w:ilvl w:val="0"/>
          <w:numId w:val="35"/>
        </w:numPr>
        <w:spacing w:before="0" w:after="0"/>
        <w:ind w:hanging="720"/>
      </w:pPr>
      <w:r>
        <w:t>Support the promotion of ASEAN Identity, which will contribute to the efforts on ASEAN Community Building and ASEAN Vision 2025;</w:t>
      </w:r>
    </w:p>
    <w:p w14:paraId="5CDEC9EE" w14:textId="77777777" w:rsidR="00BD547A" w:rsidRDefault="00BD547A" w:rsidP="00BD547A">
      <w:pPr>
        <w:pStyle w:val="ListParagraph"/>
        <w:spacing w:before="0" w:after="0"/>
      </w:pPr>
    </w:p>
    <w:p w14:paraId="604B977F" w14:textId="1A1FD7B4" w:rsidR="00421D21" w:rsidRDefault="00421D21" w:rsidP="000A5D80">
      <w:pPr>
        <w:pStyle w:val="ListParagraph"/>
        <w:numPr>
          <w:ilvl w:val="0"/>
          <w:numId w:val="35"/>
        </w:numPr>
        <w:spacing w:before="0" w:after="0"/>
        <w:ind w:hanging="720"/>
      </w:pPr>
      <w:r>
        <w:t>Promote joint cultural initiatives and programmes such as performances, exhibitions, and art and cultural festivals, and people-to-people exchanges in various artistic fields such as visual arts, music, performances;</w:t>
      </w:r>
    </w:p>
    <w:p w14:paraId="0E7E1FAB" w14:textId="77777777" w:rsidR="00BD547A" w:rsidRDefault="00BD547A" w:rsidP="00BD547A">
      <w:pPr>
        <w:pStyle w:val="ListParagraph"/>
        <w:spacing w:before="0" w:after="0"/>
      </w:pPr>
    </w:p>
    <w:p w14:paraId="4EFFD387" w14:textId="69F59C68" w:rsidR="00421D21" w:rsidRDefault="00421D21" w:rsidP="000A5D80">
      <w:pPr>
        <w:pStyle w:val="ListParagraph"/>
        <w:numPr>
          <w:ilvl w:val="0"/>
          <w:numId w:val="35"/>
        </w:numPr>
        <w:spacing w:before="0" w:after="0"/>
        <w:ind w:hanging="720"/>
      </w:pPr>
      <w:r>
        <w:t>Promote the development of small and medium-sized cultural industries;</w:t>
      </w:r>
    </w:p>
    <w:p w14:paraId="4AB7F5CF" w14:textId="77777777" w:rsidR="00BD547A" w:rsidRDefault="00BD547A" w:rsidP="00BD547A">
      <w:pPr>
        <w:pStyle w:val="ListParagraph"/>
        <w:spacing w:before="0" w:after="0"/>
      </w:pPr>
    </w:p>
    <w:p w14:paraId="5B8366DE" w14:textId="1791AD74" w:rsidR="00421D21" w:rsidRDefault="00421D21" w:rsidP="000A5D80">
      <w:pPr>
        <w:pStyle w:val="ListParagraph"/>
        <w:numPr>
          <w:ilvl w:val="0"/>
          <w:numId w:val="35"/>
        </w:numPr>
        <w:spacing w:before="0" w:after="0"/>
        <w:ind w:hanging="720"/>
      </w:pPr>
      <w:r>
        <w:t xml:space="preserve">Facilitate networking and exchanges through exhibitions, cultural performances, exchange programmes, cultural awareness promotions, and other similar projects to foster greater awareness about cultural heritage of ASEAN and ROK with the support of the ASEAN-Korea Centre in Seoul, ASEAN Culture House in Busan, and ASEAN Cultural Center in Bangkok, as well as other related institutions such as Asia Culture Center in </w:t>
      </w:r>
      <w:proofErr w:type="spellStart"/>
      <w:r>
        <w:t>Gwangju</w:t>
      </w:r>
      <w:proofErr w:type="spellEnd"/>
      <w:r>
        <w:t>;</w:t>
      </w:r>
    </w:p>
    <w:p w14:paraId="43B3426F" w14:textId="77777777" w:rsidR="00BD547A" w:rsidRDefault="00BD547A" w:rsidP="00BD547A">
      <w:pPr>
        <w:pStyle w:val="ListParagraph"/>
        <w:spacing w:before="0" w:after="0"/>
      </w:pPr>
    </w:p>
    <w:p w14:paraId="5B0E2B4A" w14:textId="0E5DE8A9" w:rsidR="00421D21" w:rsidRDefault="00421D21" w:rsidP="000A5D80">
      <w:pPr>
        <w:pStyle w:val="ListParagraph"/>
        <w:numPr>
          <w:ilvl w:val="0"/>
          <w:numId w:val="35"/>
        </w:numPr>
        <w:spacing w:before="0" w:after="0"/>
        <w:ind w:hanging="720"/>
      </w:pPr>
      <w:r>
        <w:t>Facilitate exchanges and human resource development of professionals and managers of cultural institutions in various fields of culture and the arts, such as performance art and cultural heritage; and</w:t>
      </w:r>
    </w:p>
    <w:p w14:paraId="1090731E" w14:textId="77777777" w:rsidR="00BD547A" w:rsidRDefault="00BD547A" w:rsidP="00BD547A">
      <w:pPr>
        <w:pStyle w:val="ListParagraph"/>
        <w:spacing w:before="0" w:after="0"/>
      </w:pPr>
    </w:p>
    <w:p w14:paraId="499F8B27" w14:textId="6A320920" w:rsidR="00421D21" w:rsidRDefault="00421D21" w:rsidP="000A5D80">
      <w:pPr>
        <w:pStyle w:val="ListParagraph"/>
        <w:numPr>
          <w:ilvl w:val="0"/>
          <w:numId w:val="35"/>
        </w:numPr>
        <w:spacing w:before="0" w:after="0"/>
        <w:ind w:hanging="720"/>
      </w:pPr>
      <w:r>
        <w:t>Strengthen joint research on the preservation and conservation of cultural heritage, support the capacity building of ASEAN experts in the field of cultural heritage preservation including through the Asia Cooperation Programme in Conservation Science, including through possible establishment of the ASEAN-ROK Cultural Heritage Cooperation Organisation.</w:t>
      </w:r>
    </w:p>
    <w:p w14:paraId="1C9503B8" w14:textId="77777777" w:rsidR="008E55A2" w:rsidRDefault="008E55A2" w:rsidP="008E55A2">
      <w:pPr>
        <w:pStyle w:val="ListParagraph"/>
        <w:spacing w:before="0" w:after="0"/>
      </w:pPr>
    </w:p>
    <w:p w14:paraId="08AA25C5" w14:textId="1BBC5D52" w:rsidR="00421D21" w:rsidRDefault="00421D21" w:rsidP="008E55A2">
      <w:pPr>
        <w:pStyle w:val="Heading2"/>
        <w:jc w:val="both"/>
      </w:pPr>
      <w:bookmarkStart w:id="29" w:name="_Toc52803134"/>
      <w:r>
        <w:t xml:space="preserve">3.7 </w:t>
      </w:r>
      <w:r w:rsidR="008E55A2">
        <w:tab/>
      </w:r>
      <w:r>
        <w:t>Youth and People-to-People Exchange</w:t>
      </w:r>
      <w:bookmarkEnd w:id="29"/>
    </w:p>
    <w:p w14:paraId="0277BECD" w14:textId="55676F05" w:rsidR="00421D21" w:rsidRDefault="00421D21" w:rsidP="000A5D80">
      <w:pPr>
        <w:pStyle w:val="ListParagraph"/>
        <w:numPr>
          <w:ilvl w:val="0"/>
          <w:numId w:val="36"/>
        </w:numPr>
        <w:spacing w:before="0" w:after="0"/>
        <w:ind w:hanging="720"/>
      </w:pPr>
      <w:r>
        <w:t>Facilitate more people exchanges by improving the Visa System for ASEAN Member States, enhancing mutual understanding, and exploring Working Holiday Agreements with each of ASEAN Member States;</w:t>
      </w:r>
    </w:p>
    <w:p w14:paraId="7C1B0441" w14:textId="77777777" w:rsidR="008E55A2" w:rsidRDefault="008E55A2" w:rsidP="008E55A2">
      <w:pPr>
        <w:pStyle w:val="ListParagraph"/>
        <w:spacing w:before="0" w:after="0"/>
      </w:pPr>
    </w:p>
    <w:p w14:paraId="46DF75D8" w14:textId="52A2C29F" w:rsidR="00421D21" w:rsidRDefault="00421D21" w:rsidP="000A5D80">
      <w:pPr>
        <w:pStyle w:val="ListParagraph"/>
        <w:numPr>
          <w:ilvl w:val="0"/>
          <w:numId w:val="36"/>
        </w:numPr>
        <w:spacing w:before="0" w:after="0"/>
        <w:ind w:hanging="720"/>
      </w:pPr>
      <w:r>
        <w:lastRenderedPageBreak/>
        <w:t>Continue to implement, expand and develop various exchange programmes involving the ASEAN-ROK youth to promote youth’s contribution to community development such as volunteerism and social entrepreneurship including through the ASEAN Plus Three Senior Officials Meeting on Youth, the ASEAN Foundation, ASEAN-ROK youth exchange program and ASEAN Youth Camp;</w:t>
      </w:r>
    </w:p>
    <w:p w14:paraId="31ACB06A" w14:textId="77777777" w:rsidR="008E55A2" w:rsidRDefault="008E55A2" w:rsidP="008E55A2">
      <w:pPr>
        <w:pStyle w:val="ListParagraph"/>
        <w:spacing w:before="0" w:after="0"/>
      </w:pPr>
    </w:p>
    <w:p w14:paraId="05B8C23B" w14:textId="337F31F7" w:rsidR="00421D21" w:rsidRDefault="00421D21" w:rsidP="000A5D80">
      <w:pPr>
        <w:pStyle w:val="ListParagraph"/>
        <w:numPr>
          <w:ilvl w:val="0"/>
          <w:numId w:val="36"/>
        </w:numPr>
        <w:spacing w:before="0" w:after="0"/>
        <w:ind w:hanging="720"/>
      </w:pPr>
      <w:r>
        <w:t>Support capacity building programmes related to youth, including those with disabilities especially on issues related to TVET entrepreneurship including through research centres, study visits or programmes; and</w:t>
      </w:r>
    </w:p>
    <w:p w14:paraId="06B686FB" w14:textId="77777777" w:rsidR="008E55A2" w:rsidRDefault="008E55A2" w:rsidP="008E55A2">
      <w:pPr>
        <w:pStyle w:val="ListParagraph"/>
        <w:spacing w:before="0" w:after="0"/>
      </w:pPr>
    </w:p>
    <w:p w14:paraId="1C0004FD" w14:textId="23651045" w:rsidR="00421D21" w:rsidRDefault="00421D21" w:rsidP="000A5D80">
      <w:pPr>
        <w:pStyle w:val="ListParagraph"/>
        <w:numPr>
          <w:ilvl w:val="0"/>
          <w:numId w:val="36"/>
        </w:numPr>
        <w:spacing w:before="0" w:after="0"/>
        <w:ind w:hanging="720"/>
      </w:pPr>
      <w:r>
        <w:t>Establish and expand a network for future generations towards fostering future-ready ASEAN youth through digital skills development and youth engagement in the region’s policy discourse, including through the ROK’s initiative under the “ASEAN-ROK Next-generation Opinion Leaders Programme”.</w:t>
      </w:r>
    </w:p>
    <w:p w14:paraId="772DECAC" w14:textId="77777777" w:rsidR="008E55A2" w:rsidRDefault="008E55A2" w:rsidP="008E55A2">
      <w:pPr>
        <w:pStyle w:val="ListParagraph"/>
        <w:spacing w:before="0" w:after="0"/>
      </w:pPr>
    </w:p>
    <w:p w14:paraId="47CC1030" w14:textId="37DD78DF" w:rsidR="00421D21" w:rsidRDefault="00421D21" w:rsidP="008E55A2">
      <w:pPr>
        <w:pStyle w:val="Heading2"/>
        <w:jc w:val="both"/>
      </w:pPr>
      <w:bookmarkStart w:id="30" w:name="_Toc52803135"/>
      <w:r>
        <w:t xml:space="preserve">3.8 </w:t>
      </w:r>
      <w:r w:rsidR="008E55A2">
        <w:tab/>
      </w:r>
      <w:r>
        <w:t>Sports</w:t>
      </w:r>
      <w:bookmarkEnd w:id="30"/>
    </w:p>
    <w:p w14:paraId="7A95D6B4" w14:textId="4672DC8D" w:rsidR="00421D21" w:rsidRDefault="00421D21" w:rsidP="000A5D80">
      <w:pPr>
        <w:pStyle w:val="ListParagraph"/>
        <w:numPr>
          <w:ilvl w:val="0"/>
          <w:numId w:val="37"/>
        </w:numPr>
        <w:spacing w:before="0" w:after="0"/>
        <w:ind w:hanging="720"/>
      </w:pPr>
      <w:r>
        <w:t>Encourage the exchange of information and experience in sports medicine and science;</w:t>
      </w:r>
    </w:p>
    <w:p w14:paraId="44757733" w14:textId="77777777" w:rsidR="008E55A2" w:rsidRDefault="008E55A2" w:rsidP="00421D21">
      <w:pPr>
        <w:spacing w:before="0" w:after="0"/>
      </w:pPr>
    </w:p>
    <w:p w14:paraId="0E38FD0C" w14:textId="38B2F533" w:rsidR="00421D21" w:rsidRDefault="00421D21" w:rsidP="000A5D80">
      <w:pPr>
        <w:pStyle w:val="ListParagraph"/>
        <w:numPr>
          <w:ilvl w:val="0"/>
          <w:numId w:val="37"/>
        </w:numPr>
        <w:spacing w:before="0" w:after="0"/>
        <w:ind w:hanging="720"/>
      </w:pPr>
      <w:r>
        <w:t>Support the exchange of knowledge, skills and experience in sports tourism and sports industry, including the area of construction, and operation of venues/facilities and the organisation of major sports events;</w:t>
      </w:r>
    </w:p>
    <w:p w14:paraId="3E44DD99" w14:textId="77777777" w:rsidR="008E55A2" w:rsidRDefault="008E55A2" w:rsidP="008E55A2">
      <w:pPr>
        <w:pStyle w:val="ListParagraph"/>
        <w:spacing w:before="0" w:after="0"/>
      </w:pPr>
    </w:p>
    <w:p w14:paraId="3B5078A5" w14:textId="696AB8EA" w:rsidR="00421D21" w:rsidRDefault="00421D21" w:rsidP="000A5D80">
      <w:pPr>
        <w:pStyle w:val="ListParagraph"/>
        <w:numPr>
          <w:ilvl w:val="0"/>
          <w:numId w:val="37"/>
        </w:numPr>
        <w:spacing w:before="0" w:after="0"/>
        <w:ind w:hanging="720"/>
      </w:pPr>
      <w:r>
        <w:t>Encourage the exchange and training of athletes and officials as well as participation in sports events; and</w:t>
      </w:r>
    </w:p>
    <w:p w14:paraId="62C46938" w14:textId="77777777" w:rsidR="008E55A2" w:rsidRDefault="008E55A2" w:rsidP="008E55A2">
      <w:pPr>
        <w:pStyle w:val="ListParagraph"/>
        <w:spacing w:before="0" w:after="0"/>
      </w:pPr>
    </w:p>
    <w:p w14:paraId="6DB1C566" w14:textId="32C12E01" w:rsidR="008E55A2" w:rsidRDefault="00421D21" w:rsidP="000A5D80">
      <w:pPr>
        <w:pStyle w:val="ListParagraph"/>
        <w:numPr>
          <w:ilvl w:val="0"/>
          <w:numId w:val="37"/>
        </w:numPr>
        <w:spacing w:before="0" w:after="0"/>
        <w:ind w:hanging="720"/>
      </w:pPr>
      <w:r>
        <w:t>Support the capacity development in the field of sport through participation in trainings, seminars and symposiums.</w:t>
      </w:r>
    </w:p>
    <w:p w14:paraId="380EAC03" w14:textId="77777777" w:rsidR="008E55A2" w:rsidRPr="008E55A2" w:rsidRDefault="008E55A2" w:rsidP="008E55A2">
      <w:pPr>
        <w:pStyle w:val="ListParagraph"/>
        <w:spacing w:before="0" w:after="0"/>
      </w:pPr>
    </w:p>
    <w:p w14:paraId="0F1021D5" w14:textId="25E9CC27" w:rsidR="00421D21" w:rsidRDefault="00421D21" w:rsidP="008E55A2">
      <w:pPr>
        <w:pStyle w:val="Heading2"/>
        <w:jc w:val="both"/>
      </w:pPr>
      <w:bookmarkStart w:id="31" w:name="_Toc52803136"/>
      <w:r>
        <w:t xml:space="preserve">3.9 </w:t>
      </w:r>
      <w:r w:rsidR="008E55A2">
        <w:tab/>
      </w:r>
      <w:r>
        <w:t>Civil Service Matters</w:t>
      </w:r>
      <w:bookmarkEnd w:id="31"/>
    </w:p>
    <w:p w14:paraId="45A88372" w14:textId="77777777" w:rsidR="008E55A2" w:rsidRDefault="00421D21" w:rsidP="000A5D80">
      <w:pPr>
        <w:pStyle w:val="ListParagraph"/>
        <w:numPr>
          <w:ilvl w:val="0"/>
          <w:numId w:val="38"/>
        </w:numPr>
        <w:spacing w:before="0" w:after="0"/>
        <w:ind w:hanging="720"/>
      </w:pPr>
      <w:r>
        <w:t>Enhance dialogues and exchange on cooperation in civil service matters through relevant ASEAN-ROK mechanisms, including sharing information and best practices to accelerate an agile ASEAN and ROK civil services in a digital economy;</w:t>
      </w:r>
    </w:p>
    <w:p w14:paraId="3BE6AF43" w14:textId="77777777" w:rsidR="008E55A2" w:rsidRDefault="008E55A2" w:rsidP="008E55A2">
      <w:pPr>
        <w:pStyle w:val="ListParagraph"/>
        <w:spacing w:before="0" w:after="0"/>
      </w:pPr>
    </w:p>
    <w:p w14:paraId="04842142" w14:textId="77777777" w:rsidR="008E55A2" w:rsidRDefault="00421D21" w:rsidP="000A5D80">
      <w:pPr>
        <w:pStyle w:val="ListParagraph"/>
        <w:numPr>
          <w:ilvl w:val="0"/>
          <w:numId w:val="38"/>
        </w:numPr>
        <w:spacing w:before="0" w:after="0"/>
        <w:ind w:hanging="720"/>
      </w:pPr>
      <w:r>
        <w:t>Support ASEAN Member States in promoting culture of a good governance and e-governance among civil servants at all levels and across public sector agencies; and</w:t>
      </w:r>
    </w:p>
    <w:p w14:paraId="05A3E320" w14:textId="77777777" w:rsidR="008E55A2" w:rsidRDefault="008E55A2" w:rsidP="008E55A2">
      <w:pPr>
        <w:pStyle w:val="ListParagraph"/>
        <w:spacing w:before="0" w:after="0"/>
      </w:pPr>
    </w:p>
    <w:p w14:paraId="17875089" w14:textId="264AC871" w:rsidR="00421D21" w:rsidRDefault="00421D21" w:rsidP="000A5D80">
      <w:pPr>
        <w:pStyle w:val="ListParagraph"/>
        <w:numPr>
          <w:ilvl w:val="0"/>
          <w:numId w:val="38"/>
        </w:numPr>
        <w:spacing w:before="0" w:after="0"/>
        <w:ind w:hanging="720"/>
      </w:pPr>
      <w:r>
        <w:t>Enhance cooperation in civil service matters through the ASEAN Plus Three Cooperation on Civil Services Matters (ACCSM+3), towards building people-centric civil service in ASEAN through short-term trainings, study visits, conferences and other activities, on issues related to e-governance; human resource management and human resource development; productivity in the public sector; good governance; public sector reform; local administration capacity building and cooperation; and research and innovation.</w:t>
      </w:r>
    </w:p>
    <w:p w14:paraId="5164E24F" w14:textId="77777777" w:rsidR="008E55A2" w:rsidRDefault="008E55A2" w:rsidP="00421D21">
      <w:pPr>
        <w:spacing w:before="0" w:after="0"/>
      </w:pPr>
    </w:p>
    <w:p w14:paraId="3D29458D" w14:textId="5D57E049" w:rsidR="00421D21" w:rsidRDefault="00421D21" w:rsidP="008E55A2">
      <w:pPr>
        <w:pStyle w:val="Heading2"/>
        <w:jc w:val="both"/>
      </w:pPr>
      <w:bookmarkStart w:id="32" w:name="_Toc52803137"/>
      <w:r>
        <w:t xml:space="preserve">3.10 </w:t>
      </w:r>
      <w:r w:rsidR="008E55A2">
        <w:tab/>
      </w:r>
      <w:r>
        <w:t>Labour and Migrant Workers</w:t>
      </w:r>
      <w:bookmarkEnd w:id="32"/>
    </w:p>
    <w:p w14:paraId="104D748D" w14:textId="71DA4EB0" w:rsidR="008E55A2" w:rsidRDefault="00421D21" w:rsidP="000A5D80">
      <w:pPr>
        <w:pStyle w:val="ListParagraph"/>
        <w:numPr>
          <w:ilvl w:val="0"/>
          <w:numId w:val="39"/>
        </w:numPr>
        <w:spacing w:before="0" w:after="0"/>
        <w:ind w:hanging="720"/>
      </w:pPr>
      <w:r>
        <w:t>Support ASEAN Member States in promoting decent jobs to the people through training programmes and the exchange of experts in the fields of labour standards, industrial relations, labour market information, gender equality in employment, as well as development of technical and vocational skills, including cooperation through ASEAN TVET Council;</w:t>
      </w:r>
    </w:p>
    <w:p w14:paraId="0357FCF6" w14:textId="77777777" w:rsidR="008E55A2" w:rsidRDefault="008E55A2" w:rsidP="008E55A2">
      <w:pPr>
        <w:pStyle w:val="ListParagraph"/>
        <w:spacing w:before="0" w:after="0"/>
      </w:pPr>
    </w:p>
    <w:p w14:paraId="6C4BFCFD" w14:textId="77777777" w:rsidR="008E55A2" w:rsidRDefault="00421D21" w:rsidP="000A5D80">
      <w:pPr>
        <w:pStyle w:val="ListParagraph"/>
        <w:numPr>
          <w:ilvl w:val="0"/>
          <w:numId w:val="39"/>
        </w:numPr>
        <w:spacing w:before="0" w:after="0"/>
        <w:ind w:hanging="720"/>
      </w:pPr>
      <w:r>
        <w:t>Cooperate to support the implementation of the ASEAN Declaration on the Protection and Promotion of the Rights of Migrant Workers and the work of ASEAN Commission on the Promotion and Protection of the Rights of Women and Children (ACWC); and</w:t>
      </w:r>
    </w:p>
    <w:p w14:paraId="2FE44994" w14:textId="77777777" w:rsidR="008E55A2" w:rsidRDefault="008E55A2" w:rsidP="008E55A2">
      <w:pPr>
        <w:pStyle w:val="ListParagraph"/>
        <w:spacing w:before="0" w:after="0"/>
      </w:pPr>
    </w:p>
    <w:p w14:paraId="490A1C7F" w14:textId="63E76F9B" w:rsidR="00421D21" w:rsidRDefault="00421D21" w:rsidP="000A5D80">
      <w:pPr>
        <w:pStyle w:val="ListParagraph"/>
        <w:numPr>
          <w:ilvl w:val="0"/>
          <w:numId w:val="39"/>
        </w:numPr>
        <w:spacing w:before="0" w:after="0"/>
        <w:ind w:hanging="720"/>
      </w:pPr>
      <w:r>
        <w:t>Share experiences and expand training and capacity-building programmes for the development of human resources, and overseas volunteer programmes.</w:t>
      </w:r>
    </w:p>
    <w:p w14:paraId="40B17A08" w14:textId="77777777" w:rsidR="008E55A2" w:rsidRDefault="008E55A2" w:rsidP="008E55A2">
      <w:pPr>
        <w:pStyle w:val="ListParagraph"/>
        <w:spacing w:before="0" w:after="0"/>
      </w:pPr>
    </w:p>
    <w:p w14:paraId="14519BFE" w14:textId="73A34DE2" w:rsidR="00421D21" w:rsidRDefault="00421D21" w:rsidP="008E55A2">
      <w:pPr>
        <w:pStyle w:val="Heading2"/>
        <w:jc w:val="both"/>
      </w:pPr>
      <w:bookmarkStart w:id="33" w:name="_Toc52803138"/>
      <w:r>
        <w:t xml:space="preserve">3.11 </w:t>
      </w:r>
      <w:r w:rsidR="008E55A2">
        <w:tab/>
      </w:r>
      <w:r>
        <w:t>Social Welfare and Development</w:t>
      </w:r>
      <w:bookmarkEnd w:id="33"/>
    </w:p>
    <w:p w14:paraId="363E8BFD" w14:textId="77777777" w:rsidR="008E55A2" w:rsidRDefault="00421D21" w:rsidP="000A5D80">
      <w:pPr>
        <w:pStyle w:val="ListParagraph"/>
        <w:numPr>
          <w:ilvl w:val="0"/>
          <w:numId w:val="40"/>
        </w:numPr>
        <w:spacing w:before="0" w:after="0"/>
        <w:ind w:hanging="720"/>
      </w:pPr>
      <w:r>
        <w:t>Support the operationalisation of the Regional Framework and Action Plans to implement the ASEAN Declaration on Strengthening Social Protection, including strengthening the capacity of ASEAN in establishing social security systems and improving access to social protection programmes and services;</w:t>
      </w:r>
    </w:p>
    <w:p w14:paraId="7ACE5961" w14:textId="77777777" w:rsidR="008E55A2" w:rsidRDefault="008E55A2" w:rsidP="008E55A2">
      <w:pPr>
        <w:pStyle w:val="ListParagraph"/>
        <w:spacing w:before="0" w:after="0"/>
      </w:pPr>
    </w:p>
    <w:p w14:paraId="7D6A47D4" w14:textId="77777777" w:rsidR="008E55A2" w:rsidRDefault="00421D21" w:rsidP="000A5D80">
      <w:pPr>
        <w:pStyle w:val="ListParagraph"/>
        <w:numPr>
          <w:ilvl w:val="0"/>
          <w:numId w:val="40"/>
        </w:numPr>
        <w:spacing w:before="0" w:after="0"/>
        <w:ind w:hanging="720"/>
      </w:pPr>
      <w:r>
        <w:t>Support the implementation of the ASEAN Social Work Consortium (ASWC) Work Plan and ASEAN Enabling Masterplan 2025: Mainstreaming the Rights of Persons with Disabilities;</w:t>
      </w:r>
    </w:p>
    <w:p w14:paraId="05851C57" w14:textId="77777777" w:rsidR="008E55A2" w:rsidRDefault="008E55A2" w:rsidP="008E55A2">
      <w:pPr>
        <w:pStyle w:val="ListParagraph"/>
        <w:spacing w:before="0" w:after="0"/>
      </w:pPr>
    </w:p>
    <w:p w14:paraId="39DA3954" w14:textId="77777777" w:rsidR="008E55A2" w:rsidRDefault="00421D21" w:rsidP="000A5D80">
      <w:pPr>
        <w:pStyle w:val="ListParagraph"/>
        <w:numPr>
          <w:ilvl w:val="0"/>
          <w:numId w:val="40"/>
        </w:numPr>
        <w:spacing w:before="0" w:after="0"/>
        <w:ind w:hanging="720"/>
      </w:pPr>
      <w:r>
        <w:t>Implement joint activities addressing public health, social welfare of children, women, elderly, people with disabilities, and the poor; and</w:t>
      </w:r>
    </w:p>
    <w:p w14:paraId="4A583ABD" w14:textId="77777777" w:rsidR="008E55A2" w:rsidRDefault="008E55A2" w:rsidP="008E55A2">
      <w:pPr>
        <w:pStyle w:val="ListParagraph"/>
        <w:spacing w:before="0" w:after="0"/>
      </w:pPr>
    </w:p>
    <w:p w14:paraId="0FC7DF11" w14:textId="7F77ED5A" w:rsidR="00421D21" w:rsidRDefault="00421D21" w:rsidP="000A5D80">
      <w:pPr>
        <w:pStyle w:val="ListParagraph"/>
        <w:numPr>
          <w:ilvl w:val="0"/>
          <w:numId w:val="40"/>
        </w:numPr>
        <w:spacing w:before="0" w:after="0"/>
        <w:ind w:hanging="720"/>
      </w:pPr>
      <w:r>
        <w:t>Support the strengthening of entrepreneurship skills for women, youth, elderly, persons with disabilities and vulnerable groups.</w:t>
      </w:r>
    </w:p>
    <w:p w14:paraId="36D9954D" w14:textId="77777777" w:rsidR="008E55A2" w:rsidRDefault="008E55A2" w:rsidP="008E55A2">
      <w:pPr>
        <w:pStyle w:val="ListParagraph"/>
        <w:spacing w:before="0" w:after="0"/>
      </w:pPr>
    </w:p>
    <w:p w14:paraId="01C5583C" w14:textId="54416B56" w:rsidR="00421D21" w:rsidRDefault="00421D21" w:rsidP="008E55A2">
      <w:pPr>
        <w:pStyle w:val="Heading2"/>
        <w:jc w:val="both"/>
      </w:pPr>
      <w:bookmarkStart w:id="34" w:name="_Toc52803139"/>
      <w:r>
        <w:t xml:space="preserve">3.12 </w:t>
      </w:r>
      <w:r w:rsidR="008E55A2">
        <w:tab/>
      </w:r>
      <w:r>
        <w:t>Culture of Prevention</w:t>
      </w:r>
      <w:bookmarkEnd w:id="34"/>
    </w:p>
    <w:p w14:paraId="0AD6AD19" w14:textId="53B6105F" w:rsidR="00421D21" w:rsidRDefault="00421D21" w:rsidP="000A5D80">
      <w:pPr>
        <w:pStyle w:val="ListParagraph"/>
        <w:numPr>
          <w:ilvl w:val="0"/>
          <w:numId w:val="41"/>
        </w:numPr>
        <w:spacing w:before="0" w:after="0"/>
        <w:ind w:hanging="720"/>
      </w:pPr>
      <w:r>
        <w:t>Explore opportunities to support the implementation of the ASEAN Declaration on Culture of Prevention for a Peaceful, Inclusive, Resilient, Healthy and Harmonious society.</w:t>
      </w:r>
    </w:p>
    <w:p w14:paraId="0A9EDEDD" w14:textId="77777777" w:rsidR="008B6CDB" w:rsidRDefault="008B6CDB" w:rsidP="008B6CDB">
      <w:pPr>
        <w:spacing w:before="0" w:after="0"/>
      </w:pPr>
    </w:p>
    <w:p w14:paraId="060A12A2" w14:textId="49112A5F" w:rsidR="008E55A2" w:rsidRDefault="00421D21" w:rsidP="008E55A2">
      <w:pPr>
        <w:pStyle w:val="Heading1"/>
        <w:jc w:val="both"/>
      </w:pPr>
      <w:bookmarkStart w:id="35" w:name="_Toc52803140"/>
      <w:r>
        <w:t xml:space="preserve">4. </w:t>
      </w:r>
      <w:r w:rsidR="008E55A2">
        <w:tab/>
      </w:r>
      <w:r>
        <w:t>Cross-sectoral Cooperation</w:t>
      </w:r>
      <w:bookmarkEnd w:id="35"/>
      <w:r>
        <w:t xml:space="preserve"> </w:t>
      </w:r>
    </w:p>
    <w:p w14:paraId="68BB4D82" w14:textId="4B7988D3" w:rsidR="00421D21" w:rsidRDefault="00421D21" w:rsidP="008E55A2">
      <w:pPr>
        <w:pStyle w:val="Heading2"/>
        <w:jc w:val="both"/>
      </w:pPr>
      <w:bookmarkStart w:id="36" w:name="_Toc52803141"/>
      <w:r>
        <w:t xml:space="preserve">4.1 </w:t>
      </w:r>
      <w:r w:rsidR="008E55A2">
        <w:tab/>
      </w:r>
      <w:r>
        <w:t>Connectivity</w:t>
      </w:r>
      <w:bookmarkEnd w:id="36"/>
    </w:p>
    <w:p w14:paraId="5FBCAF67" w14:textId="77777777" w:rsidR="008E55A2" w:rsidRDefault="00421D21" w:rsidP="000A5D80">
      <w:pPr>
        <w:pStyle w:val="ListParagraph"/>
        <w:numPr>
          <w:ilvl w:val="0"/>
          <w:numId w:val="42"/>
        </w:numPr>
        <w:spacing w:before="0" w:after="0"/>
        <w:ind w:hanging="720"/>
      </w:pPr>
      <w:r>
        <w:t>Strengthen cooperation to enhance ASEAN Connectivity through the implementation of the Master Plan on ASEAN Connectivity (MPAC) 2025;</w:t>
      </w:r>
    </w:p>
    <w:p w14:paraId="18D50A6D" w14:textId="77777777" w:rsidR="008E55A2" w:rsidRDefault="008E55A2" w:rsidP="008E55A2">
      <w:pPr>
        <w:pStyle w:val="ListParagraph"/>
        <w:spacing w:before="0" w:after="0"/>
      </w:pPr>
    </w:p>
    <w:p w14:paraId="3DEF5986" w14:textId="77777777" w:rsidR="008E55A2" w:rsidRDefault="00421D21" w:rsidP="000A5D80">
      <w:pPr>
        <w:pStyle w:val="ListParagraph"/>
        <w:numPr>
          <w:ilvl w:val="0"/>
          <w:numId w:val="42"/>
        </w:numPr>
        <w:spacing w:before="0" w:after="0"/>
        <w:ind w:hanging="720"/>
      </w:pPr>
      <w:r>
        <w:t>Provide technical and financial support in the areas of sustainable infrastructure, digital innovation, seamless logistics, regulatory excellence, and people mobility such as road, rail, air, sea and digital linkages within ASEAN so as to facilitate cross-border trade and movement of people to enhance regional connectivity;</w:t>
      </w:r>
    </w:p>
    <w:p w14:paraId="17AB045E" w14:textId="77777777" w:rsidR="008E55A2" w:rsidRDefault="008E55A2" w:rsidP="008E55A2">
      <w:pPr>
        <w:pStyle w:val="ListParagraph"/>
        <w:spacing w:before="0" w:after="0"/>
      </w:pPr>
    </w:p>
    <w:p w14:paraId="0022A201" w14:textId="77777777" w:rsidR="008E55A2" w:rsidRDefault="00421D21" w:rsidP="000A5D80">
      <w:pPr>
        <w:pStyle w:val="ListParagraph"/>
        <w:numPr>
          <w:ilvl w:val="0"/>
          <w:numId w:val="42"/>
        </w:numPr>
        <w:spacing w:before="0" w:after="0"/>
        <w:ind w:hanging="720"/>
      </w:pPr>
      <w:r>
        <w:t>Enhance people-to-people connectivity through development of human capital, strengthen TVET programmes and related initiatives, scholarships and fellowships, and educational exchanges for ASEAN people; and</w:t>
      </w:r>
    </w:p>
    <w:p w14:paraId="63CD3A46" w14:textId="77777777" w:rsidR="008E55A2" w:rsidRDefault="008E55A2" w:rsidP="008E55A2">
      <w:pPr>
        <w:pStyle w:val="ListParagraph"/>
        <w:spacing w:before="0" w:after="0"/>
      </w:pPr>
    </w:p>
    <w:p w14:paraId="451F634B" w14:textId="4BADC0E0" w:rsidR="00421D21" w:rsidRDefault="00421D21" w:rsidP="000A5D80">
      <w:pPr>
        <w:pStyle w:val="ListParagraph"/>
        <w:numPr>
          <w:ilvl w:val="0"/>
          <w:numId w:val="42"/>
        </w:numPr>
        <w:spacing w:before="0" w:after="0"/>
        <w:ind w:hanging="720"/>
      </w:pPr>
      <w:r>
        <w:t>Strengthen engagement and consultation on connectivity cooperation through regular bilateral and multilateral dialogue.</w:t>
      </w:r>
    </w:p>
    <w:p w14:paraId="68513E2F" w14:textId="212A7776" w:rsidR="00421D21" w:rsidRDefault="00421D21" w:rsidP="00421D21">
      <w:pPr>
        <w:spacing w:before="0" w:after="0"/>
      </w:pPr>
    </w:p>
    <w:p w14:paraId="7535B65E" w14:textId="28A21F73" w:rsidR="008B6CDB" w:rsidRDefault="008B6CDB" w:rsidP="00421D21">
      <w:pPr>
        <w:spacing w:before="0" w:after="0"/>
      </w:pPr>
    </w:p>
    <w:p w14:paraId="6E9D3672" w14:textId="77777777" w:rsidR="008B6CDB" w:rsidRDefault="008B6CDB" w:rsidP="00421D21">
      <w:pPr>
        <w:spacing w:before="0" w:after="0"/>
      </w:pPr>
    </w:p>
    <w:p w14:paraId="0FCB6FA3" w14:textId="5341830B" w:rsidR="00421D21" w:rsidRDefault="00421D21" w:rsidP="008E55A2">
      <w:pPr>
        <w:pStyle w:val="Heading2"/>
        <w:jc w:val="both"/>
      </w:pPr>
      <w:bookmarkStart w:id="37" w:name="_Toc52803142"/>
      <w:r>
        <w:lastRenderedPageBreak/>
        <w:t xml:space="preserve">4.2 </w:t>
      </w:r>
      <w:r w:rsidR="008E55A2">
        <w:tab/>
      </w:r>
      <w:r>
        <w:t>Initiative for ASEAN Integration (IAI) and Narrowing Development Gap</w:t>
      </w:r>
      <w:bookmarkEnd w:id="37"/>
    </w:p>
    <w:p w14:paraId="7EB4E226" w14:textId="77777777" w:rsidR="008E55A2" w:rsidRDefault="00421D21" w:rsidP="000A5D80">
      <w:pPr>
        <w:pStyle w:val="ListParagraph"/>
        <w:numPr>
          <w:ilvl w:val="0"/>
          <w:numId w:val="43"/>
        </w:numPr>
        <w:spacing w:before="0" w:after="0"/>
        <w:ind w:hanging="720"/>
      </w:pPr>
      <w:r>
        <w:t>Continue to support ASEAN’s efforts in narrowing the development gap within and between ASEAN Member States, through the implementation of IAI Work Plan IV (2021-2025) as well as alleviating poverty and promoting sustainable development in order to realise the ASEAN Community and regional integration;</w:t>
      </w:r>
    </w:p>
    <w:p w14:paraId="5AB62AD2" w14:textId="77777777" w:rsidR="008E55A2" w:rsidRDefault="008E55A2" w:rsidP="008E55A2">
      <w:pPr>
        <w:pStyle w:val="ListParagraph"/>
        <w:spacing w:before="0" w:after="0"/>
      </w:pPr>
    </w:p>
    <w:p w14:paraId="64644FB6" w14:textId="155F3C5D" w:rsidR="00421D21" w:rsidRDefault="00421D21" w:rsidP="000A5D80">
      <w:pPr>
        <w:pStyle w:val="ListParagraph"/>
        <w:numPr>
          <w:ilvl w:val="0"/>
          <w:numId w:val="43"/>
        </w:numPr>
        <w:spacing w:before="0" w:after="0"/>
        <w:ind w:hanging="720"/>
      </w:pPr>
      <w:r>
        <w:t>Continue to support CLMV countries in the implementation of the IAI through areas such as human resource development by increasing the development scholarships, vocational education, and training programmes;</w:t>
      </w:r>
    </w:p>
    <w:p w14:paraId="019B69F2" w14:textId="77777777" w:rsidR="008E55A2" w:rsidRDefault="008E55A2" w:rsidP="008E55A2">
      <w:pPr>
        <w:pStyle w:val="ListParagraph"/>
        <w:spacing w:before="0" w:after="0"/>
      </w:pPr>
    </w:p>
    <w:p w14:paraId="7752DEF1" w14:textId="423C1832" w:rsidR="00421D21" w:rsidRDefault="00421D21" w:rsidP="008E55A2">
      <w:pPr>
        <w:pStyle w:val="Heading2"/>
        <w:jc w:val="both"/>
      </w:pPr>
      <w:bookmarkStart w:id="38" w:name="_Toc52803143"/>
      <w:r>
        <w:t xml:space="preserve">4.3 </w:t>
      </w:r>
      <w:r w:rsidR="008E55A2">
        <w:tab/>
      </w:r>
      <w:r>
        <w:t>Smart Cities</w:t>
      </w:r>
      <w:bookmarkEnd w:id="38"/>
    </w:p>
    <w:p w14:paraId="7D6939BA" w14:textId="77777777" w:rsidR="008E55A2" w:rsidRDefault="00421D21" w:rsidP="000A5D80">
      <w:pPr>
        <w:pStyle w:val="ListParagraph"/>
        <w:numPr>
          <w:ilvl w:val="0"/>
          <w:numId w:val="44"/>
        </w:numPr>
        <w:spacing w:before="0" w:after="0"/>
        <w:ind w:hanging="720"/>
      </w:pPr>
      <w:r>
        <w:t>Support the ASEAN Smart City Network (ASCN) and the ASEAN Sustainable Urbanisation Strategy (ASUS) to build communities that are resilient, innovative and well-connected towards achieving smart and sustainable development;</w:t>
      </w:r>
    </w:p>
    <w:p w14:paraId="378E2494" w14:textId="77777777" w:rsidR="008E55A2" w:rsidRDefault="008E55A2" w:rsidP="008E55A2">
      <w:pPr>
        <w:pStyle w:val="ListParagraph"/>
        <w:spacing w:before="0" w:after="0"/>
      </w:pPr>
    </w:p>
    <w:p w14:paraId="2CA342FC" w14:textId="77777777" w:rsidR="008E55A2" w:rsidRDefault="00421D21" w:rsidP="000A5D80">
      <w:pPr>
        <w:pStyle w:val="ListParagraph"/>
        <w:numPr>
          <w:ilvl w:val="0"/>
          <w:numId w:val="44"/>
        </w:numPr>
        <w:spacing w:before="0" w:after="0"/>
        <w:ind w:hanging="720"/>
      </w:pPr>
      <w:r>
        <w:t>Explore partnerships with ASCN and ASCN cities, in areas of mutual benefits and interests, including through various platforms that encourage discussions on smart cities; and</w:t>
      </w:r>
    </w:p>
    <w:p w14:paraId="4CEFD99A" w14:textId="77777777" w:rsidR="008E55A2" w:rsidRDefault="008E55A2" w:rsidP="008E55A2">
      <w:pPr>
        <w:pStyle w:val="ListParagraph"/>
        <w:spacing w:before="0" w:after="0"/>
      </w:pPr>
    </w:p>
    <w:p w14:paraId="4B41A292" w14:textId="6A702FB2" w:rsidR="00421D21" w:rsidRDefault="00421D21" w:rsidP="000A5D80">
      <w:pPr>
        <w:pStyle w:val="ListParagraph"/>
        <w:numPr>
          <w:ilvl w:val="0"/>
          <w:numId w:val="44"/>
        </w:numPr>
        <w:spacing w:before="0" w:after="0"/>
        <w:ind w:hanging="720"/>
      </w:pPr>
      <w:r>
        <w:t>Enhance dialogue and promote capacity-building initiatives such as training programmes, study visits, and conferences as well as exchanges of best practices, information and experts.</w:t>
      </w:r>
    </w:p>
    <w:p w14:paraId="6CE2BC6B" w14:textId="77777777" w:rsidR="008E55A2" w:rsidRDefault="008E55A2" w:rsidP="008E55A2">
      <w:pPr>
        <w:pStyle w:val="ListParagraph"/>
        <w:spacing w:before="0" w:after="0"/>
      </w:pPr>
    </w:p>
    <w:p w14:paraId="30068A8A" w14:textId="51633F45" w:rsidR="00421D21" w:rsidRDefault="00421D21" w:rsidP="008E55A2">
      <w:pPr>
        <w:pStyle w:val="Heading2"/>
        <w:jc w:val="both"/>
      </w:pPr>
      <w:bookmarkStart w:id="39" w:name="_Toc52803144"/>
      <w:r>
        <w:t xml:space="preserve">4.4 </w:t>
      </w:r>
      <w:r w:rsidR="008E55A2">
        <w:tab/>
      </w:r>
      <w:r>
        <w:t>Sub-Regional Cooperation</w:t>
      </w:r>
      <w:bookmarkEnd w:id="39"/>
    </w:p>
    <w:p w14:paraId="05FD9F43" w14:textId="203EB20C" w:rsidR="00421D21" w:rsidRDefault="00421D21" w:rsidP="000A5D80">
      <w:pPr>
        <w:pStyle w:val="ListParagraph"/>
        <w:numPr>
          <w:ilvl w:val="0"/>
          <w:numId w:val="45"/>
        </w:numPr>
        <w:spacing w:before="0" w:after="0"/>
        <w:ind w:hanging="720"/>
      </w:pPr>
      <w:r>
        <w:t>Continue to strengthen cooperation under relevant sub-regional framework and cooperation mechanisms to support efforts to narrow the development gap in the region.</w:t>
      </w:r>
    </w:p>
    <w:p w14:paraId="204128F0" w14:textId="77777777" w:rsidR="008B6CDB" w:rsidRDefault="008B6CDB" w:rsidP="008B6CDB">
      <w:pPr>
        <w:pStyle w:val="ListParagraph"/>
        <w:spacing w:before="0" w:after="0"/>
      </w:pPr>
    </w:p>
    <w:p w14:paraId="6DD3799F" w14:textId="464327DC" w:rsidR="00421D21" w:rsidRDefault="00421D21" w:rsidP="008E55A2">
      <w:pPr>
        <w:pStyle w:val="Heading1"/>
        <w:jc w:val="both"/>
      </w:pPr>
      <w:bookmarkStart w:id="40" w:name="_Toc52803145"/>
      <w:r>
        <w:t xml:space="preserve">5. </w:t>
      </w:r>
      <w:r w:rsidR="008E55A2">
        <w:tab/>
      </w:r>
      <w:r>
        <w:t>Sustainable Development Cooperation</w:t>
      </w:r>
      <w:bookmarkEnd w:id="40"/>
    </w:p>
    <w:p w14:paraId="1D18AB7F" w14:textId="77777777" w:rsidR="008E55A2" w:rsidRDefault="008E55A2" w:rsidP="000A5D80">
      <w:pPr>
        <w:pStyle w:val="ListParagraph"/>
        <w:numPr>
          <w:ilvl w:val="0"/>
          <w:numId w:val="46"/>
        </w:numPr>
        <w:spacing w:before="0" w:after="0"/>
        <w:ind w:hanging="720"/>
      </w:pPr>
      <w:r w:rsidRPr="008E55A2">
        <w:t>Promote dialogue and cooperation to enhance complementarities between the ASEAN Community Vision 2025 and the UN 2030 Agenda for Sustainable Development; and</w:t>
      </w:r>
    </w:p>
    <w:p w14:paraId="52DEBE9B" w14:textId="77777777" w:rsidR="008E55A2" w:rsidRDefault="008E55A2" w:rsidP="008E55A2">
      <w:pPr>
        <w:pStyle w:val="ListParagraph"/>
        <w:spacing w:before="0" w:after="0"/>
      </w:pPr>
    </w:p>
    <w:p w14:paraId="5DB0A0AF" w14:textId="5677F429" w:rsidR="00421D21" w:rsidRDefault="00421D21" w:rsidP="000A5D80">
      <w:pPr>
        <w:pStyle w:val="ListParagraph"/>
        <w:numPr>
          <w:ilvl w:val="0"/>
          <w:numId w:val="46"/>
        </w:numPr>
        <w:spacing w:before="0" w:after="0"/>
        <w:ind w:hanging="720"/>
      </w:pPr>
      <w:r>
        <w:t>Supporting ASEAN institutions and mechanisms that help facilitate sustainable development cooperation in the region, including but not limited to the ASEAN Centre for Sustainable Development Studies and Dialogue (ACSDSD) in Thailand and the ASEAN Institute for Green Economy (AIGE) in Myanmar.</w:t>
      </w:r>
    </w:p>
    <w:p w14:paraId="5BBC54A2" w14:textId="77777777" w:rsidR="00421D21" w:rsidRDefault="00421D21" w:rsidP="00421D21">
      <w:pPr>
        <w:spacing w:before="0" w:after="0"/>
      </w:pPr>
    </w:p>
    <w:p w14:paraId="6307C3C9" w14:textId="195CFDD0" w:rsidR="00421D21" w:rsidRDefault="00421D21" w:rsidP="008E55A2">
      <w:pPr>
        <w:pStyle w:val="Heading1"/>
        <w:jc w:val="both"/>
      </w:pPr>
      <w:bookmarkStart w:id="41" w:name="_Toc52803146"/>
      <w:r>
        <w:t xml:space="preserve">6. </w:t>
      </w:r>
      <w:r w:rsidR="008E55A2">
        <w:tab/>
      </w:r>
      <w:r>
        <w:t>Strengthening ASEAN’s Institutional Capacity</w:t>
      </w:r>
      <w:bookmarkEnd w:id="41"/>
    </w:p>
    <w:p w14:paraId="3BEED64E" w14:textId="14F5FBF1" w:rsidR="00421D21" w:rsidRDefault="00421D21" w:rsidP="000A5D80">
      <w:pPr>
        <w:pStyle w:val="ListParagraph"/>
        <w:numPr>
          <w:ilvl w:val="0"/>
          <w:numId w:val="47"/>
        </w:numPr>
        <w:spacing w:before="0" w:after="0"/>
        <w:ind w:hanging="720"/>
      </w:pPr>
      <w:r>
        <w:t>Explore avenues to enhance capacity building of ASEAN institutions, including the ASEAN Secretariat.</w:t>
      </w:r>
    </w:p>
    <w:p w14:paraId="3BCEFFA7" w14:textId="77777777" w:rsidR="008E55A2" w:rsidRDefault="008E55A2" w:rsidP="008E55A2">
      <w:pPr>
        <w:pStyle w:val="ListParagraph"/>
        <w:spacing w:before="0" w:after="0"/>
      </w:pPr>
    </w:p>
    <w:p w14:paraId="54A03179" w14:textId="0F327EDD" w:rsidR="00421D21" w:rsidRDefault="00421D21" w:rsidP="008E55A2">
      <w:pPr>
        <w:pStyle w:val="Heading1"/>
        <w:jc w:val="both"/>
      </w:pPr>
      <w:bookmarkStart w:id="42" w:name="_Toc52803147"/>
      <w:r>
        <w:t xml:space="preserve">7. </w:t>
      </w:r>
      <w:r w:rsidR="008E55A2">
        <w:tab/>
      </w:r>
      <w:r>
        <w:t>Implementation Arrangements</w:t>
      </w:r>
      <w:bookmarkEnd w:id="42"/>
    </w:p>
    <w:p w14:paraId="2096BF35" w14:textId="6F5C52A2" w:rsidR="00421D21" w:rsidRDefault="00421D21" w:rsidP="000A5D80">
      <w:pPr>
        <w:pStyle w:val="ListParagraph"/>
        <w:numPr>
          <w:ilvl w:val="0"/>
          <w:numId w:val="48"/>
        </w:numPr>
        <w:spacing w:before="0" w:after="0"/>
        <w:ind w:hanging="720"/>
      </w:pPr>
      <w:r>
        <w:t>This POA will be taken forward using the ASEAN-Korea Cooperation Fund and other available funding sources from ASEAN and the ROK;</w:t>
      </w:r>
    </w:p>
    <w:p w14:paraId="0234D40F" w14:textId="77777777" w:rsidR="008E55A2" w:rsidRDefault="008E55A2" w:rsidP="008E55A2">
      <w:pPr>
        <w:pStyle w:val="ListParagraph"/>
        <w:spacing w:before="0" w:after="0"/>
      </w:pPr>
    </w:p>
    <w:p w14:paraId="52321C56" w14:textId="1912D2FC" w:rsidR="00421D21" w:rsidRDefault="00421D21" w:rsidP="000A5D80">
      <w:pPr>
        <w:pStyle w:val="ListParagraph"/>
        <w:numPr>
          <w:ilvl w:val="0"/>
          <w:numId w:val="48"/>
        </w:numPr>
        <w:spacing w:before="0" w:after="0"/>
        <w:ind w:hanging="720"/>
      </w:pPr>
      <w:r>
        <w:t>Concerned ASEAN sectoral bodies and agencies of the ROK will jointly draw up specific work programmes/projects to implement the actions and measures outlined in this POA; and</w:t>
      </w:r>
    </w:p>
    <w:p w14:paraId="0F1898D2" w14:textId="77777777" w:rsidR="008E55A2" w:rsidRDefault="008E55A2" w:rsidP="008E55A2">
      <w:pPr>
        <w:pStyle w:val="ListParagraph"/>
        <w:spacing w:before="0" w:after="0"/>
      </w:pPr>
    </w:p>
    <w:p w14:paraId="44FAB21C" w14:textId="3FB7F401" w:rsidR="00DF288A" w:rsidRPr="00E423E4" w:rsidRDefault="00421D21" w:rsidP="000A5D80">
      <w:pPr>
        <w:pStyle w:val="ListParagraph"/>
        <w:numPr>
          <w:ilvl w:val="0"/>
          <w:numId w:val="48"/>
        </w:numPr>
        <w:spacing w:before="0" w:after="0"/>
        <w:ind w:hanging="720"/>
      </w:pPr>
      <w:r>
        <w:lastRenderedPageBreak/>
        <w:t>Review of this POA will be made through the ASEAN PMC +1 Session with the ROK, the ASEAN-ROK Dialogue and the ASEAN-ROK Joint Cooperation Committee. Progress report of the implementation of this POA will be submitted to the annual ASEAN-ROK Summit.</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C60D" w14:textId="77777777" w:rsidR="001A6E54" w:rsidRDefault="001A6E54" w:rsidP="00F61B4F">
      <w:pPr>
        <w:spacing w:before="0" w:after="0" w:line="240" w:lineRule="auto"/>
      </w:pPr>
      <w:r>
        <w:separator/>
      </w:r>
    </w:p>
  </w:endnote>
  <w:endnote w:type="continuationSeparator" w:id="0">
    <w:p w14:paraId="215AC951" w14:textId="77777777" w:rsidR="001A6E54" w:rsidRDefault="001A6E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DBF5" w14:textId="77777777" w:rsidR="00B532E2" w:rsidRDefault="00B532E2" w:rsidP="00F61B4F">
    <w:pPr>
      <w:pStyle w:val="Footer"/>
      <w:tabs>
        <w:tab w:val="clear" w:pos="9360"/>
        <w:tab w:val="right" w:pos="8931"/>
      </w:tabs>
      <w:jc w:val="right"/>
    </w:pPr>
  </w:p>
  <w:p w14:paraId="7328052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8A77" w14:textId="77777777" w:rsidR="00B532E2" w:rsidRDefault="00B532E2" w:rsidP="00F61B4F">
    <w:pPr>
      <w:pStyle w:val="Footer"/>
      <w:tabs>
        <w:tab w:val="clear" w:pos="9360"/>
        <w:tab w:val="right" w:pos="8931"/>
      </w:tabs>
      <w:jc w:val="right"/>
    </w:pPr>
  </w:p>
  <w:p w14:paraId="4617B35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0BE4" w14:textId="77777777" w:rsidR="001A6E54" w:rsidRDefault="001A6E54" w:rsidP="00F61B4F">
      <w:pPr>
        <w:spacing w:before="0" w:after="0" w:line="240" w:lineRule="auto"/>
      </w:pPr>
      <w:r>
        <w:separator/>
      </w:r>
    </w:p>
  </w:footnote>
  <w:footnote w:type="continuationSeparator" w:id="0">
    <w:p w14:paraId="47211CF8" w14:textId="77777777" w:rsidR="001A6E54" w:rsidRDefault="001A6E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A2D1" w14:textId="1D121341" w:rsidR="00D416BF" w:rsidRPr="00CD6026" w:rsidRDefault="00D416BF" w:rsidP="00CD6026">
    <w:pPr>
      <w:pStyle w:val="Header"/>
      <w:pBdr>
        <w:bottom w:val="single" w:sz="4" w:space="1" w:color="auto"/>
      </w:pBdr>
      <w:rPr>
        <w:rFonts w:cs="Arial"/>
        <w:caps/>
        <w:color w:val="808080"/>
        <w:sz w:val="16"/>
        <w:szCs w:val="16"/>
      </w:rPr>
    </w:pPr>
    <w:r w:rsidRPr="00D416BF">
      <w:rPr>
        <w:rFonts w:cs="Arial"/>
        <w:caps/>
        <w:color w:val="808080"/>
        <w:sz w:val="16"/>
        <w:szCs w:val="16"/>
      </w:rPr>
      <w:t>2021-2025 ASEAN-REPUBLIC OF KOREA PLAN OF ACTION TO IMPLEMENT THE JOINT VISION STATEMENT FOR PEACE, PROSPERITY AND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C58A0"/>
    <w:multiLevelType w:val="hybridMultilevel"/>
    <w:tmpl w:val="5E3A7082"/>
    <w:lvl w:ilvl="0" w:tplc="2AAEAB1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D26C1"/>
    <w:multiLevelType w:val="hybridMultilevel"/>
    <w:tmpl w:val="AA0ACD92"/>
    <w:lvl w:ilvl="0" w:tplc="1DDAB26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B03B0"/>
    <w:multiLevelType w:val="hybridMultilevel"/>
    <w:tmpl w:val="C4581AAA"/>
    <w:lvl w:ilvl="0" w:tplc="17FC63C4">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93248"/>
    <w:multiLevelType w:val="hybridMultilevel"/>
    <w:tmpl w:val="5BC620C2"/>
    <w:lvl w:ilvl="0" w:tplc="D23A77B6">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0376E"/>
    <w:multiLevelType w:val="hybridMultilevel"/>
    <w:tmpl w:val="85FA7160"/>
    <w:lvl w:ilvl="0" w:tplc="E03E2AAA">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90DDB"/>
    <w:multiLevelType w:val="hybridMultilevel"/>
    <w:tmpl w:val="665078D8"/>
    <w:lvl w:ilvl="0" w:tplc="9ED0352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420BE"/>
    <w:multiLevelType w:val="hybridMultilevel"/>
    <w:tmpl w:val="A6E66F68"/>
    <w:lvl w:ilvl="0" w:tplc="54D04A6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E1A06"/>
    <w:multiLevelType w:val="hybridMultilevel"/>
    <w:tmpl w:val="1A267FFA"/>
    <w:lvl w:ilvl="0" w:tplc="9C862EB6">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B6543"/>
    <w:multiLevelType w:val="hybridMultilevel"/>
    <w:tmpl w:val="0A605530"/>
    <w:lvl w:ilvl="0" w:tplc="C494E492">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7375E"/>
    <w:multiLevelType w:val="hybridMultilevel"/>
    <w:tmpl w:val="A3242EE2"/>
    <w:lvl w:ilvl="0" w:tplc="D248A6C4">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5382C"/>
    <w:multiLevelType w:val="hybridMultilevel"/>
    <w:tmpl w:val="691E4020"/>
    <w:lvl w:ilvl="0" w:tplc="5DF84D00">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505D5"/>
    <w:multiLevelType w:val="multilevel"/>
    <w:tmpl w:val="BD3E7538"/>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52CE0"/>
    <w:multiLevelType w:val="hybridMultilevel"/>
    <w:tmpl w:val="7B062948"/>
    <w:lvl w:ilvl="0" w:tplc="DF067EBC">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D535C"/>
    <w:multiLevelType w:val="hybridMultilevel"/>
    <w:tmpl w:val="93C08FA6"/>
    <w:lvl w:ilvl="0" w:tplc="4C3E4604">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E66B8"/>
    <w:multiLevelType w:val="hybridMultilevel"/>
    <w:tmpl w:val="EF12071A"/>
    <w:lvl w:ilvl="0" w:tplc="47A2A27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55688"/>
    <w:multiLevelType w:val="hybridMultilevel"/>
    <w:tmpl w:val="5DA2AB40"/>
    <w:lvl w:ilvl="0" w:tplc="CE50807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1602D"/>
    <w:multiLevelType w:val="hybridMultilevel"/>
    <w:tmpl w:val="DFE617FE"/>
    <w:lvl w:ilvl="0" w:tplc="BEB2611A">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77CE"/>
    <w:multiLevelType w:val="hybridMultilevel"/>
    <w:tmpl w:val="C87CB86E"/>
    <w:lvl w:ilvl="0" w:tplc="0CC664B2">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E5F94"/>
    <w:multiLevelType w:val="hybridMultilevel"/>
    <w:tmpl w:val="E8B86564"/>
    <w:lvl w:ilvl="0" w:tplc="A728289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5076B"/>
    <w:multiLevelType w:val="hybridMultilevel"/>
    <w:tmpl w:val="7E667894"/>
    <w:lvl w:ilvl="0" w:tplc="AD78481A">
      <w:start w:val="1"/>
      <w:numFmt w:val="decimal"/>
      <w:lvlText w:val="2.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54069"/>
    <w:multiLevelType w:val="hybridMultilevel"/>
    <w:tmpl w:val="A02E724A"/>
    <w:lvl w:ilvl="0" w:tplc="89F26E3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136CF"/>
    <w:multiLevelType w:val="hybridMultilevel"/>
    <w:tmpl w:val="E9A290AA"/>
    <w:lvl w:ilvl="0" w:tplc="40288AE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B28A9"/>
    <w:multiLevelType w:val="hybridMultilevel"/>
    <w:tmpl w:val="2C7E4A94"/>
    <w:lvl w:ilvl="0" w:tplc="CE64476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7582F"/>
    <w:multiLevelType w:val="hybridMultilevel"/>
    <w:tmpl w:val="B4A47F50"/>
    <w:lvl w:ilvl="0" w:tplc="978097E4">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E3840"/>
    <w:multiLevelType w:val="hybridMultilevel"/>
    <w:tmpl w:val="AF5A9008"/>
    <w:lvl w:ilvl="0" w:tplc="6E96E6E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18BE"/>
    <w:multiLevelType w:val="hybridMultilevel"/>
    <w:tmpl w:val="D85E3EA2"/>
    <w:lvl w:ilvl="0" w:tplc="02D887D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94557"/>
    <w:multiLevelType w:val="hybridMultilevel"/>
    <w:tmpl w:val="BCCA3E3E"/>
    <w:lvl w:ilvl="0" w:tplc="2098A71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A50BC"/>
    <w:multiLevelType w:val="hybridMultilevel"/>
    <w:tmpl w:val="FFF62418"/>
    <w:lvl w:ilvl="0" w:tplc="22520100">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A15A2"/>
    <w:multiLevelType w:val="hybridMultilevel"/>
    <w:tmpl w:val="278EB96A"/>
    <w:lvl w:ilvl="0" w:tplc="BFB0711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E0AD8"/>
    <w:multiLevelType w:val="hybridMultilevel"/>
    <w:tmpl w:val="828A688A"/>
    <w:lvl w:ilvl="0" w:tplc="F54AAEC2">
      <w:start w:val="1"/>
      <w:numFmt w:val="decimal"/>
      <w:lvlText w:val="3.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70A93"/>
    <w:multiLevelType w:val="hybridMultilevel"/>
    <w:tmpl w:val="B62EAC3A"/>
    <w:lvl w:ilvl="0" w:tplc="04EE83DA">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B3E31"/>
    <w:multiLevelType w:val="hybridMultilevel"/>
    <w:tmpl w:val="270C80A0"/>
    <w:lvl w:ilvl="0" w:tplc="DE2E3DF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569DE"/>
    <w:multiLevelType w:val="hybridMultilevel"/>
    <w:tmpl w:val="E49E0F06"/>
    <w:lvl w:ilvl="0" w:tplc="AD64435E">
      <w:start w:val="1"/>
      <w:numFmt w:val="decimal"/>
      <w:lvlText w:val="2.4.%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0B1B2E"/>
    <w:multiLevelType w:val="hybridMultilevel"/>
    <w:tmpl w:val="DD686ED4"/>
    <w:lvl w:ilvl="0" w:tplc="8A0A04F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C6553"/>
    <w:multiLevelType w:val="hybridMultilevel"/>
    <w:tmpl w:val="E3D60A76"/>
    <w:lvl w:ilvl="0" w:tplc="EC704C2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B01B1"/>
    <w:multiLevelType w:val="hybridMultilevel"/>
    <w:tmpl w:val="2286B7A4"/>
    <w:lvl w:ilvl="0" w:tplc="E33E51A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006B8"/>
    <w:multiLevelType w:val="hybridMultilevel"/>
    <w:tmpl w:val="FE383632"/>
    <w:lvl w:ilvl="0" w:tplc="FC3656D8">
      <w:start w:val="1"/>
      <w:numFmt w:val="decimal"/>
      <w:lvlText w:val="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4423"/>
    <w:multiLevelType w:val="hybridMultilevel"/>
    <w:tmpl w:val="90F6BAD6"/>
    <w:lvl w:ilvl="0" w:tplc="EB84A5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35"/>
  </w:num>
  <w:num w:numId="14">
    <w:abstractNumId w:val="15"/>
  </w:num>
  <w:num w:numId="15">
    <w:abstractNumId w:val="25"/>
  </w:num>
  <w:num w:numId="16">
    <w:abstractNumId w:val="31"/>
  </w:num>
  <w:num w:numId="17">
    <w:abstractNumId w:val="37"/>
  </w:num>
  <w:num w:numId="18">
    <w:abstractNumId w:val="18"/>
  </w:num>
  <w:num w:numId="19">
    <w:abstractNumId w:val="38"/>
  </w:num>
  <w:num w:numId="20">
    <w:abstractNumId w:val="41"/>
  </w:num>
  <w:num w:numId="21">
    <w:abstractNumId w:val="42"/>
  </w:num>
  <w:num w:numId="22">
    <w:abstractNumId w:val="45"/>
  </w:num>
  <w:num w:numId="23">
    <w:abstractNumId w:val="27"/>
  </w:num>
  <w:num w:numId="24">
    <w:abstractNumId w:val="12"/>
  </w:num>
  <w:num w:numId="25">
    <w:abstractNumId w:val="16"/>
  </w:num>
  <w:num w:numId="26">
    <w:abstractNumId w:val="22"/>
  </w:num>
  <w:num w:numId="27">
    <w:abstractNumId w:val="29"/>
  </w:num>
  <w:num w:numId="28">
    <w:abstractNumId w:val="17"/>
  </w:num>
  <w:num w:numId="29">
    <w:abstractNumId w:val="20"/>
  </w:num>
  <w:num w:numId="30">
    <w:abstractNumId w:val="43"/>
  </w:num>
  <w:num w:numId="31">
    <w:abstractNumId w:val="47"/>
  </w:num>
  <w:num w:numId="32">
    <w:abstractNumId w:val="26"/>
  </w:num>
  <w:num w:numId="33">
    <w:abstractNumId w:val="11"/>
  </w:num>
  <w:num w:numId="34">
    <w:abstractNumId w:val="34"/>
  </w:num>
  <w:num w:numId="35">
    <w:abstractNumId w:val="19"/>
  </w:num>
  <w:num w:numId="36">
    <w:abstractNumId w:val="23"/>
  </w:num>
  <w:num w:numId="37">
    <w:abstractNumId w:val="14"/>
  </w:num>
  <w:num w:numId="38">
    <w:abstractNumId w:val="33"/>
  </w:num>
  <w:num w:numId="39">
    <w:abstractNumId w:val="13"/>
  </w:num>
  <w:num w:numId="40">
    <w:abstractNumId w:val="46"/>
  </w:num>
  <w:num w:numId="41">
    <w:abstractNumId w:val="39"/>
  </w:num>
  <w:num w:numId="42">
    <w:abstractNumId w:val="30"/>
  </w:num>
  <w:num w:numId="43">
    <w:abstractNumId w:val="10"/>
  </w:num>
  <w:num w:numId="44">
    <w:abstractNumId w:val="44"/>
  </w:num>
  <w:num w:numId="45">
    <w:abstractNumId w:val="40"/>
  </w:num>
  <w:num w:numId="46">
    <w:abstractNumId w:val="24"/>
  </w:num>
  <w:num w:numId="47">
    <w:abstractNumId w:val="32"/>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5D80"/>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6E54"/>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3CFD"/>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5B56"/>
    <w:rsid w:val="003D66C8"/>
    <w:rsid w:val="003D682E"/>
    <w:rsid w:val="003D6E5B"/>
    <w:rsid w:val="003E0C85"/>
    <w:rsid w:val="003E69D4"/>
    <w:rsid w:val="003F148C"/>
    <w:rsid w:val="003F1817"/>
    <w:rsid w:val="0040043F"/>
    <w:rsid w:val="00401F7F"/>
    <w:rsid w:val="00405210"/>
    <w:rsid w:val="00415F9F"/>
    <w:rsid w:val="0042164B"/>
    <w:rsid w:val="00421D21"/>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968"/>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F77"/>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5AA5"/>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6CDB"/>
    <w:rsid w:val="008C33B3"/>
    <w:rsid w:val="008C3761"/>
    <w:rsid w:val="008C6A9C"/>
    <w:rsid w:val="008D292D"/>
    <w:rsid w:val="008D3F77"/>
    <w:rsid w:val="008E41DC"/>
    <w:rsid w:val="008E55A2"/>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47A"/>
    <w:rsid w:val="00BD7094"/>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6BF"/>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843"/>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63EE8"/>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9E85-2A9E-8C4E-B132-2948EBE8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34</TotalTime>
  <Pages>16</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2020-08-19T15:45:00Z</dcterms:created>
  <dcterms:modified xsi:type="dcterms:W3CDTF">2020-10-05T07:59:00Z</dcterms:modified>
</cp:coreProperties>
</file>