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9EA7D" w14:textId="77777777" w:rsidR="00A904DC" w:rsidRDefault="00A904DC" w:rsidP="00A904DC">
      <w:pPr>
        <w:pStyle w:val="CILSubtitle"/>
        <w:rPr>
          <w:b/>
          <w:bCs/>
          <w:i w:val="0"/>
          <w:caps/>
          <w:kern w:val="32"/>
          <w:sz w:val="28"/>
          <w:szCs w:val="32"/>
        </w:rPr>
      </w:pPr>
      <w:r w:rsidRPr="008B3931">
        <w:rPr>
          <w:b/>
          <w:bCs/>
          <w:i w:val="0"/>
          <w:caps/>
          <w:kern w:val="32"/>
          <w:sz w:val="28"/>
          <w:szCs w:val="32"/>
        </w:rPr>
        <w:t xml:space="preserve">2001 Draft Articles on Prevention of </w:t>
      </w:r>
      <w:r>
        <w:rPr>
          <w:b/>
          <w:bCs/>
          <w:i w:val="0"/>
          <w:caps/>
          <w:kern w:val="32"/>
          <w:sz w:val="28"/>
          <w:szCs w:val="32"/>
        </w:rPr>
        <w:br/>
      </w:r>
      <w:r w:rsidRPr="008B3931">
        <w:rPr>
          <w:b/>
          <w:bCs/>
          <w:i w:val="0"/>
          <w:caps/>
          <w:kern w:val="32"/>
          <w:sz w:val="28"/>
          <w:szCs w:val="32"/>
        </w:rPr>
        <w:t>Transboundary Harm from Hazardous Activities</w:t>
      </w:r>
    </w:p>
    <w:p w14:paraId="2665B659" w14:textId="503DABC3" w:rsidR="00A904DC" w:rsidRDefault="00A904DC" w:rsidP="00A904DC">
      <w:pPr>
        <w:pStyle w:val="CILSubtitle"/>
      </w:pPr>
      <w:r>
        <w:t xml:space="preserve">Adopted in Geneva, Switzerland on </w:t>
      </w:r>
      <w:r w:rsidR="00BB7F7E">
        <w:t>10</w:t>
      </w:r>
      <w:r>
        <w:t xml:space="preserve"> </w:t>
      </w:r>
      <w:r w:rsidR="00BB7F7E">
        <w:t>August</w:t>
      </w:r>
      <w:r>
        <w:t xml:space="preserve"> 2001</w:t>
      </w:r>
    </w:p>
    <w:p w14:paraId="27112E67" w14:textId="77777777" w:rsidR="00A904DC" w:rsidRDefault="00A904DC">
      <w:pPr>
        <w:pStyle w:val="TOCHeading"/>
      </w:pPr>
    </w:p>
    <w:p w14:paraId="592DF67D" w14:textId="4CB2430D" w:rsidR="00A904DC" w:rsidRPr="00A904DC" w:rsidRDefault="00A904DC" w:rsidP="00A904DC">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86426792" w:history="1">
        <w:r w:rsidRPr="006B7F05">
          <w:rPr>
            <w:rStyle w:val="Hyperlink"/>
            <w:noProof/>
          </w:rPr>
          <w:t>Preamble</w:t>
        </w:r>
        <w:r>
          <w:rPr>
            <w:noProof/>
            <w:webHidden/>
          </w:rPr>
          <w:tab/>
        </w:r>
        <w:r>
          <w:rPr>
            <w:noProof/>
            <w:webHidden/>
          </w:rPr>
          <w:fldChar w:fldCharType="begin"/>
        </w:r>
        <w:r>
          <w:rPr>
            <w:noProof/>
            <w:webHidden/>
          </w:rPr>
          <w:instrText xml:space="preserve"> PAGEREF _Toc486426792 \h </w:instrText>
        </w:r>
        <w:r>
          <w:rPr>
            <w:noProof/>
            <w:webHidden/>
          </w:rPr>
        </w:r>
        <w:r>
          <w:rPr>
            <w:noProof/>
            <w:webHidden/>
          </w:rPr>
          <w:fldChar w:fldCharType="separate"/>
        </w:r>
        <w:r w:rsidR="00C3354D">
          <w:rPr>
            <w:noProof/>
            <w:webHidden/>
          </w:rPr>
          <w:t>2</w:t>
        </w:r>
        <w:r>
          <w:rPr>
            <w:noProof/>
            <w:webHidden/>
          </w:rPr>
          <w:fldChar w:fldCharType="end"/>
        </w:r>
      </w:hyperlink>
    </w:p>
    <w:p w14:paraId="535607C7" w14:textId="238A3901" w:rsidR="00A904DC" w:rsidRPr="00A904DC" w:rsidRDefault="00AB4BB0" w:rsidP="00A904DC">
      <w:pPr>
        <w:pStyle w:val="TOC1"/>
        <w:tabs>
          <w:tab w:val="right" w:leader="dot" w:pos="9017"/>
        </w:tabs>
        <w:rPr>
          <w:rFonts w:ascii="Calibri" w:eastAsia="Times New Roman" w:hAnsi="Calibri"/>
          <w:caps w:val="0"/>
          <w:noProof/>
          <w:sz w:val="22"/>
          <w:szCs w:val="22"/>
          <w:lang w:val="en-SG" w:eastAsia="en-SG"/>
        </w:rPr>
      </w:pPr>
      <w:hyperlink w:anchor="_Toc486426793" w:history="1">
        <w:r w:rsidR="00A904DC" w:rsidRPr="006B7F05">
          <w:rPr>
            <w:rStyle w:val="Hyperlink"/>
            <w:noProof/>
          </w:rPr>
          <w:t>Article 1 Scope</w:t>
        </w:r>
        <w:r w:rsidR="00A904DC">
          <w:rPr>
            <w:noProof/>
            <w:webHidden/>
          </w:rPr>
          <w:tab/>
        </w:r>
        <w:r w:rsidR="00A904DC">
          <w:rPr>
            <w:noProof/>
            <w:webHidden/>
          </w:rPr>
          <w:fldChar w:fldCharType="begin"/>
        </w:r>
        <w:r w:rsidR="00A904DC">
          <w:rPr>
            <w:noProof/>
            <w:webHidden/>
          </w:rPr>
          <w:instrText xml:space="preserve"> PAGEREF _Toc486426793 \h </w:instrText>
        </w:r>
        <w:r w:rsidR="00A904DC">
          <w:rPr>
            <w:noProof/>
            <w:webHidden/>
          </w:rPr>
        </w:r>
        <w:r w:rsidR="00A904DC">
          <w:rPr>
            <w:noProof/>
            <w:webHidden/>
          </w:rPr>
          <w:fldChar w:fldCharType="separate"/>
        </w:r>
        <w:r w:rsidR="00C3354D">
          <w:rPr>
            <w:noProof/>
            <w:webHidden/>
          </w:rPr>
          <w:t>2</w:t>
        </w:r>
        <w:r w:rsidR="00A904DC">
          <w:rPr>
            <w:noProof/>
            <w:webHidden/>
          </w:rPr>
          <w:fldChar w:fldCharType="end"/>
        </w:r>
      </w:hyperlink>
    </w:p>
    <w:p w14:paraId="26754C7D" w14:textId="530E0FBD" w:rsidR="00A904DC" w:rsidRPr="00A904DC" w:rsidRDefault="00AB4BB0" w:rsidP="00A904DC">
      <w:pPr>
        <w:pStyle w:val="TOC1"/>
        <w:tabs>
          <w:tab w:val="right" w:leader="dot" w:pos="9017"/>
        </w:tabs>
        <w:rPr>
          <w:rFonts w:ascii="Calibri" w:eastAsia="Times New Roman" w:hAnsi="Calibri"/>
          <w:caps w:val="0"/>
          <w:noProof/>
          <w:sz w:val="22"/>
          <w:szCs w:val="22"/>
          <w:lang w:val="en-SG" w:eastAsia="en-SG"/>
        </w:rPr>
      </w:pPr>
      <w:hyperlink w:anchor="_Toc486426794" w:history="1">
        <w:r w:rsidR="00A904DC" w:rsidRPr="006B7F05">
          <w:rPr>
            <w:rStyle w:val="Hyperlink"/>
            <w:noProof/>
          </w:rPr>
          <w:t>Article 2 Use of terms</w:t>
        </w:r>
        <w:r w:rsidR="00A904DC">
          <w:rPr>
            <w:noProof/>
            <w:webHidden/>
          </w:rPr>
          <w:tab/>
        </w:r>
        <w:r w:rsidR="00A904DC">
          <w:rPr>
            <w:noProof/>
            <w:webHidden/>
          </w:rPr>
          <w:fldChar w:fldCharType="begin"/>
        </w:r>
        <w:r w:rsidR="00A904DC">
          <w:rPr>
            <w:noProof/>
            <w:webHidden/>
          </w:rPr>
          <w:instrText xml:space="preserve"> PAGEREF _Toc486426794 \h </w:instrText>
        </w:r>
        <w:r w:rsidR="00A904DC">
          <w:rPr>
            <w:noProof/>
            <w:webHidden/>
          </w:rPr>
        </w:r>
        <w:r w:rsidR="00A904DC">
          <w:rPr>
            <w:noProof/>
            <w:webHidden/>
          </w:rPr>
          <w:fldChar w:fldCharType="separate"/>
        </w:r>
        <w:r w:rsidR="00C3354D">
          <w:rPr>
            <w:noProof/>
            <w:webHidden/>
          </w:rPr>
          <w:t>2</w:t>
        </w:r>
        <w:r w:rsidR="00A904DC">
          <w:rPr>
            <w:noProof/>
            <w:webHidden/>
          </w:rPr>
          <w:fldChar w:fldCharType="end"/>
        </w:r>
      </w:hyperlink>
    </w:p>
    <w:p w14:paraId="7D04202A" w14:textId="6190D6F1" w:rsidR="00A904DC" w:rsidRPr="00A904DC" w:rsidRDefault="00AB4BB0" w:rsidP="00A904DC">
      <w:pPr>
        <w:pStyle w:val="TOC1"/>
        <w:tabs>
          <w:tab w:val="right" w:leader="dot" w:pos="9017"/>
        </w:tabs>
        <w:rPr>
          <w:rFonts w:ascii="Calibri" w:eastAsia="Times New Roman" w:hAnsi="Calibri"/>
          <w:caps w:val="0"/>
          <w:noProof/>
          <w:sz w:val="22"/>
          <w:szCs w:val="22"/>
          <w:lang w:val="en-SG" w:eastAsia="en-SG"/>
        </w:rPr>
      </w:pPr>
      <w:hyperlink w:anchor="_Toc486426795" w:history="1">
        <w:r w:rsidR="00A904DC" w:rsidRPr="006B7F05">
          <w:rPr>
            <w:rStyle w:val="Hyperlink"/>
            <w:noProof/>
          </w:rPr>
          <w:t>Article 3 Prevention</w:t>
        </w:r>
        <w:r w:rsidR="00A904DC">
          <w:rPr>
            <w:noProof/>
            <w:webHidden/>
          </w:rPr>
          <w:tab/>
        </w:r>
        <w:r w:rsidR="00A904DC">
          <w:rPr>
            <w:noProof/>
            <w:webHidden/>
          </w:rPr>
          <w:fldChar w:fldCharType="begin"/>
        </w:r>
        <w:r w:rsidR="00A904DC">
          <w:rPr>
            <w:noProof/>
            <w:webHidden/>
          </w:rPr>
          <w:instrText xml:space="preserve"> PAGEREF _Toc486426795 \h </w:instrText>
        </w:r>
        <w:r w:rsidR="00A904DC">
          <w:rPr>
            <w:noProof/>
            <w:webHidden/>
          </w:rPr>
        </w:r>
        <w:r w:rsidR="00A904DC">
          <w:rPr>
            <w:noProof/>
            <w:webHidden/>
          </w:rPr>
          <w:fldChar w:fldCharType="separate"/>
        </w:r>
        <w:r w:rsidR="00C3354D">
          <w:rPr>
            <w:noProof/>
            <w:webHidden/>
          </w:rPr>
          <w:t>3</w:t>
        </w:r>
        <w:r w:rsidR="00A904DC">
          <w:rPr>
            <w:noProof/>
            <w:webHidden/>
          </w:rPr>
          <w:fldChar w:fldCharType="end"/>
        </w:r>
      </w:hyperlink>
    </w:p>
    <w:p w14:paraId="2252D369" w14:textId="74B57E72" w:rsidR="00A904DC" w:rsidRPr="00A904DC" w:rsidRDefault="00AB4BB0" w:rsidP="00A904DC">
      <w:pPr>
        <w:pStyle w:val="TOC1"/>
        <w:tabs>
          <w:tab w:val="right" w:leader="dot" w:pos="9017"/>
        </w:tabs>
        <w:rPr>
          <w:rFonts w:ascii="Calibri" w:eastAsia="Times New Roman" w:hAnsi="Calibri"/>
          <w:caps w:val="0"/>
          <w:noProof/>
          <w:sz w:val="22"/>
          <w:szCs w:val="22"/>
          <w:lang w:val="en-SG" w:eastAsia="en-SG"/>
        </w:rPr>
      </w:pPr>
      <w:hyperlink w:anchor="_Toc486426796" w:history="1">
        <w:r w:rsidR="00A904DC" w:rsidRPr="006B7F05">
          <w:rPr>
            <w:rStyle w:val="Hyperlink"/>
            <w:noProof/>
          </w:rPr>
          <w:t>Article 4 Cooperation</w:t>
        </w:r>
        <w:r w:rsidR="00A904DC">
          <w:rPr>
            <w:noProof/>
            <w:webHidden/>
          </w:rPr>
          <w:tab/>
        </w:r>
        <w:r w:rsidR="00A904DC">
          <w:rPr>
            <w:noProof/>
            <w:webHidden/>
          </w:rPr>
          <w:fldChar w:fldCharType="begin"/>
        </w:r>
        <w:r w:rsidR="00A904DC">
          <w:rPr>
            <w:noProof/>
            <w:webHidden/>
          </w:rPr>
          <w:instrText xml:space="preserve"> PAGEREF _Toc486426796 \h </w:instrText>
        </w:r>
        <w:r w:rsidR="00A904DC">
          <w:rPr>
            <w:noProof/>
            <w:webHidden/>
          </w:rPr>
        </w:r>
        <w:r w:rsidR="00A904DC">
          <w:rPr>
            <w:noProof/>
            <w:webHidden/>
          </w:rPr>
          <w:fldChar w:fldCharType="separate"/>
        </w:r>
        <w:r w:rsidR="00C3354D">
          <w:rPr>
            <w:noProof/>
            <w:webHidden/>
          </w:rPr>
          <w:t>3</w:t>
        </w:r>
        <w:r w:rsidR="00A904DC">
          <w:rPr>
            <w:noProof/>
            <w:webHidden/>
          </w:rPr>
          <w:fldChar w:fldCharType="end"/>
        </w:r>
      </w:hyperlink>
    </w:p>
    <w:p w14:paraId="5E852933" w14:textId="0A550096" w:rsidR="00A904DC" w:rsidRPr="00A904DC" w:rsidRDefault="00AB4BB0" w:rsidP="00A904DC">
      <w:pPr>
        <w:pStyle w:val="TOC1"/>
        <w:tabs>
          <w:tab w:val="right" w:leader="dot" w:pos="9017"/>
        </w:tabs>
        <w:rPr>
          <w:rFonts w:ascii="Calibri" w:eastAsia="Times New Roman" w:hAnsi="Calibri"/>
          <w:caps w:val="0"/>
          <w:noProof/>
          <w:sz w:val="22"/>
          <w:szCs w:val="22"/>
          <w:lang w:val="en-SG" w:eastAsia="en-SG"/>
        </w:rPr>
      </w:pPr>
      <w:hyperlink w:anchor="_Toc486426797" w:history="1">
        <w:r w:rsidR="00A904DC" w:rsidRPr="006B7F05">
          <w:rPr>
            <w:rStyle w:val="Hyperlink"/>
            <w:noProof/>
          </w:rPr>
          <w:t>Article 5 Implementation</w:t>
        </w:r>
        <w:r w:rsidR="00A904DC">
          <w:rPr>
            <w:noProof/>
            <w:webHidden/>
          </w:rPr>
          <w:tab/>
        </w:r>
        <w:r w:rsidR="00A904DC">
          <w:rPr>
            <w:noProof/>
            <w:webHidden/>
          </w:rPr>
          <w:fldChar w:fldCharType="begin"/>
        </w:r>
        <w:r w:rsidR="00A904DC">
          <w:rPr>
            <w:noProof/>
            <w:webHidden/>
          </w:rPr>
          <w:instrText xml:space="preserve"> PAGEREF _Toc486426797 \h </w:instrText>
        </w:r>
        <w:r w:rsidR="00A904DC">
          <w:rPr>
            <w:noProof/>
            <w:webHidden/>
          </w:rPr>
        </w:r>
        <w:r w:rsidR="00A904DC">
          <w:rPr>
            <w:noProof/>
            <w:webHidden/>
          </w:rPr>
          <w:fldChar w:fldCharType="separate"/>
        </w:r>
        <w:r w:rsidR="00C3354D">
          <w:rPr>
            <w:noProof/>
            <w:webHidden/>
          </w:rPr>
          <w:t>3</w:t>
        </w:r>
        <w:r w:rsidR="00A904DC">
          <w:rPr>
            <w:noProof/>
            <w:webHidden/>
          </w:rPr>
          <w:fldChar w:fldCharType="end"/>
        </w:r>
      </w:hyperlink>
    </w:p>
    <w:p w14:paraId="358A835D" w14:textId="0DC6105F" w:rsidR="00A904DC" w:rsidRPr="00A904DC" w:rsidRDefault="00AB4BB0" w:rsidP="00A904DC">
      <w:pPr>
        <w:pStyle w:val="TOC1"/>
        <w:tabs>
          <w:tab w:val="right" w:leader="dot" w:pos="9017"/>
        </w:tabs>
        <w:rPr>
          <w:rFonts w:ascii="Calibri" w:eastAsia="Times New Roman" w:hAnsi="Calibri"/>
          <w:caps w:val="0"/>
          <w:noProof/>
          <w:sz w:val="22"/>
          <w:szCs w:val="22"/>
          <w:lang w:val="en-SG" w:eastAsia="en-SG"/>
        </w:rPr>
      </w:pPr>
      <w:hyperlink w:anchor="_Toc486426798" w:history="1">
        <w:r w:rsidR="00A904DC" w:rsidRPr="006B7F05">
          <w:rPr>
            <w:rStyle w:val="Hyperlink"/>
            <w:noProof/>
          </w:rPr>
          <w:t>Article 6 Authorization</w:t>
        </w:r>
        <w:r w:rsidR="00A904DC">
          <w:rPr>
            <w:noProof/>
            <w:webHidden/>
          </w:rPr>
          <w:tab/>
        </w:r>
        <w:r w:rsidR="00A904DC">
          <w:rPr>
            <w:noProof/>
            <w:webHidden/>
          </w:rPr>
          <w:fldChar w:fldCharType="begin"/>
        </w:r>
        <w:r w:rsidR="00A904DC">
          <w:rPr>
            <w:noProof/>
            <w:webHidden/>
          </w:rPr>
          <w:instrText xml:space="preserve"> PAGEREF _Toc486426798 \h </w:instrText>
        </w:r>
        <w:r w:rsidR="00A904DC">
          <w:rPr>
            <w:noProof/>
            <w:webHidden/>
          </w:rPr>
        </w:r>
        <w:r w:rsidR="00A904DC">
          <w:rPr>
            <w:noProof/>
            <w:webHidden/>
          </w:rPr>
          <w:fldChar w:fldCharType="separate"/>
        </w:r>
        <w:r w:rsidR="00C3354D">
          <w:rPr>
            <w:noProof/>
            <w:webHidden/>
          </w:rPr>
          <w:t>3</w:t>
        </w:r>
        <w:r w:rsidR="00A904DC">
          <w:rPr>
            <w:noProof/>
            <w:webHidden/>
          </w:rPr>
          <w:fldChar w:fldCharType="end"/>
        </w:r>
      </w:hyperlink>
    </w:p>
    <w:p w14:paraId="1DDE479A" w14:textId="6FB68856" w:rsidR="00A904DC" w:rsidRPr="00A904DC" w:rsidRDefault="00AB4BB0" w:rsidP="00A904DC">
      <w:pPr>
        <w:pStyle w:val="TOC1"/>
        <w:tabs>
          <w:tab w:val="right" w:leader="dot" w:pos="9017"/>
        </w:tabs>
        <w:rPr>
          <w:rFonts w:ascii="Calibri" w:eastAsia="Times New Roman" w:hAnsi="Calibri"/>
          <w:caps w:val="0"/>
          <w:noProof/>
          <w:sz w:val="22"/>
          <w:szCs w:val="22"/>
          <w:lang w:val="en-SG" w:eastAsia="en-SG"/>
        </w:rPr>
      </w:pPr>
      <w:hyperlink w:anchor="_Toc486426799" w:history="1">
        <w:r w:rsidR="00A904DC" w:rsidRPr="006B7F05">
          <w:rPr>
            <w:rStyle w:val="Hyperlink"/>
            <w:noProof/>
          </w:rPr>
          <w:t>Article 7 Assessment of risk</w:t>
        </w:r>
        <w:r w:rsidR="00A904DC">
          <w:rPr>
            <w:noProof/>
            <w:webHidden/>
          </w:rPr>
          <w:tab/>
        </w:r>
        <w:r w:rsidR="00A904DC">
          <w:rPr>
            <w:noProof/>
            <w:webHidden/>
          </w:rPr>
          <w:fldChar w:fldCharType="begin"/>
        </w:r>
        <w:r w:rsidR="00A904DC">
          <w:rPr>
            <w:noProof/>
            <w:webHidden/>
          </w:rPr>
          <w:instrText xml:space="preserve"> PAGEREF _Toc486426799 \h </w:instrText>
        </w:r>
        <w:r w:rsidR="00A904DC">
          <w:rPr>
            <w:noProof/>
            <w:webHidden/>
          </w:rPr>
        </w:r>
        <w:r w:rsidR="00A904DC">
          <w:rPr>
            <w:noProof/>
            <w:webHidden/>
          </w:rPr>
          <w:fldChar w:fldCharType="separate"/>
        </w:r>
        <w:r w:rsidR="00C3354D">
          <w:rPr>
            <w:noProof/>
            <w:webHidden/>
          </w:rPr>
          <w:t>4</w:t>
        </w:r>
        <w:r w:rsidR="00A904DC">
          <w:rPr>
            <w:noProof/>
            <w:webHidden/>
          </w:rPr>
          <w:fldChar w:fldCharType="end"/>
        </w:r>
      </w:hyperlink>
    </w:p>
    <w:p w14:paraId="736D96FD" w14:textId="39219D6C" w:rsidR="00A904DC" w:rsidRPr="00A904DC" w:rsidRDefault="00AB4BB0" w:rsidP="00A904DC">
      <w:pPr>
        <w:pStyle w:val="TOC1"/>
        <w:tabs>
          <w:tab w:val="right" w:leader="dot" w:pos="9017"/>
        </w:tabs>
        <w:rPr>
          <w:rFonts w:ascii="Calibri" w:eastAsia="Times New Roman" w:hAnsi="Calibri"/>
          <w:caps w:val="0"/>
          <w:noProof/>
          <w:sz w:val="22"/>
          <w:szCs w:val="22"/>
          <w:lang w:val="en-SG" w:eastAsia="en-SG"/>
        </w:rPr>
      </w:pPr>
      <w:hyperlink w:anchor="_Toc486426800" w:history="1">
        <w:r w:rsidR="00A904DC" w:rsidRPr="006B7F05">
          <w:rPr>
            <w:rStyle w:val="Hyperlink"/>
            <w:noProof/>
          </w:rPr>
          <w:t>Article 8 Notification and information</w:t>
        </w:r>
        <w:r w:rsidR="00A904DC">
          <w:rPr>
            <w:noProof/>
            <w:webHidden/>
          </w:rPr>
          <w:tab/>
        </w:r>
        <w:r w:rsidR="00A904DC">
          <w:rPr>
            <w:noProof/>
            <w:webHidden/>
          </w:rPr>
          <w:fldChar w:fldCharType="begin"/>
        </w:r>
        <w:r w:rsidR="00A904DC">
          <w:rPr>
            <w:noProof/>
            <w:webHidden/>
          </w:rPr>
          <w:instrText xml:space="preserve"> PAGEREF _Toc486426800 \h </w:instrText>
        </w:r>
        <w:r w:rsidR="00A904DC">
          <w:rPr>
            <w:noProof/>
            <w:webHidden/>
          </w:rPr>
        </w:r>
        <w:r w:rsidR="00A904DC">
          <w:rPr>
            <w:noProof/>
            <w:webHidden/>
          </w:rPr>
          <w:fldChar w:fldCharType="separate"/>
        </w:r>
        <w:r w:rsidR="00C3354D">
          <w:rPr>
            <w:noProof/>
            <w:webHidden/>
          </w:rPr>
          <w:t>4</w:t>
        </w:r>
        <w:r w:rsidR="00A904DC">
          <w:rPr>
            <w:noProof/>
            <w:webHidden/>
          </w:rPr>
          <w:fldChar w:fldCharType="end"/>
        </w:r>
      </w:hyperlink>
    </w:p>
    <w:p w14:paraId="4E466304" w14:textId="10FD6E92" w:rsidR="00A904DC" w:rsidRPr="00A904DC" w:rsidRDefault="00AB4BB0" w:rsidP="00A904DC">
      <w:pPr>
        <w:pStyle w:val="TOC1"/>
        <w:tabs>
          <w:tab w:val="right" w:leader="dot" w:pos="9017"/>
        </w:tabs>
        <w:rPr>
          <w:rFonts w:ascii="Calibri" w:eastAsia="Times New Roman" w:hAnsi="Calibri"/>
          <w:caps w:val="0"/>
          <w:noProof/>
          <w:sz w:val="22"/>
          <w:szCs w:val="22"/>
          <w:lang w:val="en-SG" w:eastAsia="en-SG"/>
        </w:rPr>
      </w:pPr>
      <w:hyperlink w:anchor="_Toc486426801" w:history="1">
        <w:r w:rsidR="00A904DC" w:rsidRPr="006B7F05">
          <w:rPr>
            <w:rStyle w:val="Hyperlink"/>
            <w:noProof/>
          </w:rPr>
          <w:t>Article 9 Consultations on preventive measures</w:t>
        </w:r>
        <w:r w:rsidR="00A904DC">
          <w:rPr>
            <w:noProof/>
            <w:webHidden/>
          </w:rPr>
          <w:tab/>
        </w:r>
        <w:r w:rsidR="00A904DC">
          <w:rPr>
            <w:noProof/>
            <w:webHidden/>
          </w:rPr>
          <w:fldChar w:fldCharType="begin"/>
        </w:r>
        <w:r w:rsidR="00A904DC">
          <w:rPr>
            <w:noProof/>
            <w:webHidden/>
          </w:rPr>
          <w:instrText xml:space="preserve"> PAGEREF _Toc486426801 \h </w:instrText>
        </w:r>
        <w:r w:rsidR="00A904DC">
          <w:rPr>
            <w:noProof/>
            <w:webHidden/>
          </w:rPr>
        </w:r>
        <w:r w:rsidR="00A904DC">
          <w:rPr>
            <w:noProof/>
            <w:webHidden/>
          </w:rPr>
          <w:fldChar w:fldCharType="separate"/>
        </w:r>
        <w:r w:rsidR="00C3354D">
          <w:rPr>
            <w:noProof/>
            <w:webHidden/>
          </w:rPr>
          <w:t>4</w:t>
        </w:r>
        <w:r w:rsidR="00A904DC">
          <w:rPr>
            <w:noProof/>
            <w:webHidden/>
          </w:rPr>
          <w:fldChar w:fldCharType="end"/>
        </w:r>
      </w:hyperlink>
    </w:p>
    <w:p w14:paraId="7D517B13" w14:textId="1F2F7538" w:rsidR="00A904DC" w:rsidRPr="00A904DC" w:rsidRDefault="00AB4BB0" w:rsidP="00A904DC">
      <w:pPr>
        <w:pStyle w:val="TOC1"/>
        <w:tabs>
          <w:tab w:val="right" w:leader="dot" w:pos="9017"/>
        </w:tabs>
        <w:rPr>
          <w:rFonts w:ascii="Calibri" w:eastAsia="Times New Roman" w:hAnsi="Calibri"/>
          <w:caps w:val="0"/>
          <w:noProof/>
          <w:sz w:val="22"/>
          <w:szCs w:val="22"/>
          <w:lang w:val="en-SG" w:eastAsia="en-SG"/>
        </w:rPr>
      </w:pPr>
      <w:hyperlink w:anchor="_Toc486426802" w:history="1">
        <w:r w:rsidR="00A904DC" w:rsidRPr="006B7F05">
          <w:rPr>
            <w:rStyle w:val="Hyperlink"/>
            <w:noProof/>
          </w:rPr>
          <w:t>Article 10 Factors involved in an equitable balance of interests</w:t>
        </w:r>
        <w:r w:rsidR="00A904DC">
          <w:rPr>
            <w:noProof/>
            <w:webHidden/>
          </w:rPr>
          <w:tab/>
        </w:r>
        <w:r w:rsidR="00A904DC">
          <w:rPr>
            <w:noProof/>
            <w:webHidden/>
          </w:rPr>
          <w:fldChar w:fldCharType="begin"/>
        </w:r>
        <w:r w:rsidR="00A904DC">
          <w:rPr>
            <w:noProof/>
            <w:webHidden/>
          </w:rPr>
          <w:instrText xml:space="preserve"> PAGEREF _Toc486426802 \h </w:instrText>
        </w:r>
        <w:r w:rsidR="00A904DC">
          <w:rPr>
            <w:noProof/>
            <w:webHidden/>
          </w:rPr>
        </w:r>
        <w:r w:rsidR="00A904DC">
          <w:rPr>
            <w:noProof/>
            <w:webHidden/>
          </w:rPr>
          <w:fldChar w:fldCharType="separate"/>
        </w:r>
        <w:r w:rsidR="00C3354D">
          <w:rPr>
            <w:noProof/>
            <w:webHidden/>
          </w:rPr>
          <w:t>4</w:t>
        </w:r>
        <w:r w:rsidR="00A904DC">
          <w:rPr>
            <w:noProof/>
            <w:webHidden/>
          </w:rPr>
          <w:fldChar w:fldCharType="end"/>
        </w:r>
      </w:hyperlink>
    </w:p>
    <w:p w14:paraId="39EB73F3" w14:textId="645F1C66" w:rsidR="00A904DC" w:rsidRPr="00A904DC" w:rsidRDefault="00AB4BB0" w:rsidP="00A904DC">
      <w:pPr>
        <w:pStyle w:val="TOC1"/>
        <w:tabs>
          <w:tab w:val="right" w:leader="dot" w:pos="9017"/>
        </w:tabs>
        <w:rPr>
          <w:rFonts w:ascii="Calibri" w:eastAsia="Times New Roman" w:hAnsi="Calibri"/>
          <w:caps w:val="0"/>
          <w:noProof/>
          <w:sz w:val="22"/>
          <w:szCs w:val="22"/>
          <w:lang w:val="en-SG" w:eastAsia="en-SG"/>
        </w:rPr>
      </w:pPr>
      <w:hyperlink w:anchor="_Toc486426803" w:history="1">
        <w:r w:rsidR="00A904DC" w:rsidRPr="006B7F05">
          <w:rPr>
            <w:rStyle w:val="Hyperlink"/>
            <w:noProof/>
          </w:rPr>
          <w:t>Article 11 Procedures in the absence of notification</w:t>
        </w:r>
        <w:r w:rsidR="00A904DC">
          <w:rPr>
            <w:noProof/>
            <w:webHidden/>
          </w:rPr>
          <w:tab/>
        </w:r>
        <w:r w:rsidR="00A904DC">
          <w:rPr>
            <w:noProof/>
            <w:webHidden/>
          </w:rPr>
          <w:fldChar w:fldCharType="begin"/>
        </w:r>
        <w:r w:rsidR="00A904DC">
          <w:rPr>
            <w:noProof/>
            <w:webHidden/>
          </w:rPr>
          <w:instrText xml:space="preserve"> PAGEREF _Toc486426803 \h </w:instrText>
        </w:r>
        <w:r w:rsidR="00A904DC">
          <w:rPr>
            <w:noProof/>
            <w:webHidden/>
          </w:rPr>
        </w:r>
        <w:r w:rsidR="00A904DC">
          <w:rPr>
            <w:noProof/>
            <w:webHidden/>
          </w:rPr>
          <w:fldChar w:fldCharType="separate"/>
        </w:r>
        <w:r w:rsidR="00C3354D">
          <w:rPr>
            <w:noProof/>
            <w:webHidden/>
          </w:rPr>
          <w:t>5</w:t>
        </w:r>
        <w:r w:rsidR="00A904DC">
          <w:rPr>
            <w:noProof/>
            <w:webHidden/>
          </w:rPr>
          <w:fldChar w:fldCharType="end"/>
        </w:r>
      </w:hyperlink>
    </w:p>
    <w:p w14:paraId="18CC086C" w14:textId="0DEEA04B" w:rsidR="00A904DC" w:rsidRPr="00A904DC" w:rsidRDefault="00AB4BB0" w:rsidP="00A904DC">
      <w:pPr>
        <w:pStyle w:val="TOC1"/>
        <w:tabs>
          <w:tab w:val="right" w:leader="dot" w:pos="9017"/>
        </w:tabs>
        <w:rPr>
          <w:rFonts w:ascii="Calibri" w:eastAsia="Times New Roman" w:hAnsi="Calibri"/>
          <w:caps w:val="0"/>
          <w:noProof/>
          <w:sz w:val="22"/>
          <w:szCs w:val="22"/>
          <w:lang w:val="en-SG" w:eastAsia="en-SG"/>
        </w:rPr>
      </w:pPr>
      <w:hyperlink w:anchor="_Toc486426804" w:history="1">
        <w:r w:rsidR="00A904DC" w:rsidRPr="006B7F05">
          <w:rPr>
            <w:rStyle w:val="Hyperlink"/>
            <w:noProof/>
          </w:rPr>
          <w:t>Article 12 Exchange of information</w:t>
        </w:r>
        <w:r w:rsidR="00A904DC">
          <w:rPr>
            <w:noProof/>
            <w:webHidden/>
          </w:rPr>
          <w:tab/>
        </w:r>
        <w:r w:rsidR="00A904DC">
          <w:rPr>
            <w:noProof/>
            <w:webHidden/>
          </w:rPr>
          <w:fldChar w:fldCharType="begin"/>
        </w:r>
        <w:r w:rsidR="00A904DC">
          <w:rPr>
            <w:noProof/>
            <w:webHidden/>
          </w:rPr>
          <w:instrText xml:space="preserve"> PAGEREF _Toc486426804 \h </w:instrText>
        </w:r>
        <w:r w:rsidR="00A904DC">
          <w:rPr>
            <w:noProof/>
            <w:webHidden/>
          </w:rPr>
        </w:r>
        <w:r w:rsidR="00A904DC">
          <w:rPr>
            <w:noProof/>
            <w:webHidden/>
          </w:rPr>
          <w:fldChar w:fldCharType="separate"/>
        </w:r>
        <w:r w:rsidR="00C3354D">
          <w:rPr>
            <w:noProof/>
            <w:webHidden/>
          </w:rPr>
          <w:t>5</w:t>
        </w:r>
        <w:r w:rsidR="00A904DC">
          <w:rPr>
            <w:noProof/>
            <w:webHidden/>
          </w:rPr>
          <w:fldChar w:fldCharType="end"/>
        </w:r>
      </w:hyperlink>
    </w:p>
    <w:p w14:paraId="666BD439" w14:textId="0049349A" w:rsidR="00A904DC" w:rsidRPr="00A904DC" w:rsidRDefault="00AB4BB0" w:rsidP="00A904DC">
      <w:pPr>
        <w:pStyle w:val="TOC1"/>
        <w:tabs>
          <w:tab w:val="right" w:leader="dot" w:pos="9017"/>
        </w:tabs>
        <w:rPr>
          <w:rFonts w:ascii="Calibri" w:eastAsia="Times New Roman" w:hAnsi="Calibri"/>
          <w:caps w:val="0"/>
          <w:noProof/>
          <w:sz w:val="22"/>
          <w:szCs w:val="22"/>
          <w:lang w:val="en-SG" w:eastAsia="en-SG"/>
        </w:rPr>
      </w:pPr>
      <w:hyperlink w:anchor="_Toc486426805" w:history="1">
        <w:r w:rsidR="00A904DC" w:rsidRPr="006B7F05">
          <w:rPr>
            <w:rStyle w:val="Hyperlink"/>
            <w:noProof/>
          </w:rPr>
          <w:t>Article 13 Information to the public</w:t>
        </w:r>
        <w:r w:rsidR="00A904DC">
          <w:rPr>
            <w:noProof/>
            <w:webHidden/>
          </w:rPr>
          <w:tab/>
        </w:r>
        <w:r w:rsidR="00A904DC">
          <w:rPr>
            <w:noProof/>
            <w:webHidden/>
          </w:rPr>
          <w:fldChar w:fldCharType="begin"/>
        </w:r>
        <w:r w:rsidR="00A904DC">
          <w:rPr>
            <w:noProof/>
            <w:webHidden/>
          </w:rPr>
          <w:instrText xml:space="preserve"> PAGEREF _Toc486426805 \h </w:instrText>
        </w:r>
        <w:r w:rsidR="00A904DC">
          <w:rPr>
            <w:noProof/>
            <w:webHidden/>
          </w:rPr>
        </w:r>
        <w:r w:rsidR="00A904DC">
          <w:rPr>
            <w:noProof/>
            <w:webHidden/>
          </w:rPr>
          <w:fldChar w:fldCharType="separate"/>
        </w:r>
        <w:r w:rsidR="00C3354D">
          <w:rPr>
            <w:noProof/>
            <w:webHidden/>
          </w:rPr>
          <w:t>5</w:t>
        </w:r>
        <w:r w:rsidR="00A904DC">
          <w:rPr>
            <w:noProof/>
            <w:webHidden/>
          </w:rPr>
          <w:fldChar w:fldCharType="end"/>
        </w:r>
      </w:hyperlink>
    </w:p>
    <w:p w14:paraId="51B9895D" w14:textId="589DD33C" w:rsidR="00A904DC" w:rsidRPr="00A904DC" w:rsidRDefault="00AB4BB0" w:rsidP="00A904DC">
      <w:pPr>
        <w:pStyle w:val="TOC1"/>
        <w:tabs>
          <w:tab w:val="right" w:leader="dot" w:pos="9017"/>
        </w:tabs>
        <w:rPr>
          <w:rFonts w:ascii="Calibri" w:eastAsia="Times New Roman" w:hAnsi="Calibri"/>
          <w:caps w:val="0"/>
          <w:noProof/>
          <w:sz w:val="22"/>
          <w:szCs w:val="22"/>
          <w:lang w:val="en-SG" w:eastAsia="en-SG"/>
        </w:rPr>
      </w:pPr>
      <w:hyperlink w:anchor="_Toc486426806" w:history="1">
        <w:r w:rsidR="00A904DC" w:rsidRPr="006B7F05">
          <w:rPr>
            <w:rStyle w:val="Hyperlink"/>
            <w:noProof/>
          </w:rPr>
          <w:t>Article 14 National security and industrial secrets</w:t>
        </w:r>
        <w:r w:rsidR="00A904DC">
          <w:rPr>
            <w:noProof/>
            <w:webHidden/>
          </w:rPr>
          <w:tab/>
        </w:r>
        <w:r w:rsidR="00A904DC">
          <w:rPr>
            <w:noProof/>
            <w:webHidden/>
          </w:rPr>
          <w:fldChar w:fldCharType="begin"/>
        </w:r>
        <w:r w:rsidR="00A904DC">
          <w:rPr>
            <w:noProof/>
            <w:webHidden/>
          </w:rPr>
          <w:instrText xml:space="preserve"> PAGEREF _Toc486426806 \h </w:instrText>
        </w:r>
        <w:r w:rsidR="00A904DC">
          <w:rPr>
            <w:noProof/>
            <w:webHidden/>
          </w:rPr>
        </w:r>
        <w:r w:rsidR="00A904DC">
          <w:rPr>
            <w:noProof/>
            <w:webHidden/>
          </w:rPr>
          <w:fldChar w:fldCharType="separate"/>
        </w:r>
        <w:r w:rsidR="00C3354D">
          <w:rPr>
            <w:noProof/>
            <w:webHidden/>
          </w:rPr>
          <w:t>6</w:t>
        </w:r>
        <w:r w:rsidR="00A904DC">
          <w:rPr>
            <w:noProof/>
            <w:webHidden/>
          </w:rPr>
          <w:fldChar w:fldCharType="end"/>
        </w:r>
      </w:hyperlink>
    </w:p>
    <w:p w14:paraId="55D79BE3" w14:textId="34BDD7CD" w:rsidR="00A904DC" w:rsidRPr="00A904DC" w:rsidRDefault="00AB4BB0" w:rsidP="00A904DC">
      <w:pPr>
        <w:pStyle w:val="TOC1"/>
        <w:tabs>
          <w:tab w:val="right" w:leader="dot" w:pos="9017"/>
        </w:tabs>
        <w:rPr>
          <w:rFonts w:ascii="Calibri" w:eastAsia="Times New Roman" w:hAnsi="Calibri"/>
          <w:caps w:val="0"/>
          <w:noProof/>
          <w:sz w:val="22"/>
          <w:szCs w:val="22"/>
          <w:lang w:val="en-SG" w:eastAsia="en-SG"/>
        </w:rPr>
      </w:pPr>
      <w:hyperlink w:anchor="_Toc486426807" w:history="1">
        <w:r w:rsidR="00A904DC" w:rsidRPr="006B7F05">
          <w:rPr>
            <w:rStyle w:val="Hyperlink"/>
            <w:noProof/>
          </w:rPr>
          <w:t>Article 15 Non-discrimination</w:t>
        </w:r>
        <w:r w:rsidR="00A904DC">
          <w:rPr>
            <w:noProof/>
            <w:webHidden/>
          </w:rPr>
          <w:tab/>
        </w:r>
        <w:r w:rsidR="00A904DC">
          <w:rPr>
            <w:noProof/>
            <w:webHidden/>
          </w:rPr>
          <w:fldChar w:fldCharType="begin"/>
        </w:r>
        <w:r w:rsidR="00A904DC">
          <w:rPr>
            <w:noProof/>
            <w:webHidden/>
          </w:rPr>
          <w:instrText xml:space="preserve"> PAGEREF _Toc486426807 \h </w:instrText>
        </w:r>
        <w:r w:rsidR="00A904DC">
          <w:rPr>
            <w:noProof/>
            <w:webHidden/>
          </w:rPr>
        </w:r>
        <w:r w:rsidR="00A904DC">
          <w:rPr>
            <w:noProof/>
            <w:webHidden/>
          </w:rPr>
          <w:fldChar w:fldCharType="separate"/>
        </w:r>
        <w:r w:rsidR="00C3354D">
          <w:rPr>
            <w:noProof/>
            <w:webHidden/>
          </w:rPr>
          <w:t>6</w:t>
        </w:r>
        <w:r w:rsidR="00A904DC">
          <w:rPr>
            <w:noProof/>
            <w:webHidden/>
          </w:rPr>
          <w:fldChar w:fldCharType="end"/>
        </w:r>
      </w:hyperlink>
    </w:p>
    <w:p w14:paraId="4B842AE8" w14:textId="6BDD422C" w:rsidR="00A904DC" w:rsidRPr="00A904DC" w:rsidRDefault="00AB4BB0" w:rsidP="00A904DC">
      <w:pPr>
        <w:pStyle w:val="TOC1"/>
        <w:tabs>
          <w:tab w:val="right" w:leader="dot" w:pos="9017"/>
        </w:tabs>
        <w:rPr>
          <w:rFonts w:ascii="Calibri" w:eastAsia="Times New Roman" w:hAnsi="Calibri"/>
          <w:caps w:val="0"/>
          <w:noProof/>
          <w:sz w:val="22"/>
          <w:szCs w:val="22"/>
          <w:lang w:val="en-SG" w:eastAsia="en-SG"/>
        </w:rPr>
      </w:pPr>
      <w:hyperlink w:anchor="_Toc486426808" w:history="1">
        <w:r w:rsidR="00A904DC" w:rsidRPr="006B7F05">
          <w:rPr>
            <w:rStyle w:val="Hyperlink"/>
            <w:noProof/>
          </w:rPr>
          <w:t>Article 16 Emergency preparedness</w:t>
        </w:r>
        <w:r w:rsidR="00A904DC">
          <w:rPr>
            <w:noProof/>
            <w:webHidden/>
          </w:rPr>
          <w:tab/>
        </w:r>
        <w:r w:rsidR="00A904DC">
          <w:rPr>
            <w:noProof/>
            <w:webHidden/>
          </w:rPr>
          <w:fldChar w:fldCharType="begin"/>
        </w:r>
        <w:r w:rsidR="00A904DC">
          <w:rPr>
            <w:noProof/>
            <w:webHidden/>
          </w:rPr>
          <w:instrText xml:space="preserve"> PAGEREF _Toc486426808 \h </w:instrText>
        </w:r>
        <w:r w:rsidR="00A904DC">
          <w:rPr>
            <w:noProof/>
            <w:webHidden/>
          </w:rPr>
        </w:r>
        <w:r w:rsidR="00A904DC">
          <w:rPr>
            <w:noProof/>
            <w:webHidden/>
          </w:rPr>
          <w:fldChar w:fldCharType="separate"/>
        </w:r>
        <w:r w:rsidR="00C3354D">
          <w:rPr>
            <w:noProof/>
            <w:webHidden/>
          </w:rPr>
          <w:t>6</w:t>
        </w:r>
        <w:r w:rsidR="00A904DC">
          <w:rPr>
            <w:noProof/>
            <w:webHidden/>
          </w:rPr>
          <w:fldChar w:fldCharType="end"/>
        </w:r>
      </w:hyperlink>
    </w:p>
    <w:p w14:paraId="286EDF26" w14:textId="1E9776D4" w:rsidR="00A904DC" w:rsidRPr="00A904DC" w:rsidRDefault="00AB4BB0" w:rsidP="00A904DC">
      <w:pPr>
        <w:pStyle w:val="TOC1"/>
        <w:tabs>
          <w:tab w:val="right" w:leader="dot" w:pos="9017"/>
        </w:tabs>
        <w:rPr>
          <w:rFonts w:ascii="Calibri" w:eastAsia="Times New Roman" w:hAnsi="Calibri"/>
          <w:caps w:val="0"/>
          <w:noProof/>
          <w:sz w:val="22"/>
          <w:szCs w:val="22"/>
          <w:lang w:val="en-SG" w:eastAsia="en-SG"/>
        </w:rPr>
      </w:pPr>
      <w:hyperlink w:anchor="_Toc486426809" w:history="1">
        <w:r w:rsidR="00A904DC" w:rsidRPr="006B7F05">
          <w:rPr>
            <w:rStyle w:val="Hyperlink"/>
            <w:noProof/>
          </w:rPr>
          <w:t>Article 17 Notification of an emergency</w:t>
        </w:r>
        <w:r w:rsidR="00A904DC">
          <w:rPr>
            <w:noProof/>
            <w:webHidden/>
          </w:rPr>
          <w:tab/>
        </w:r>
        <w:r w:rsidR="00A904DC">
          <w:rPr>
            <w:noProof/>
            <w:webHidden/>
          </w:rPr>
          <w:fldChar w:fldCharType="begin"/>
        </w:r>
        <w:r w:rsidR="00A904DC">
          <w:rPr>
            <w:noProof/>
            <w:webHidden/>
          </w:rPr>
          <w:instrText xml:space="preserve"> PAGEREF _Toc486426809 \h </w:instrText>
        </w:r>
        <w:r w:rsidR="00A904DC">
          <w:rPr>
            <w:noProof/>
            <w:webHidden/>
          </w:rPr>
        </w:r>
        <w:r w:rsidR="00A904DC">
          <w:rPr>
            <w:noProof/>
            <w:webHidden/>
          </w:rPr>
          <w:fldChar w:fldCharType="separate"/>
        </w:r>
        <w:r w:rsidR="00C3354D">
          <w:rPr>
            <w:noProof/>
            <w:webHidden/>
          </w:rPr>
          <w:t>6</w:t>
        </w:r>
        <w:r w:rsidR="00A904DC">
          <w:rPr>
            <w:noProof/>
            <w:webHidden/>
          </w:rPr>
          <w:fldChar w:fldCharType="end"/>
        </w:r>
      </w:hyperlink>
    </w:p>
    <w:p w14:paraId="4073789D" w14:textId="797F1F22" w:rsidR="00A904DC" w:rsidRPr="00A904DC" w:rsidRDefault="00AB4BB0" w:rsidP="00A904DC">
      <w:pPr>
        <w:pStyle w:val="TOC1"/>
        <w:tabs>
          <w:tab w:val="right" w:leader="dot" w:pos="9017"/>
        </w:tabs>
        <w:rPr>
          <w:rFonts w:ascii="Calibri" w:eastAsia="Times New Roman" w:hAnsi="Calibri"/>
          <w:caps w:val="0"/>
          <w:noProof/>
          <w:sz w:val="22"/>
          <w:szCs w:val="22"/>
          <w:lang w:val="en-SG" w:eastAsia="en-SG"/>
        </w:rPr>
      </w:pPr>
      <w:hyperlink w:anchor="_Toc486426810" w:history="1">
        <w:r w:rsidR="00A904DC" w:rsidRPr="006B7F05">
          <w:rPr>
            <w:rStyle w:val="Hyperlink"/>
            <w:noProof/>
          </w:rPr>
          <w:t>Article 18 Relationship to other rules of international law</w:t>
        </w:r>
        <w:r w:rsidR="00A904DC">
          <w:rPr>
            <w:noProof/>
            <w:webHidden/>
          </w:rPr>
          <w:tab/>
        </w:r>
        <w:r w:rsidR="00A904DC">
          <w:rPr>
            <w:noProof/>
            <w:webHidden/>
          </w:rPr>
          <w:fldChar w:fldCharType="begin"/>
        </w:r>
        <w:r w:rsidR="00A904DC">
          <w:rPr>
            <w:noProof/>
            <w:webHidden/>
          </w:rPr>
          <w:instrText xml:space="preserve"> PAGEREF _Toc486426810 \h </w:instrText>
        </w:r>
        <w:r w:rsidR="00A904DC">
          <w:rPr>
            <w:noProof/>
            <w:webHidden/>
          </w:rPr>
        </w:r>
        <w:r w:rsidR="00A904DC">
          <w:rPr>
            <w:noProof/>
            <w:webHidden/>
          </w:rPr>
          <w:fldChar w:fldCharType="separate"/>
        </w:r>
        <w:r w:rsidR="00C3354D">
          <w:rPr>
            <w:noProof/>
            <w:webHidden/>
          </w:rPr>
          <w:t>6</w:t>
        </w:r>
        <w:r w:rsidR="00A904DC">
          <w:rPr>
            <w:noProof/>
            <w:webHidden/>
          </w:rPr>
          <w:fldChar w:fldCharType="end"/>
        </w:r>
      </w:hyperlink>
    </w:p>
    <w:p w14:paraId="28E707A3" w14:textId="011F3B17" w:rsidR="00A904DC" w:rsidRPr="00A904DC" w:rsidRDefault="00AB4BB0" w:rsidP="00A904DC">
      <w:pPr>
        <w:pStyle w:val="TOC1"/>
        <w:tabs>
          <w:tab w:val="right" w:leader="dot" w:pos="9017"/>
        </w:tabs>
        <w:rPr>
          <w:rFonts w:ascii="Calibri" w:eastAsia="Times New Roman" w:hAnsi="Calibri"/>
          <w:caps w:val="0"/>
          <w:noProof/>
          <w:sz w:val="22"/>
          <w:szCs w:val="22"/>
          <w:lang w:val="en-SG" w:eastAsia="en-SG"/>
        </w:rPr>
      </w:pPr>
      <w:hyperlink w:anchor="_Toc486426811" w:history="1">
        <w:r w:rsidR="00A904DC" w:rsidRPr="006B7F05">
          <w:rPr>
            <w:rStyle w:val="Hyperlink"/>
            <w:noProof/>
          </w:rPr>
          <w:t>Article 19 Settlement of disputes</w:t>
        </w:r>
        <w:r w:rsidR="00A904DC">
          <w:rPr>
            <w:noProof/>
            <w:webHidden/>
          </w:rPr>
          <w:tab/>
        </w:r>
        <w:r w:rsidR="00A904DC">
          <w:rPr>
            <w:noProof/>
            <w:webHidden/>
          </w:rPr>
          <w:fldChar w:fldCharType="begin"/>
        </w:r>
        <w:r w:rsidR="00A904DC">
          <w:rPr>
            <w:noProof/>
            <w:webHidden/>
          </w:rPr>
          <w:instrText xml:space="preserve"> PAGEREF _Toc486426811 \h </w:instrText>
        </w:r>
        <w:r w:rsidR="00A904DC">
          <w:rPr>
            <w:noProof/>
            <w:webHidden/>
          </w:rPr>
        </w:r>
        <w:r w:rsidR="00A904DC">
          <w:rPr>
            <w:noProof/>
            <w:webHidden/>
          </w:rPr>
          <w:fldChar w:fldCharType="separate"/>
        </w:r>
        <w:r w:rsidR="00C3354D">
          <w:rPr>
            <w:noProof/>
            <w:webHidden/>
          </w:rPr>
          <w:t>6</w:t>
        </w:r>
        <w:r w:rsidR="00A904DC">
          <w:rPr>
            <w:noProof/>
            <w:webHidden/>
          </w:rPr>
          <w:fldChar w:fldCharType="end"/>
        </w:r>
      </w:hyperlink>
    </w:p>
    <w:p w14:paraId="421CC192" w14:textId="77777777" w:rsidR="00A904DC" w:rsidRDefault="00A904DC" w:rsidP="00A904DC">
      <w:pPr>
        <w:spacing w:before="60" w:after="60"/>
      </w:pPr>
      <w:r>
        <w:rPr>
          <w:b/>
          <w:bCs/>
          <w:noProof/>
        </w:rPr>
        <w:fldChar w:fldCharType="end"/>
      </w:r>
    </w:p>
    <w:p w14:paraId="643AD135" w14:textId="77777777" w:rsidR="006727AF" w:rsidRDefault="00A904DC" w:rsidP="00961E39">
      <w:pPr>
        <w:pStyle w:val="CILSubtitle"/>
        <w:rPr>
          <w:b/>
          <w:bCs/>
          <w:i w:val="0"/>
          <w:caps/>
          <w:kern w:val="32"/>
          <w:sz w:val="28"/>
          <w:szCs w:val="32"/>
        </w:rPr>
      </w:pPr>
      <w:r>
        <w:rPr>
          <w:b/>
          <w:bCs/>
          <w:i w:val="0"/>
          <w:caps/>
          <w:kern w:val="32"/>
          <w:sz w:val="28"/>
          <w:szCs w:val="32"/>
        </w:rPr>
        <w:br w:type="page"/>
      </w:r>
      <w:r w:rsidR="008B3931" w:rsidRPr="008B3931">
        <w:rPr>
          <w:b/>
          <w:bCs/>
          <w:i w:val="0"/>
          <w:caps/>
          <w:kern w:val="32"/>
          <w:sz w:val="28"/>
          <w:szCs w:val="32"/>
        </w:rPr>
        <w:lastRenderedPageBreak/>
        <w:t xml:space="preserve">2001 Draft Articles on Prevention of </w:t>
      </w:r>
      <w:r w:rsidR="008B3931">
        <w:rPr>
          <w:b/>
          <w:bCs/>
          <w:i w:val="0"/>
          <w:caps/>
          <w:kern w:val="32"/>
          <w:sz w:val="28"/>
          <w:szCs w:val="32"/>
        </w:rPr>
        <w:br/>
      </w:r>
      <w:r w:rsidR="008B3931" w:rsidRPr="008B3931">
        <w:rPr>
          <w:b/>
          <w:bCs/>
          <w:i w:val="0"/>
          <w:caps/>
          <w:kern w:val="32"/>
          <w:sz w:val="28"/>
          <w:szCs w:val="32"/>
        </w:rPr>
        <w:t>Transboundary Harm from Hazardous Activities</w:t>
      </w:r>
    </w:p>
    <w:p w14:paraId="3F78CFEC" w14:textId="77777777" w:rsidR="00A904DC" w:rsidRDefault="00CC7435" w:rsidP="00961E39">
      <w:pPr>
        <w:pStyle w:val="CILSubtitle"/>
      </w:pPr>
      <w:r>
        <w:t xml:space="preserve">Adopted in </w:t>
      </w:r>
      <w:r w:rsidR="008B3931">
        <w:t xml:space="preserve">Geneva, Switzerland </w:t>
      </w:r>
      <w:r w:rsidR="006727AF">
        <w:t xml:space="preserve">on </w:t>
      </w:r>
      <w:r w:rsidR="008B3931">
        <w:t>11 May 2001</w:t>
      </w:r>
    </w:p>
    <w:p w14:paraId="18CD5945" w14:textId="77777777" w:rsidR="008B3931" w:rsidRDefault="008B3931" w:rsidP="00961E39">
      <w:pPr>
        <w:pStyle w:val="Heading1"/>
        <w:spacing w:after="120"/>
      </w:pPr>
      <w:bookmarkStart w:id="0" w:name="_Toc486426792"/>
      <w:r w:rsidRPr="008B3931">
        <w:t>Preamble</w:t>
      </w:r>
      <w:bookmarkEnd w:id="0"/>
      <w:r w:rsidRPr="008B3931">
        <w:t xml:space="preserve"> </w:t>
      </w:r>
    </w:p>
    <w:p w14:paraId="18E658F3" w14:textId="77777777" w:rsidR="008B3931" w:rsidRDefault="008B3931" w:rsidP="00961E39">
      <w:r w:rsidRPr="008B3931">
        <w:t xml:space="preserve">The States Parties, </w:t>
      </w:r>
    </w:p>
    <w:p w14:paraId="57EF348C" w14:textId="77777777" w:rsidR="008B3931" w:rsidRDefault="008B3931" w:rsidP="00961E39">
      <w:r w:rsidRPr="008B3931">
        <w:t xml:space="preserve">Having in mind Article 13, paragraph 1 (a), of the Charter of the United Nations, which provides that the General Assembly shall initiate studies and make recommendations for the purpose of encouraging the progressive development of international law and its codification, </w:t>
      </w:r>
    </w:p>
    <w:p w14:paraId="0EBFC9A3" w14:textId="77777777" w:rsidR="008B3931" w:rsidRDefault="008B3931" w:rsidP="00961E39">
      <w:r w:rsidRPr="008B3931">
        <w:t xml:space="preserve">Bearing in mind the principle of permanent sovereignty of States over the natural resources within their territory or otherwise under their jurisdiction or control, </w:t>
      </w:r>
    </w:p>
    <w:p w14:paraId="6EA71F78" w14:textId="77777777" w:rsidR="008B3931" w:rsidRDefault="008B3931" w:rsidP="00961E39">
      <w:r w:rsidRPr="008B3931">
        <w:t xml:space="preserve">Bearing also in mind that the freedom of States to carry on or permit activities in their territory or otherwise under their jurisdiction or control is not unlimited, </w:t>
      </w:r>
    </w:p>
    <w:p w14:paraId="1C6F33B6" w14:textId="77777777" w:rsidR="008B3931" w:rsidRDefault="008B3931" w:rsidP="00961E39">
      <w:r w:rsidRPr="008B3931">
        <w:t xml:space="preserve">Recalling the Rio Declaration on Environment and Development of 13 June 1992, </w:t>
      </w:r>
    </w:p>
    <w:p w14:paraId="711F7CFE" w14:textId="77777777" w:rsidR="008B3931" w:rsidRDefault="008B3931" w:rsidP="00961E39">
      <w:r w:rsidRPr="008B3931">
        <w:t xml:space="preserve">Recognizing the importance of promoting international cooperation, </w:t>
      </w:r>
    </w:p>
    <w:p w14:paraId="600B1F19" w14:textId="77777777" w:rsidR="00CC7435" w:rsidRDefault="008B3931" w:rsidP="00961E39">
      <w:r w:rsidRPr="008B3931">
        <w:t>Have agreed as follows:</w:t>
      </w:r>
    </w:p>
    <w:p w14:paraId="25B4E19E" w14:textId="77777777" w:rsidR="008B3931" w:rsidRDefault="008B3931" w:rsidP="00961E39">
      <w:pPr>
        <w:pStyle w:val="Heading1"/>
        <w:spacing w:after="120"/>
      </w:pPr>
      <w:bookmarkStart w:id="1" w:name="_Toc486426793"/>
      <w:r>
        <w:t>Article 1</w:t>
      </w:r>
      <w:r>
        <w:br/>
      </w:r>
      <w:r w:rsidRPr="008B3931">
        <w:t>Scope</w:t>
      </w:r>
      <w:bookmarkEnd w:id="1"/>
      <w:r w:rsidRPr="008B3931">
        <w:t xml:space="preserve"> </w:t>
      </w:r>
    </w:p>
    <w:p w14:paraId="27403494" w14:textId="77777777" w:rsidR="008B3931" w:rsidRDefault="008B3931" w:rsidP="00961E39">
      <w:r w:rsidRPr="008B3931">
        <w:t>The present articles apply to activities not prohibited by international law which involve a risk of causing significant transboundary harm through their physical consequences.</w:t>
      </w:r>
    </w:p>
    <w:p w14:paraId="652DE4DC" w14:textId="77777777" w:rsidR="008B3931" w:rsidRDefault="008B3931" w:rsidP="00961E39">
      <w:pPr>
        <w:pStyle w:val="Heading1"/>
        <w:spacing w:after="120"/>
      </w:pPr>
      <w:bookmarkStart w:id="2" w:name="_Toc486426794"/>
      <w:r>
        <w:t>Article 2</w:t>
      </w:r>
      <w:r>
        <w:br/>
      </w:r>
      <w:r w:rsidRPr="008B3931">
        <w:t>Use of terms</w:t>
      </w:r>
      <w:bookmarkEnd w:id="2"/>
      <w:r w:rsidRPr="008B3931">
        <w:t xml:space="preserve"> </w:t>
      </w:r>
    </w:p>
    <w:p w14:paraId="2CB1B69F" w14:textId="77777777" w:rsidR="008B3931" w:rsidRDefault="008B3931" w:rsidP="00961E39">
      <w:r w:rsidRPr="008B3931">
        <w:t xml:space="preserve">For the purposes of the present articles: </w:t>
      </w:r>
    </w:p>
    <w:p w14:paraId="38B7BE6A" w14:textId="77777777" w:rsidR="008B3931" w:rsidRDefault="008B3931" w:rsidP="00961E39">
      <w:pPr>
        <w:numPr>
          <w:ilvl w:val="0"/>
          <w:numId w:val="10"/>
        </w:numPr>
      </w:pPr>
      <w:r w:rsidRPr="008B3931">
        <w:t xml:space="preserve">“Risk of causing significant transboundary harm” includes risks taking the form of a high probability of causing significant transboundary harm and 152 Report of the </w:t>
      </w:r>
      <w:r w:rsidR="00882363">
        <w:br/>
      </w:r>
      <w:r w:rsidRPr="008B3931">
        <w:t>International Law Commission on the work of its fifty-third session a low probability of causing disastrous transboundary harm;</w:t>
      </w:r>
    </w:p>
    <w:p w14:paraId="7C10BB60" w14:textId="77777777" w:rsidR="008B3931" w:rsidRDefault="008B3931" w:rsidP="00961E39">
      <w:pPr>
        <w:numPr>
          <w:ilvl w:val="0"/>
          <w:numId w:val="10"/>
        </w:numPr>
      </w:pPr>
      <w:r w:rsidRPr="008B3931">
        <w:t xml:space="preserve">“Harm” means harm caused to persons, property or the environment; </w:t>
      </w:r>
    </w:p>
    <w:p w14:paraId="28F14E08" w14:textId="77777777" w:rsidR="008B3931" w:rsidRDefault="008B3931" w:rsidP="00961E39">
      <w:pPr>
        <w:numPr>
          <w:ilvl w:val="0"/>
          <w:numId w:val="10"/>
        </w:numPr>
      </w:pPr>
      <w:r w:rsidRPr="008B3931">
        <w:t xml:space="preserve">“Transboundary harm” means harm caused in the territory of or in other places under the jurisdiction or control of a State other than the State of origin, whether or not the States concerned share a common border; </w:t>
      </w:r>
    </w:p>
    <w:p w14:paraId="4C4B61FF" w14:textId="77777777" w:rsidR="008B3931" w:rsidRDefault="008B3931" w:rsidP="00961E39">
      <w:pPr>
        <w:numPr>
          <w:ilvl w:val="0"/>
          <w:numId w:val="10"/>
        </w:numPr>
      </w:pPr>
      <w:r w:rsidRPr="008B3931">
        <w:t xml:space="preserve">“State of origin” means the State in the territory or otherwise under the jurisdiction or control of which the activities referred to in article 1 are planned or are carried out; </w:t>
      </w:r>
    </w:p>
    <w:p w14:paraId="02FB4C5B" w14:textId="77777777" w:rsidR="008B3931" w:rsidRDefault="008B3931" w:rsidP="00961E39">
      <w:pPr>
        <w:numPr>
          <w:ilvl w:val="0"/>
          <w:numId w:val="10"/>
        </w:numPr>
      </w:pPr>
      <w:r w:rsidRPr="008B3931">
        <w:lastRenderedPageBreak/>
        <w:t xml:space="preserve">“State likely to be affected” means the State or States in the territory of which there is the risk of significant transboundary harm or which have jurisdiction or control over any other place where there is such a risk; </w:t>
      </w:r>
    </w:p>
    <w:p w14:paraId="7DACF4EE" w14:textId="77777777" w:rsidR="008B3931" w:rsidRDefault="008B3931" w:rsidP="00961E39">
      <w:pPr>
        <w:numPr>
          <w:ilvl w:val="0"/>
          <w:numId w:val="10"/>
        </w:numPr>
      </w:pPr>
      <w:r w:rsidRPr="008B3931">
        <w:t>“States concerned” means the State of origin and the State likely to be affected.</w:t>
      </w:r>
    </w:p>
    <w:p w14:paraId="6F3D3F4E" w14:textId="77777777" w:rsidR="008B3931" w:rsidRDefault="008B3931" w:rsidP="00961E39">
      <w:pPr>
        <w:pStyle w:val="Heading1"/>
        <w:spacing w:after="120"/>
      </w:pPr>
      <w:bookmarkStart w:id="3" w:name="_Toc486426795"/>
      <w:r w:rsidRPr="008B3931">
        <w:t>Article 3</w:t>
      </w:r>
      <w:r>
        <w:br/>
      </w:r>
      <w:r w:rsidRPr="008B3931">
        <w:t>Prevention</w:t>
      </w:r>
      <w:bookmarkEnd w:id="3"/>
      <w:r w:rsidRPr="008B3931">
        <w:t xml:space="preserve"> </w:t>
      </w:r>
    </w:p>
    <w:p w14:paraId="1BB27306" w14:textId="77777777" w:rsidR="008B3931" w:rsidRDefault="008B3931" w:rsidP="00961E39">
      <w:r w:rsidRPr="008B3931">
        <w:t>The State of origin shall take all appropriate measures to prevent significant transboundary harm or at any event to minimize the risk thereof.</w:t>
      </w:r>
    </w:p>
    <w:p w14:paraId="27F35F02" w14:textId="77777777" w:rsidR="008B3931" w:rsidRDefault="008B3931" w:rsidP="00961E39">
      <w:pPr>
        <w:pStyle w:val="Heading1"/>
        <w:spacing w:after="120"/>
      </w:pPr>
      <w:bookmarkStart w:id="4" w:name="_Toc486426796"/>
      <w:r>
        <w:t>Article 4</w:t>
      </w:r>
      <w:r>
        <w:br/>
      </w:r>
      <w:r w:rsidRPr="008B3931">
        <w:t>Cooperation</w:t>
      </w:r>
      <w:bookmarkEnd w:id="4"/>
      <w:r w:rsidRPr="008B3931">
        <w:t xml:space="preserve"> </w:t>
      </w:r>
    </w:p>
    <w:p w14:paraId="3E90A18C" w14:textId="77777777" w:rsidR="008B3931" w:rsidRDefault="008B3931" w:rsidP="00961E39">
      <w:r w:rsidRPr="008B3931">
        <w:t>States concerned shall cooperate in good faith and, as necessary, seek the assistance of one or more competent international organizations in preventing significant transboundary harm or at any event in minimizing the risk thereof.</w:t>
      </w:r>
    </w:p>
    <w:p w14:paraId="4D925F2F" w14:textId="77777777" w:rsidR="008B3931" w:rsidRDefault="008B3931" w:rsidP="00961E39">
      <w:pPr>
        <w:pStyle w:val="Heading1"/>
        <w:spacing w:after="120"/>
      </w:pPr>
      <w:bookmarkStart w:id="5" w:name="_Toc486426797"/>
      <w:r w:rsidRPr="008B3931">
        <w:t>Artic</w:t>
      </w:r>
      <w:r>
        <w:t>le 5</w:t>
      </w:r>
      <w:r>
        <w:br/>
      </w:r>
      <w:r w:rsidRPr="008B3931">
        <w:t>Implementation</w:t>
      </w:r>
      <w:bookmarkEnd w:id="5"/>
      <w:r w:rsidRPr="008B3931">
        <w:t xml:space="preserve"> </w:t>
      </w:r>
    </w:p>
    <w:p w14:paraId="035A7A6D" w14:textId="77777777" w:rsidR="008B3931" w:rsidRDefault="008B3931" w:rsidP="00961E39">
      <w:r w:rsidRPr="008B3931">
        <w:t>States concerned shall take the necessary legislative, administrative or other action including the establishment of suitable monitoring mechanisms to implement the provisions of the present articles.</w:t>
      </w:r>
    </w:p>
    <w:p w14:paraId="41174DBD" w14:textId="77777777" w:rsidR="008B3931" w:rsidRDefault="008B3931" w:rsidP="00961E39">
      <w:pPr>
        <w:pStyle w:val="Heading1"/>
        <w:spacing w:after="120"/>
      </w:pPr>
      <w:bookmarkStart w:id="6" w:name="_Toc486426798"/>
      <w:r>
        <w:t>Article 6</w:t>
      </w:r>
      <w:r>
        <w:br/>
      </w:r>
      <w:r w:rsidRPr="008B3931">
        <w:t>Authorization</w:t>
      </w:r>
      <w:bookmarkEnd w:id="6"/>
      <w:r w:rsidRPr="008B3931">
        <w:t xml:space="preserve"> </w:t>
      </w:r>
    </w:p>
    <w:p w14:paraId="360E1098" w14:textId="77777777" w:rsidR="00C32774" w:rsidRDefault="008B3931" w:rsidP="00961E39">
      <w:pPr>
        <w:numPr>
          <w:ilvl w:val="0"/>
          <w:numId w:val="12"/>
        </w:numPr>
      </w:pPr>
      <w:r w:rsidRPr="008B3931">
        <w:t>The State of origin shall require its prior authorization for:</w:t>
      </w:r>
    </w:p>
    <w:p w14:paraId="549F7541" w14:textId="77777777" w:rsidR="008B3931" w:rsidRDefault="008B3931" w:rsidP="00961E39">
      <w:pPr>
        <w:numPr>
          <w:ilvl w:val="1"/>
          <w:numId w:val="12"/>
        </w:numPr>
      </w:pPr>
      <w:r w:rsidRPr="008B3931">
        <w:t>any activity within the scope of the present articles carried out in its territory or otherwise under its jurisdiction or control;</w:t>
      </w:r>
    </w:p>
    <w:p w14:paraId="046216E2" w14:textId="77777777" w:rsidR="008B3931" w:rsidRDefault="008B3931" w:rsidP="00961E39">
      <w:pPr>
        <w:numPr>
          <w:ilvl w:val="1"/>
          <w:numId w:val="12"/>
        </w:numPr>
      </w:pPr>
      <w:r w:rsidRPr="008B3931">
        <w:t xml:space="preserve">any major change in an activity referred to in subparagraph (a); </w:t>
      </w:r>
    </w:p>
    <w:p w14:paraId="42148E87" w14:textId="77777777" w:rsidR="008B3931" w:rsidRDefault="008B3931" w:rsidP="00961E39">
      <w:pPr>
        <w:numPr>
          <w:ilvl w:val="1"/>
          <w:numId w:val="12"/>
        </w:numPr>
      </w:pPr>
      <w:r w:rsidRPr="008B3931">
        <w:t xml:space="preserve">any plan to change an activity which may transform it into one falling within the scope of the present articles. </w:t>
      </w:r>
    </w:p>
    <w:p w14:paraId="29ACB440" w14:textId="77777777" w:rsidR="008B3931" w:rsidRDefault="008B3931" w:rsidP="00961E39">
      <w:pPr>
        <w:numPr>
          <w:ilvl w:val="0"/>
          <w:numId w:val="12"/>
        </w:numPr>
      </w:pPr>
      <w:r w:rsidRPr="008B3931">
        <w:t>The requirement of authorization established by a State shall be made applicable in respect of all pre</w:t>
      </w:r>
      <w:r w:rsidR="00002B4A">
        <w:t>-</w:t>
      </w:r>
      <w:r w:rsidRPr="008B3931">
        <w:t xml:space="preserve">existing activities within the scope of the present articles. Authorizations already issued by the State for preexisting activities shall be reviewed in order to comply with the present articles. </w:t>
      </w:r>
    </w:p>
    <w:p w14:paraId="618BC19B" w14:textId="77777777" w:rsidR="008B3931" w:rsidRDefault="008B3931" w:rsidP="00961E39">
      <w:pPr>
        <w:numPr>
          <w:ilvl w:val="0"/>
          <w:numId w:val="12"/>
        </w:numPr>
      </w:pPr>
      <w:r w:rsidRPr="008B3931">
        <w:t>In case of a failure to conform to the terms of the authorization, the State of origin shall take such actions as appropriate, including where necessary terminating the authorization.</w:t>
      </w:r>
    </w:p>
    <w:p w14:paraId="498F46A7" w14:textId="77777777" w:rsidR="008B3931" w:rsidRDefault="008B3931" w:rsidP="00961E39">
      <w:pPr>
        <w:pStyle w:val="Heading1"/>
        <w:spacing w:after="120"/>
      </w:pPr>
      <w:bookmarkStart w:id="7" w:name="_Toc486426799"/>
      <w:r>
        <w:lastRenderedPageBreak/>
        <w:t>Article 7</w:t>
      </w:r>
      <w:r>
        <w:br/>
      </w:r>
      <w:r w:rsidRPr="008B3931">
        <w:t>Assessment of risk</w:t>
      </w:r>
      <w:bookmarkEnd w:id="7"/>
      <w:r w:rsidRPr="008B3931">
        <w:t xml:space="preserve"> </w:t>
      </w:r>
    </w:p>
    <w:p w14:paraId="18964B5D" w14:textId="77777777" w:rsidR="008B3931" w:rsidRDefault="008B3931" w:rsidP="00961E39">
      <w:r w:rsidRPr="008B3931">
        <w:t>Any decision in respect of the authorization of an activity within the scope of the present articles shall, in particular, be based on an assessment of the possible transboundary harm caused by that activity, including any environmental impact assessment.</w:t>
      </w:r>
    </w:p>
    <w:p w14:paraId="58D5E854" w14:textId="77777777" w:rsidR="008B3931" w:rsidRDefault="008B3931" w:rsidP="00961E39">
      <w:pPr>
        <w:pStyle w:val="Heading1"/>
        <w:spacing w:after="120"/>
      </w:pPr>
      <w:bookmarkStart w:id="8" w:name="_Toc486426800"/>
      <w:r>
        <w:t>Article 8</w:t>
      </w:r>
      <w:r>
        <w:br/>
      </w:r>
      <w:r w:rsidRPr="008B3931">
        <w:t>Notification and information</w:t>
      </w:r>
      <w:bookmarkEnd w:id="8"/>
      <w:r w:rsidRPr="008B3931">
        <w:t xml:space="preserve"> </w:t>
      </w:r>
    </w:p>
    <w:p w14:paraId="213ECB8A" w14:textId="77777777" w:rsidR="008B3931" w:rsidRDefault="008B3931" w:rsidP="00961E39">
      <w:pPr>
        <w:numPr>
          <w:ilvl w:val="0"/>
          <w:numId w:val="14"/>
        </w:numPr>
      </w:pPr>
      <w:r w:rsidRPr="008B3931">
        <w:t>If the assessment referred to in article 7 indicates a risk of causing significant transboundary harm, the State of origin shall provide the State likely to be affected with timely notification of the risk and the assessment</w:t>
      </w:r>
      <w:r w:rsidR="00541912">
        <w:t>,</w:t>
      </w:r>
      <w:r w:rsidRPr="008B3931">
        <w:t xml:space="preserve"> and shall transmit to it the available technical and all other relevant information on which the assessment is based. </w:t>
      </w:r>
    </w:p>
    <w:p w14:paraId="01132BA1" w14:textId="77777777" w:rsidR="008B3931" w:rsidRDefault="008B3931" w:rsidP="00961E39">
      <w:pPr>
        <w:numPr>
          <w:ilvl w:val="0"/>
          <w:numId w:val="14"/>
        </w:numPr>
      </w:pPr>
      <w:r w:rsidRPr="008B3931">
        <w:t>The State of origin shall not take any decision on authorization of the activity pending the receipt, within a period not exceeding six months, of the response from the State likely to be affected.</w:t>
      </w:r>
    </w:p>
    <w:p w14:paraId="577D5F55" w14:textId="77777777" w:rsidR="008B3931" w:rsidRDefault="008B3931" w:rsidP="00961E39">
      <w:pPr>
        <w:pStyle w:val="Heading1"/>
        <w:spacing w:after="120"/>
      </w:pPr>
      <w:bookmarkStart w:id="9" w:name="_Toc486426801"/>
      <w:r>
        <w:t>Article 9</w:t>
      </w:r>
      <w:r>
        <w:br/>
      </w:r>
      <w:r w:rsidRPr="008B3931">
        <w:t>Consultations on preventive measures</w:t>
      </w:r>
      <w:bookmarkEnd w:id="9"/>
      <w:r w:rsidRPr="008B3931">
        <w:t xml:space="preserve"> </w:t>
      </w:r>
    </w:p>
    <w:p w14:paraId="7FBF2149" w14:textId="77777777" w:rsidR="008B3931" w:rsidRDefault="008B3931" w:rsidP="00961E39">
      <w:pPr>
        <w:numPr>
          <w:ilvl w:val="0"/>
          <w:numId w:val="16"/>
        </w:numPr>
      </w:pPr>
      <w:r w:rsidRPr="008B3931">
        <w:t xml:space="preserve">The States concerned shall enter into consultations, at the request of any of them, with a view to achieving acceptable solutions regarding measures to be adopted in order to prevent significant transboundary harm or at any event to minimize the risk thereof. The States concerned shall agree, at the commencement of such consultations, on a reasonable time frame for the consultations. </w:t>
      </w:r>
    </w:p>
    <w:p w14:paraId="626CD7EA" w14:textId="77777777" w:rsidR="008B3931" w:rsidRDefault="008B3931" w:rsidP="00961E39">
      <w:pPr>
        <w:numPr>
          <w:ilvl w:val="0"/>
          <w:numId w:val="16"/>
        </w:numPr>
      </w:pPr>
      <w:r w:rsidRPr="008B3931">
        <w:t xml:space="preserve">The States concerned shall seek solutions based on an equitable balance of interests in the light of article 10. </w:t>
      </w:r>
    </w:p>
    <w:p w14:paraId="04A42984" w14:textId="77777777" w:rsidR="008B3931" w:rsidRDefault="008B3931" w:rsidP="00961E39">
      <w:pPr>
        <w:numPr>
          <w:ilvl w:val="0"/>
          <w:numId w:val="16"/>
        </w:numPr>
      </w:pPr>
      <w:r w:rsidRPr="008B3931">
        <w:t xml:space="preserve">If the consultations referred to in paragraph 1 fail to produce an agreed solution, the </w:t>
      </w:r>
      <w:r w:rsidR="00882363">
        <w:br/>
      </w:r>
      <w:r w:rsidRPr="008B3931">
        <w:t>State of origin shall nevertheless take into account the interests of the State likely to be affected in case it decides to authorize the activity to be pursued, without prejudice to the rights of any State likely to be affected.</w:t>
      </w:r>
    </w:p>
    <w:p w14:paraId="28D969F2" w14:textId="77777777" w:rsidR="008B3931" w:rsidRDefault="008B3931" w:rsidP="00961E39">
      <w:pPr>
        <w:pStyle w:val="Heading1"/>
        <w:spacing w:after="120"/>
      </w:pPr>
      <w:bookmarkStart w:id="10" w:name="_Toc486426802"/>
      <w:r>
        <w:t>Article 10</w:t>
      </w:r>
      <w:r>
        <w:br/>
      </w:r>
      <w:r w:rsidRPr="008B3931">
        <w:t>Factors involved in an equitable balance of interests</w:t>
      </w:r>
      <w:bookmarkEnd w:id="10"/>
      <w:r w:rsidRPr="008B3931">
        <w:t xml:space="preserve"> </w:t>
      </w:r>
    </w:p>
    <w:p w14:paraId="37C23D36" w14:textId="77777777" w:rsidR="008B3931" w:rsidRDefault="008B3931" w:rsidP="00961E39">
      <w:r w:rsidRPr="008B3931">
        <w:t xml:space="preserve">In order to achieve an equitable balance of interests as referred to in paragraph 2 of article 9, the States concerned shall take into account all relevant factors and circumstances, including: </w:t>
      </w:r>
    </w:p>
    <w:p w14:paraId="31B3015B" w14:textId="77777777" w:rsidR="008B3931" w:rsidRDefault="008B3931" w:rsidP="00961E39">
      <w:pPr>
        <w:numPr>
          <w:ilvl w:val="0"/>
          <w:numId w:val="18"/>
        </w:numPr>
      </w:pPr>
      <w:r w:rsidRPr="008B3931">
        <w:t xml:space="preserve">the degree of risk of significant transboundary harm and of the availability of means of preventing such harm, or minimizing the risk thereof or repairing the harm; </w:t>
      </w:r>
    </w:p>
    <w:p w14:paraId="3B47D780" w14:textId="77777777" w:rsidR="008B3931" w:rsidRDefault="008B3931" w:rsidP="00961E39">
      <w:pPr>
        <w:numPr>
          <w:ilvl w:val="0"/>
          <w:numId w:val="18"/>
        </w:numPr>
      </w:pPr>
      <w:r w:rsidRPr="008B3931">
        <w:t xml:space="preserve">the importance of the activity, taking into account its overall advantages of a social, economic and technical character for the State of origin in relation to the potential harm for the </w:t>
      </w:r>
      <w:r w:rsidR="00882363">
        <w:br/>
      </w:r>
      <w:r w:rsidRPr="008B3931">
        <w:t xml:space="preserve">State likely to be affected; </w:t>
      </w:r>
    </w:p>
    <w:p w14:paraId="4E23225D" w14:textId="77777777" w:rsidR="008B3931" w:rsidRDefault="008B3931" w:rsidP="00961E39">
      <w:pPr>
        <w:numPr>
          <w:ilvl w:val="0"/>
          <w:numId w:val="18"/>
        </w:numPr>
      </w:pPr>
      <w:r w:rsidRPr="008B3931">
        <w:lastRenderedPageBreak/>
        <w:t xml:space="preserve">the risk of significant harm to the environment and the availability of means of preventing such harm, or minimizing the risk thereof or restoring the environment; </w:t>
      </w:r>
    </w:p>
    <w:p w14:paraId="34EA33F6" w14:textId="77777777" w:rsidR="008B3931" w:rsidRDefault="008B3931" w:rsidP="00961E39">
      <w:pPr>
        <w:numPr>
          <w:ilvl w:val="0"/>
          <w:numId w:val="18"/>
        </w:numPr>
      </w:pPr>
      <w:r w:rsidRPr="008B3931">
        <w:t>the degree to which the State of origin and, as appropriate, the State likely to be affected are prepared to contribute to the costs of prevention;</w:t>
      </w:r>
    </w:p>
    <w:p w14:paraId="17D8269B" w14:textId="77777777" w:rsidR="008B3931" w:rsidRDefault="008B3931" w:rsidP="00961E39">
      <w:pPr>
        <w:numPr>
          <w:ilvl w:val="0"/>
          <w:numId w:val="18"/>
        </w:numPr>
      </w:pPr>
      <w:r w:rsidRPr="008B3931">
        <w:t xml:space="preserve">the economic viability of the activity in relation to the costs of prevention and to the possibility of carrying out the activity elsewhere or by other means or replacing it with an alternative activity; </w:t>
      </w:r>
    </w:p>
    <w:p w14:paraId="5A4DD1AA" w14:textId="77777777" w:rsidR="008B3931" w:rsidRDefault="008B3931" w:rsidP="00961E39">
      <w:pPr>
        <w:numPr>
          <w:ilvl w:val="0"/>
          <w:numId w:val="18"/>
        </w:numPr>
      </w:pPr>
      <w:r w:rsidRPr="008B3931">
        <w:t>the standards of prevention which the State likely to be affected applies to the same or comparable activities and the standards applied in comparable regional or international practice.</w:t>
      </w:r>
    </w:p>
    <w:p w14:paraId="767139ED" w14:textId="77777777" w:rsidR="008B3931" w:rsidRDefault="008B3931" w:rsidP="00961E39">
      <w:pPr>
        <w:pStyle w:val="Heading1"/>
        <w:spacing w:after="120"/>
      </w:pPr>
      <w:bookmarkStart w:id="11" w:name="_Toc486426803"/>
      <w:r>
        <w:t>Article 11</w:t>
      </w:r>
      <w:r>
        <w:br/>
      </w:r>
      <w:r w:rsidRPr="008B3931">
        <w:t>Procedures in the absence of notification</w:t>
      </w:r>
      <w:bookmarkEnd w:id="11"/>
      <w:r w:rsidRPr="008B3931">
        <w:t xml:space="preserve"> </w:t>
      </w:r>
    </w:p>
    <w:p w14:paraId="70C82AC3" w14:textId="77777777" w:rsidR="008B3931" w:rsidRDefault="008B3931" w:rsidP="00961E39">
      <w:pPr>
        <w:numPr>
          <w:ilvl w:val="0"/>
          <w:numId w:val="20"/>
        </w:numPr>
      </w:pPr>
      <w:r w:rsidRPr="008B3931">
        <w:t xml:space="preserve">If a State has reasonable grounds to believe that an activity planned or carried out in the State of origin may involve a risk of causing significant transboundary harm to it, it may request the State of origin to apply the provision of article 8. The request shall be accompanied by a documented explanation setting forth its grounds. </w:t>
      </w:r>
    </w:p>
    <w:p w14:paraId="4A1D69CF" w14:textId="77777777" w:rsidR="008B3931" w:rsidRDefault="008B3931" w:rsidP="00961E39">
      <w:pPr>
        <w:numPr>
          <w:ilvl w:val="0"/>
          <w:numId w:val="20"/>
        </w:numPr>
      </w:pPr>
      <w:r w:rsidRPr="008B3931">
        <w:t xml:space="preserve">In the event that the State of origin nevertheless finds that it is not under an obligation to provide a notification under article 8, it shall so inform the requesting State within a reasonable time, providing a documented explanation setting forth the reasons for such finding. If this finding does not satisfy that State, at its request, the two States shall promptly enter into consultations in the manner indicated in article 9. </w:t>
      </w:r>
    </w:p>
    <w:p w14:paraId="6571047C" w14:textId="77777777" w:rsidR="008B3931" w:rsidRDefault="008B3931" w:rsidP="00961E39">
      <w:pPr>
        <w:numPr>
          <w:ilvl w:val="0"/>
          <w:numId w:val="20"/>
        </w:numPr>
      </w:pPr>
      <w:r w:rsidRPr="008B3931">
        <w:t>During the course of the consultations, the State of origin shall, if so requested by the other State, arrange to introduce appropriate and feasible measures to minimize the risk and, where appropriate, to suspend the activity in question for a reasonable period.</w:t>
      </w:r>
    </w:p>
    <w:p w14:paraId="3BC60487" w14:textId="77777777" w:rsidR="008B3931" w:rsidRDefault="008B3931" w:rsidP="00961E39">
      <w:pPr>
        <w:pStyle w:val="Heading1"/>
        <w:spacing w:after="120"/>
      </w:pPr>
      <w:bookmarkStart w:id="12" w:name="_Toc486426804"/>
      <w:r>
        <w:t>Article 12</w:t>
      </w:r>
      <w:r>
        <w:br/>
      </w:r>
      <w:r w:rsidRPr="008B3931">
        <w:t>Exchange of information</w:t>
      </w:r>
      <w:bookmarkEnd w:id="12"/>
      <w:r w:rsidRPr="008B3931">
        <w:t xml:space="preserve"> </w:t>
      </w:r>
    </w:p>
    <w:p w14:paraId="36A89612" w14:textId="77777777" w:rsidR="008B3931" w:rsidRDefault="008B3931" w:rsidP="00961E39">
      <w:r w:rsidRPr="008B3931">
        <w:t>While the activity is being carried out, the States concerned shall exchange in a timely manner all available information concerning that activity relevant to preventing significant transboundary harm or at any event minimizing the risk thereof. Such an exchange of information shall continue until such time as the States concerned consider it appropriate even after the activity is terminated.</w:t>
      </w:r>
    </w:p>
    <w:p w14:paraId="7C920102" w14:textId="77777777" w:rsidR="008B3931" w:rsidRDefault="008B3931" w:rsidP="00961E39">
      <w:pPr>
        <w:pStyle w:val="Heading1"/>
        <w:spacing w:after="120"/>
      </w:pPr>
      <w:bookmarkStart w:id="13" w:name="_Toc486426805"/>
      <w:r>
        <w:t>Article 13</w:t>
      </w:r>
      <w:r>
        <w:br/>
      </w:r>
      <w:r w:rsidRPr="008B3931">
        <w:t>Information to the public</w:t>
      </w:r>
      <w:bookmarkEnd w:id="13"/>
      <w:r w:rsidRPr="008B3931">
        <w:t xml:space="preserve"> </w:t>
      </w:r>
    </w:p>
    <w:p w14:paraId="083DAD14" w14:textId="77777777" w:rsidR="008B3931" w:rsidRDefault="008B3931" w:rsidP="00961E39">
      <w:r w:rsidRPr="008B3931">
        <w:t>States concerned shall, by such means as are appropriate, provide the public likely to be affected by an activity within the scope of the present articles with relevant information relating to that activity, the risk involved and the harm which might result and ascertain their views.</w:t>
      </w:r>
    </w:p>
    <w:p w14:paraId="41259BC7" w14:textId="77777777" w:rsidR="008B3931" w:rsidRDefault="008B3931" w:rsidP="00961E39">
      <w:pPr>
        <w:pStyle w:val="Heading1"/>
        <w:spacing w:after="120"/>
      </w:pPr>
      <w:bookmarkStart w:id="14" w:name="_Toc486426806"/>
      <w:r>
        <w:lastRenderedPageBreak/>
        <w:t>Article 14</w:t>
      </w:r>
      <w:r>
        <w:br/>
      </w:r>
      <w:r w:rsidRPr="008B3931">
        <w:t>National security and industrial secrets</w:t>
      </w:r>
      <w:bookmarkEnd w:id="14"/>
      <w:r w:rsidRPr="008B3931">
        <w:t xml:space="preserve"> </w:t>
      </w:r>
    </w:p>
    <w:p w14:paraId="5AD5EE05" w14:textId="77777777" w:rsidR="008B3931" w:rsidRDefault="008B3931" w:rsidP="00961E39">
      <w:r w:rsidRPr="008B3931">
        <w:t>Data and information vital to the national security of the State of origin or to the protection of industrial secrets or concerning intellectual property may</w:t>
      </w:r>
      <w:r>
        <w:t xml:space="preserve"> </w:t>
      </w:r>
      <w:r w:rsidRPr="008B3931">
        <w:t>be withheld, but the State of origin shall cooperate in good faith with the State likely to be affected in providing as much information as possible under the circumstances.</w:t>
      </w:r>
    </w:p>
    <w:p w14:paraId="5C190FA7" w14:textId="77777777" w:rsidR="008B3931" w:rsidRDefault="008B3931" w:rsidP="00961E39">
      <w:pPr>
        <w:pStyle w:val="Heading1"/>
        <w:spacing w:after="120"/>
      </w:pPr>
      <w:bookmarkStart w:id="15" w:name="_Toc486426807"/>
      <w:r>
        <w:t>Article 15</w:t>
      </w:r>
      <w:r>
        <w:br/>
      </w:r>
      <w:r w:rsidRPr="008B3931">
        <w:t>Non-discrimination</w:t>
      </w:r>
      <w:bookmarkEnd w:id="15"/>
      <w:r w:rsidRPr="008B3931">
        <w:t xml:space="preserve"> </w:t>
      </w:r>
    </w:p>
    <w:p w14:paraId="487A71B4" w14:textId="77777777" w:rsidR="008B3931" w:rsidRDefault="008B3931" w:rsidP="00961E39">
      <w:r w:rsidRPr="008B3931">
        <w:t>Unless the States concerned have agreed otherwise for the protection of the interests of persons, natural or juridical, who may be or are exposed to the risk of significant transboundary harm as a result of an activity within the scope of the present articles, a State shall not discriminate on the basis of nationality or residence or place where the injury might occur, in</w:t>
      </w:r>
      <w:r>
        <w:t xml:space="preserve"> </w:t>
      </w:r>
      <w:r w:rsidRPr="008B3931">
        <w:t>granting to such persons, in accordance with its legal system, access to judicial or other procedures to seek protection or other appropriate redress.</w:t>
      </w:r>
    </w:p>
    <w:p w14:paraId="1C68DFC8" w14:textId="77777777" w:rsidR="008B3931" w:rsidRDefault="008B3931" w:rsidP="00961E39">
      <w:pPr>
        <w:pStyle w:val="Heading1"/>
        <w:spacing w:after="120"/>
      </w:pPr>
      <w:bookmarkStart w:id="16" w:name="_Toc486426808"/>
      <w:r>
        <w:t>Article 16</w:t>
      </w:r>
      <w:r>
        <w:br/>
      </w:r>
      <w:r w:rsidRPr="008B3931">
        <w:t>Emergency preparedness</w:t>
      </w:r>
      <w:bookmarkEnd w:id="16"/>
      <w:r w:rsidRPr="008B3931">
        <w:t xml:space="preserve"> </w:t>
      </w:r>
    </w:p>
    <w:p w14:paraId="7E5DC9E1" w14:textId="77777777" w:rsidR="008B3931" w:rsidRDefault="008B3931" w:rsidP="00961E39">
      <w:r w:rsidRPr="008B3931">
        <w:t>The State of origin shall develop contingency plans for responding to emergencies, in cooperation, where appropriate, with the State likely to be affected and competent international organizations.</w:t>
      </w:r>
    </w:p>
    <w:p w14:paraId="6F16AEDA" w14:textId="77777777" w:rsidR="008B3931" w:rsidRDefault="008B3931" w:rsidP="00961E39">
      <w:pPr>
        <w:pStyle w:val="Heading1"/>
        <w:spacing w:after="120"/>
      </w:pPr>
      <w:bookmarkStart w:id="17" w:name="_Toc486426809"/>
      <w:r>
        <w:t>Article 17</w:t>
      </w:r>
      <w:r>
        <w:br/>
      </w:r>
      <w:r w:rsidRPr="008B3931">
        <w:t>Notification of an emergency</w:t>
      </w:r>
      <w:bookmarkEnd w:id="17"/>
      <w:r w:rsidRPr="008B3931">
        <w:t xml:space="preserve"> </w:t>
      </w:r>
    </w:p>
    <w:p w14:paraId="543ED39C" w14:textId="77777777" w:rsidR="008B3931" w:rsidRDefault="008B3931" w:rsidP="00961E39">
      <w:r w:rsidRPr="008B3931">
        <w:t>The State of origin shall, without delay and by the most expeditious means, at its disposal, notify the State likely to be affected of an emergency concerning an activity within the scope of the present articles and provide it with all relevant and available information.</w:t>
      </w:r>
    </w:p>
    <w:p w14:paraId="0948EF9A" w14:textId="77777777" w:rsidR="008B3931" w:rsidRDefault="008B3931" w:rsidP="00961E39">
      <w:pPr>
        <w:pStyle w:val="Heading1"/>
        <w:spacing w:after="120"/>
      </w:pPr>
      <w:bookmarkStart w:id="18" w:name="_Toc486426810"/>
      <w:r>
        <w:t>Article 18</w:t>
      </w:r>
      <w:r>
        <w:br/>
      </w:r>
      <w:r w:rsidRPr="008B3931">
        <w:t>Relationship to other rules of international law</w:t>
      </w:r>
      <w:bookmarkEnd w:id="18"/>
      <w:r w:rsidRPr="008B3931">
        <w:t xml:space="preserve"> </w:t>
      </w:r>
    </w:p>
    <w:p w14:paraId="4E1C97F3" w14:textId="77777777" w:rsidR="008B3931" w:rsidRDefault="008B3931" w:rsidP="00961E39">
      <w:r w:rsidRPr="008B3931">
        <w:t>The present articles are without prejudice to any obligation incurred by States under relevant treaties or rules of customary international law.</w:t>
      </w:r>
    </w:p>
    <w:p w14:paraId="39FE172D" w14:textId="77777777" w:rsidR="008B3931" w:rsidRDefault="008B3931" w:rsidP="00961E39">
      <w:pPr>
        <w:pStyle w:val="Heading1"/>
        <w:spacing w:after="120"/>
      </w:pPr>
      <w:bookmarkStart w:id="19" w:name="_Toc486426811"/>
      <w:r>
        <w:t>Article 19</w:t>
      </w:r>
      <w:r>
        <w:br/>
      </w:r>
      <w:r w:rsidRPr="008B3931">
        <w:t>Settlement of disputes</w:t>
      </w:r>
      <w:bookmarkEnd w:id="19"/>
      <w:r w:rsidRPr="008B3931">
        <w:t xml:space="preserve"> </w:t>
      </w:r>
    </w:p>
    <w:p w14:paraId="63CBE147" w14:textId="77777777" w:rsidR="008B3931" w:rsidRDefault="008B3931" w:rsidP="00961E39">
      <w:pPr>
        <w:numPr>
          <w:ilvl w:val="0"/>
          <w:numId w:val="22"/>
        </w:numPr>
      </w:pPr>
      <w:r w:rsidRPr="008B3931">
        <w:t xml:space="preserve">Any dispute concerning the interpretation or application of the present articles shall be settled expeditiously through peaceful means of settlement chosen by mutual agreement of the parties to the dispute, including negotiations, mediation, conciliation, arbitration or judicial settlement. </w:t>
      </w:r>
    </w:p>
    <w:p w14:paraId="1F8E4905" w14:textId="77777777" w:rsidR="008B3931" w:rsidRDefault="008B3931" w:rsidP="00961E39">
      <w:pPr>
        <w:numPr>
          <w:ilvl w:val="0"/>
          <w:numId w:val="22"/>
        </w:numPr>
      </w:pPr>
      <w:r w:rsidRPr="008B3931">
        <w:t>Failing an agreement on the means for the peaceful settlement of the dispute within a period of six months, the parties to the dispute shall, at the request of any of them, have recourse to the establishment of an impartial fact-finding commission.</w:t>
      </w:r>
    </w:p>
    <w:p w14:paraId="309411B2" w14:textId="77777777" w:rsidR="008B3931" w:rsidRDefault="008B3931" w:rsidP="00961E39">
      <w:pPr>
        <w:numPr>
          <w:ilvl w:val="0"/>
          <w:numId w:val="22"/>
        </w:numPr>
      </w:pPr>
      <w:r w:rsidRPr="008B3931">
        <w:lastRenderedPageBreak/>
        <w:t xml:space="preserve">The Fact-finding Commission shall be composed of one member nominated by each party to the dispute and in addition a member not having the nationality of any of the parties to the dispute chosen by the nominated members who shall serve as Chairperson. </w:t>
      </w:r>
    </w:p>
    <w:p w14:paraId="3B779B14" w14:textId="77777777" w:rsidR="008B3931" w:rsidRDefault="008B3931" w:rsidP="00961E39">
      <w:pPr>
        <w:numPr>
          <w:ilvl w:val="0"/>
          <w:numId w:val="22"/>
        </w:numPr>
      </w:pPr>
      <w:r w:rsidRPr="008B3931">
        <w:t xml:space="preserve">If more than one State is involved on one side of the dispute and those States do not agree on a common member of the Commission and each of them nominates a member, the other party to the dispute has the right to nominate an equal number of members of the Commission. </w:t>
      </w:r>
    </w:p>
    <w:p w14:paraId="768517B1" w14:textId="77777777" w:rsidR="008B3931" w:rsidRDefault="008B3931" w:rsidP="00961E39">
      <w:pPr>
        <w:numPr>
          <w:ilvl w:val="0"/>
          <w:numId w:val="22"/>
        </w:numPr>
      </w:pPr>
      <w:r w:rsidRPr="008B3931">
        <w:t xml:space="preserve">If the members nominated by the parties to the dispute are unable to agree on a Chairperson within three months of the request for the establishment of the Commission, any party to the dispute may request the Secretary-General of the United Nations to appoint the Chairperson who shall not have the nationality of any of the parties to the dispute. If one of the parties to the dispute fails to nominate a member within three months of the initial request pursuant to paragraph 2, any other party to the dispute may request the Secretary-General of the </w:t>
      </w:r>
      <w:r w:rsidR="00882363">
        <w:br/>
      </w:r>
      <w:r w:rsidRPr="008B3931">
        <w:t xml:space="preserve">United Nations to appoint a person who shall not have the nationality of any of the parties to the dispute. The person so appointed shall constitute a single-member Commission. </w:t>
      </w:r>
    </w:p>
    <w:p w14:paraId="6AEAE1CD" w14:textId="77777777" w:rsidR="008B3931" w:rsidRDefault="008B3931" w:rsidP="00961E39">
      <w:pPr>
        <w:numPr>
          <w:ilvl w:val="0"/>
          <w:numId w:val="22"/>
        </w:numPr>
      </w:pPr>
      <w:r w:rsidRPr="008B3931">
        <w:t xml:space="preserve">The Commission shall adopt its report by a majority vote, unless it is a </w:t>
      </w:r>
      <w:r w:rsidR="00882363">
        <w:br/>
      </w:r>
      <w:r w:rsidRPr="008B3931">
        <w:t>single-member Commission, and shall submit that report to the parties to the dispute setting forth its findings and recommendations, which the parties to the dispute shall consider in good faith.</w:t>
      </w:r>
    </w:p>
    <w:p w14:paraId="4FE56318" w14:textId="77777777" w:rsidR="008B3931" w:rsidRPr="008D6B19" w:rsidRDefault="008B3931" w:rsidP="00961E39"/>
    <w:sectPr w:rsidR="008B3931" w:rsidRPr="008D6B19"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D6864" w14:textId="77777777" w:rsidR="00AB4BB0" w:rsidRDefault="00AB4BB0" w:rsidP="00F61B4F">
      <w:pPr>
        <w:spacing w:before="0" w:after="0" w:line="240" w:lineRule="auto"/>
      </w:pPr>
      <w:r>
        <w:separator/>
      </w:r>
    </w:p>
  </w:endnote>
  <w:endnote w:type="continuationSeparator" w:id="0">
    <w:p w14:paraId="7206A307" w14:textId="77777777" w:rsidR="00AB4BB0" w:rsidRDefault="00AB4BB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ABEE2" w14:textId="77777777" w:rsidR="00B532E2" w:rsidRDefault="00B532E2" w:rsidP="00F61B4F">
    <w:pPr>
      <w:pStyle w:val="Footer"/>
      <w:tabs>
        <w:tab w:val="clear" w:pos="9360"/>
        <w:tab w:val="right" w:pos="8931"/>
      </w:tabs>
      <w:jc w:val="right"/>
    </w:pPr>
  </w:p>
  <w:p w14:paraId="72E9AB81"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16772">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16772">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DAFF" w14:textId="77777777" w:rsidR="00B532E2" w:rsidRDefault="00B532E2" w:rsidP="00F61B4F">
    <w:pPr>
      <w:pStyle w:val="Footer"/>
      <w:tabs>
        <w:tab w:val="clear" w:pos="9360"/>
        <w:tab w:val="right" w:pos="8931"/>
      </w:tabs>
      <w:jc w:val="right"/>
    </w:pPr>
  </w:p>
  <w:p w14:paraId="5F70276D"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6F2CA" w14:textId="77777777" w:rsidR="00AB4BB0" w:rsidRDefault="00AB4BB0" w:rsidP="00F61B4F">
      <w:pPr>
        <w:spacing w:before="0" w:after="0" w:line="240" w:lineRule="auto"/>
      </w:pPr>
      <w:r>
        <w:separator/>
      </w:r>
    </w:p>
  </w:footnote>
  <w:footnote w:type="continuationSeparator" w:id="0">
    <w:p w14:paraId="0B892112" w14:textId="77777777" w:rsidR="00AB4BB0" w:rsidRDefault="00AB4BB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831EB" w14:textId="77777777" w:rsidR="00B532E2" w:rsidRPr="008B3931" w:rsidRDefault="008B3931" w:rsidP="008B3931">
    <w:pPr>
      <w:pStyle w:val="Header"/>
      <w:pBdr>
        <w:bottom w:val="single" w:sz="4" w:space="1" w:color="auto"/>
      </w:pBdr>
    </w:pPr>
    <w:r w:rsidRPr="008B3931">
      <w:rPr>
        <w:rFonts w:cs="Arial"/>
        <w:caps/>
        <w:color w:val="808080"/>
        <w:sz w:val="16"/>
        <w:szCs w:val="16"/>
      </w:rPr>
      <w:t>2001 Draft Articles on Prevention of Transboundary Harm from Hazardous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54805"/>
    <w:multiLevelType w:val="hybridMultilevel"/>
    <w:tmpl w:val="DC80C3C2"/>
    <w:lvl w:ilvl="0" w:tplc="4809000F">
      <w:start w:val="1"/>
      <w:numFmt w:val="decimal"/>
      <w:lvlText w:val="%1."/>
      <w:lvlJc w:val="left"/>
      <w:pPr>
        <w:ind w:left="720" w:hanging="360"/>
      </w:pPr>
      <w:rPr>
        <w:rFonts w:hint="default"/>
      </w:rPr>
    </w:lvl>
    <w:lvl w:ilvl="1" w:tplc="89FC01E8">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DFA68E2"/>
    <w:multiLevelType w:val="hybridMultilevel"/>
    <w:tmpl w:val="2FFE8068"/>
    <w:lvl w:ilvl="0" w:tplc="69D20902">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E494A7D"/>
    <w:multiLevelType w:val="hybridMultilevel"/>
    <w:tmpl w:val="E3EA25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1AE6D24"/>
    <w:multiLevelType w:val="hybridMultilevel"/>
    <w:tmpl w:val="DB0CD98C"/>
    <w:lvl w:ilvl="0" w:tplc="4809000F">
      <w:start w:val="1"/>
      <w:numFmt w:val="decimal"/>
      <w:lvlText w:val="%1."/>
      <w:lvlJc w:val="left"/>
      <w:pPr>
        <w:ind w:left="360" w:hanging="360"/>
      </w:p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 w15:restartNumberingAfterBreak="0">
    <w:nsid w:val="1F926AED"/>
    <w:multiLevelType w:val="hybridMultilevel"/>
    <w:tmpl w:val="492A4B18"/>
    <w:lvl w:ilvl="0" w:tplc="2E2243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0C61050"/>
    <w:multiLevelType w:val="hybridMultilevel"/>
    <w:tmpl w:val="3D569752"/>
    <w:lvl w:ilvl="0" w:tplc="2E2243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22F21E4"/>
    <w:multiLevelType w:val="hybridMultilevel"/>
    <w:tmpl w:val="E1AC0980"/>
    <w:lvl w:ilvl="0" w:tplc="2E2243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6C50FE1"/>
    <w:multiLevelType w:val="hybridMultilevel"/>
    <w:tmpl w:val="B3F0A5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0B24FF4"/>
    <w:multiLevelType w:val="hybridMultilevel"/>
    <w:tmpl w:val="DF708C6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29D6135"/>
    <w:multiLevelType w:val="hybridMultilevel"/>
    <w:tmpl w:val="A5E00BC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2F81E43"/>
    <w:multiLevelType w:val="hybridMultilevel"/>
    <w:tmpl w:val="508A3FA6"/>
    <w:lvl w:ilvl="0" w:tplc="F9BC270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4B00B5C"/>
    <w:multiLevelType w:val="hybridMultilevel"/>
    <w:tmpl w:val="E2EC2308"/>
    <w:lvl w:ilvl="0" w:tplc="89FC01E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5803100"/>
    <w:multiLevelType w:val="hybridMultilevel"/>
    <w:tmpl w:val="D896A548"/>
    <w:lvl w:ilvl="0" w:tplc="F9BC270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D04744D"/>
    <w:multiLevelType w:val="hybridMultilevel"/>
    <w:tmpl w:val="49C6881C"/>
    <w:lvl w:ilvl="0" w:tplc="819CCE1E">
      <w:start w:val="1"/>
      <w:numFmt w:val="decimal"/>
      <w:lvlText w:val="%1."/>
      <w:lvlJc w:val="left"/>
      <w:pPr>
        <w:ind w:left="360" w:hanging="360"/>
      </w:pPr>
      <w:rPr>
        <w:rFonts w:ascii="Arial" w:hAnsi="Arial" w:cs="Arial" w:hint="default"/>
        <w:b w:val="0"/>
        <w:sz w:val="20"/>
      </w:rPr>
    </w:lvl>
    <w:lvl w:ilvl="1" w:tplc="69D20902">
      <w:start w:val="1"/>
      <w:numFmt w:val="upperLetter"/>
      <w:lvlText w:val="%2)"/>
      <w:lvlJc w:val="left"/>
      <w:pPr>
        <w:ind w:left="786"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3C801F7"/>
    <w:multiLevelType w:val="hybridMultilevel"/>
    <w:tmpl w:val="09F44520"/>
    <w:lvl w:ilvl="0" w:tplc="89FC01E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8E542F2"/>
    <w:multiLevelType w:val="hybridMultilevel"/>
    <w:tmpl w:val="7A20BA66"/>
    <w:lvl w:ilvl="0" w:tplc="819CCE1E">
      <w:start w:val="1"/>
      <w:numFmt w:val="decimal"/>
      <w:lvlText w:val="%1."/>
      <w:lvlJc w:val="left"/>
      <w:pPr>
        <w:ind w:left="360" w:hanging="360"/>
      </w:pPr>
      <w:rPr>
        <w:rFonts w:ascii="Arial" w:hAnsi="Arial" w:cs="Arial" w:hint="default"/>
        <w:b w:val="0"/>
        <w:sz w:val="2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58D64A35"/>
    <w:multiLevelType w:val="hybridMultilevel"/>
    <w:tmpl w:val="1B82D460"/>
    <w:lvl w:ilvl="0" w:tplc="89FC01E8">
      <w:start w:val="1"/>
      <w:numFmt w:val="lowerLetter"/>
      <w:lvlText w:val="(%1)"/>
      <w:lvlJc w:val="left"/>
      <w:pPr>
        <w:ind w:left="720" w:hanging="360"/>
      </w:pPr>
      <w:rPr>
        <w:rFonts w:hint="default"/>
      </w:rPr>
    </w:lvl>
    <w:lvl w:ilvl="1" w:tplc="0C9C16C0">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E09422C"/>
    <w:multiLevelType w:val="hybridMultilevel"/>
    <w:tmpl w:val="8E6080B4"/>
    <w:lvl w:ilvl="0" w:tplc="819CCE1E">
      <w:start w:val="1"/>
      <w:numFmt w:val="decimal"/>
      <w:lvlText w:val="%1."/>
      <w:lvlJc w:val="left"/>
      <w:pPr>
        <w:ind w:left="360" w:hanging="360"/>
      </w:pPr>
      <w:rPr>
        <w:rFonts w:ascii="Arial" w:hAnsi="Arial" w:cs="Arial" w:hint="default"/>
        <w:b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2BA4BD6"/>
    <w:multiLevelType w:val="hybridMultilevel"/>
    <w:tmpl w:val="4EB01B34"/>
    <w:lvl w:ilvl="0" w:tplc="2E2243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3B403CC"/>
    <w:multiLevelType w:val="hybridMultilevel"/>
    <w:tmpl w:val="985C70A6"/>
    <w:lvl w:ilvl="0" w:tplc="89FC01E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4790441"/>
    <w:multiLevelType w:val="hybridMultilevel"/>
    <w:tmpl w:val="58BECF6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7B4C5EFA"/>
    <w:multiLevelType w:val="hybridMultilevel"/>
    <w:tmpl w:val="32F6844E"/>
    <w:lvl w:ilvl="0" w:tplc="2E2243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15"/>
  </w:num>
  <w:num w:numId="5">
    <w:abstractNumId w:val="17"/>
  </w:num>
  <w:num w:numId="6">
    <w:abstractNumId w:val="13"/>
  </w:num>
  <w:num w:numId="7">
    <w:abstractNumId w:val="2"/>
  </w:num>
  <w:num w:numId="8">
    <w:abstractNumId w:val="20"/>
  </w:num>
  <w:num w:numId="9">
    <w:abstractNumId w:val="7"/>
  </w:num>
  <w:num w:numId="10">
    <w:abstractNumId w:val="12"/>
  </w:num>
  <w:num w:numId="11">
    <w:abstractNumId w:val="10"/>
  </w:num>
  <w:num w:numId="12">
    <w:abstractNumId w:val="0"/>
  </w:num>
  <w:num w:numId="13">
    <w:abstractNumId w:val="11"/>
  </w:num>
  <w:num w:numId="14">
    <w:abstractNumId w:val="5"/>
  </w:num>
  <w:num w:numId="15">
    <w:abstractNumId w:val="18"/>
  </w:num>
  <w:num w:numId="16">
    <w:abstractNumId w:val="21"/>
  </w:num>
  <w:num w:numId="17">
    <w:abstractNumId w:val="6"/>
  </w:num>
  <w:num w:numId="18">
    <w:abstractNumId w:val="16"/>
  </w:num>
  <w:num w:numId="19">
    <w:abstractNumId w:val="14"/>
  </w:num>
  <w:num w:numId="20">
    <w:abstractNumId w:val="4"/>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35"/>
    <w:rsid w:val="00000FB0"/>
    <w:rsid w:val="00001164"/>
    <w:rsid w:val="00002446"/>
    <w:rsid w:val="00002B4A"/>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C5CE2"/>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16772"/>
    <w:rsid w:val="001207E1"/>
    <w:rsid w:val="0012281C"/>
    <w:rsid w:val="00122EC8"/>
    <w:rsid w:val="001246A1"/>
    <w:rsid w:val="001302AA"/>
    <w:rsid w:val="00130E46"/>
    <w:rsid w:val="00133AB9"/>
    <w:rsid w:val="00143BCA"/>
    <w:rsid w:val="00144EA6"/>
    <w:rsid w:val="001450F7"/>
    <w:rsid w:val="001462AA"/>
    <w:rsid w:val="00153722"/>
    <w:rsid w:val="0015683A"/>
    <w:rsid w:val="001648C3"/>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023D"/>
    <w:rsid w:val="001D116B"/>
    <w:rsid w:val="001D2E66"/>
    <w:rsid w:val="001D7F95"/>
    <w:rsid w:val="001E0A2A"/>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17D4"/>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5707"/>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358B9"/>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1530"/>
    <w:rsid w:val="00495B5C"/>
    <w:rsid w:val="00496452"/>
    <w:rsid w:val="00497AE1"/>
    <w:rsid w:val="004A0B2F"/>
    <w:rsid w:val="004A0D08"/>
    <w:rsid w:val="004A182A"/>
    <w:rsid w:val="004A1834"/>
    <w:rsid w:val="004A31A0"/>
    <w:rsid w:val="004A5865"/>
    <w:rsid w:val="004B263A"/>
    <w:rsid w:val="004B3D8B"/>
    <w:rsid w:val="004B6693"/>
    <w:rsid w:val="004B7073"/>
    <w:rsid w:val="004B71DD"/>
    <w:rsid w:val="004C2B2B"/>
    <w:rsid w:val="004C33C2"/>
    <w:rsid w:val="004C5E25"/>
    <w:rsid w:val="004C65BB"/>
    <w:rsid w:val="004D6797"/>
    <w:rsid w:val="004D7696"/>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1912"/>
    <w:rsid w:val="00545288"/>
    <w:rsid w:val="005576E9"/>
    <w:rsid w:val="00561D17"/>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94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54A89"/>
    <w:rsid w:val="006633EA"/>
    <w:rsid w:val="00666445"/>
    <w:rsid w:val="006727AF"/>
    <w:rsid w:val="006819D0"/>
    <w:rsid w:val="006829B2"/>
    <w:rsid w:val="00686294"/>
    <w:rsid w:val="006878B4"/>
    <w:rsid w:val="00695153"/>
    <w:rsid w:val="006A1301"/>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7F625C"/>
    <w:rsid w:val="008016D1"/>
    <w:rsid w:val="0080187E"/>
    <w:rsid w:val="00803BE9"/>
    <w:rsid w:val="00812B21"/>
    <w:rsid w:val="00813FE1"/>
    <w:rsid w:val="00814493"/>
    <w:rsid w:val="00814E73"/>
    <w:rsid w:val="008171B7"/>
    <w:rsid w:val="00820B03"/>
    <w:rsid w:val="00821388"/>
    <w:rsid w:val="00822E73"/>
    <w:rsid w:val="00824DAD"/>
    <w:rsid w:val="00824DEF"/>
    <w:rsid w:val="008262AF"/>
    <w:rsid w:val="008419D9"/>
    <w:rsid w:val="0084289A"/>
    <w:rsid w:val="00856EF3"/>
    <w:rsid w:val="0086274F"/>
    <w:rsid w:val="00863AA4"/>
    <w:rsid w:val="00871D6D"/>
    <w:rsid w:val="00875863"/>
    <w:rsid w:val="008761FC"/>
    <w:rsid w:val="00882363"/>
    <w:rsid w:val="00892E01"/>
    <w:rsid w:val="008A2C17"/>
    <w:rsid w:val="008A3A39"/>
    <w:rsid w:val="008A5721"/>
    <w:rsid w:val="008B001D"/>
    <w:rsid w:val="008B0875"/>
    <w:rsid w:val="008B1645"/>
    <w:rsid w:val="008B3931"/>
    <w:rsid w:val="008C33B3"/>
    <w:rsid w:val="008C3761"/>
    <w:rsid w:val="008C6A9C"/>
    <w:rsid w:val="008D292D"/>
    <w:rsid w:val="008D3F77"/>
    <w:rsid w:val="008D6B19"/>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37DD2"/>
    <w:rsid w:val="0095406B"/>
    <w:rsid w:val="00956C40"/>
    <w:rsid w:val="00957449"/>
    <w:rsid w:val="00961E39"/>
    <w:rsid w:val="00965ACC"/>
    <w:rsid w:val="00966DC7"/>
    <w:rsid w:val="0098008C"/>
    <w:rsid w:val="00982034"/>
    <w:rsid w:val="00982B34"/>
    <w:rsid w:val="009842E6"/>
    <w:rsid w:val="00984E62"/>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4CCD"/>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04DC"/>
    <w:rsid w:val="00A94579"/>
    <w:rsid w:val="00A95818"/>
    <w:rsid w:val="00A9590E"/>
    <w:rsid w:val="00AA6452"/>
    <w:rsid w:val="00AA6802"/>
    <w:rsid w:val="00AB26B5"/>
    <w:rsid w:val="00AB38E2"/>
    <w:rsid w:val="00AB4BB0"/>
    <w:rsid w:val="00AB6F60"/>
    <w:rsid w:val="00AB7A69"/>
    <w:rsid w:val="00AC1691"/>
    <w:rsid w:val="00AC1CA8"/>
    <w:rsid w:val="00AC4C08"/>
    <w:rsid w:val="00AC7F91"/>
    <w:rsid w:val="00AD7A4B"/>
    <w:rsid w:val="00AE05B5"/>
    <w:rsid w:val="00AE1708"/>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304C"/>
    <w:rsid w:val="00B96E99"/>
    <w:rsid w:val="00BA1C72"/>
    <w:rsid w:val="00BA3538"/>
    <w:rsid w:val="00BA600A"/>
    <w:rsid w:val="00BA7E2B"/>
    <w:rsid w:val="00BB2E42"/>
    <w:rsid w:val="00BB5610"/>
    <w:rsid w:val="00BB7F7E"/>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2774"/>
    <w:rsid w:val="00C33322"/>
    <w:rsid w:val="00C3354D"/>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C7435"/>
    <w:rsid w:val="00CD2BE4"/>
    <w:rsid w:val="00CD5CC1"/>
    <w:rsid w:val="00CD6EC7"/>
    <w:rsid w:val="00CE087B"/>
    <w:rsid w:val="00CE31C8"/>
    <w:rsid w:val="00CE4330"/>
    <w:rsid w:val="00CE567F"/>
    <w:rsid w:val="00CE59E6"/>
    <w:rsid w:val="00CE7679"/>
    <w:rsid w:val="00CF277F"/>
    <w:rsid w:val="00CF4CBB"/>
    <w:rsid w:val="00CF74D3"/>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2D90"/>
    <w:rsid w:val="00D86B2E"/>
    <w:rsid w:val="00D901BD"/>
    <w:rsid w:val="00D91710"/>
    <w:rsid w:val="00D92975"/>
    <w:rsid w:val="00DA4CF4"/>
    <w:rsid w:val="00DB08D5"/>
    <w:rsid w:val="00DB3B2A"/>
    <w:rsid w:val="00DB6E09"/>
    <w:rsid w:val="00DB7B56"/>
    <w:rsid w:val="00DC253C"/>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1796B"/>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9F617"/>
  <w15:docId w15:val="{B7B9E204-2051-4E27-9505-04D8B371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C65BB"/>
    <w:pPr>
      <w:keepNext/>
      <w:keepLines/>
      <w:spacing w:after="60"/>
      <w:jc w:val="center"/>
      <w:outlineLvl w:val="0"/>
    </w:pPr>
    <w:rPr>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C65BB"/>
    <w:rPr>
      <w:rFonts w:ascii="Arial"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eastAsia="Times New Roman"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CC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573709609">
      <w:bodyDiv w:val="1"/>
      <w:marLeft w:val="0"/>
      <w:marRight w:val="0"/>
      <w:marTop w:val="0"/>
      <w:marBottom w:val="0"/>
      <w:divBdr>
        <w:top w:val="none" w:sz="0" w:space="0" w:color="auto"/>
        <w:left w:val="none" w:sz="0" w:space="0" w:color="auto"/>
        <w:bottom w:val="none" w:sz="0" w:space="0" w:color="auto"/>
        <w:right w:val="none" w:sz="0" w:space="0" w:color="auto"/>
      </w:divBdr>
    </w:div>
    <w:div w:id="783765023">
      <w:bodyDiv w:val="1"/>
      <w:marLeft w:val="0"/>
      <w:marRight w:val="0"/>
      <w:marTop w:val="0"/>
      <w:marBottom w:val="0"/>
      <w:divBdr>
        <w:top w:val="none" w:sz="0" w:space="0" w:color="auto"/>
        <w:left w:val="none" w:sz="0" w:space="0" w:color="auto"/>
        <w:bottom w:val="none" w:sz="0" w:space="0" w:color="auto"/>
        <w:right w:val="none" w:sz="0" w:space="0" w:color="auto"/>
      </w:divBdr>
    </w:div>
    <w:div w:id="1056859672">
      <w:bodyDiv w:val="1"/>
      <w:marLeft w:val="0"/>
      <w:marRight w:val="0"/>
      <w:marTop w:val="0"/>
      <w:marBottom w:val="0"/>
      <w:divBdr>
        <w:top w:val="none" w:sz="0" w:space="0" w:color="auto"/>
        <w:left w:val="none" w:sz="0" w:space="0" w:color="auto"/>
        <w:bottom w:val="none" w:sz="0" w:space="0" w:color="auto"/>
        <w:right w:val="none" w:sz="0" w:space="0" w:color="auto"/>
      </w:divBdr>
    </w:div>
    <w:div w:id="1349521824">
      <w:bodyDiv w:val="1"/>
      <w:marLeft w:val="0"/>
      <w:marRight w:val="0"/>
      <w:marTop w:val="0"/>
      <w:marBottom w:val="0"/>
      <w:divBdr>
        <w:top w:val="none" w:sz="0" w:space="0" w:color="auto"/>
        <w:left w:val="none" w:sz="0" w:space="0" w:color="auto"/>
        <w:bottom w:val="none" w:sz="0" w:space="0" w:color="auto"/>
        <w:right w:val="none" w:sz="0" w:space="0" w:color="auto"/>
      </w:divBdr>
    </w:div>
    <w:div w:id="1849326887">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26941\Downloads\CIL%20DB%20FORMATTING%20TEMPLATE%20(4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AACD1-395C-4C24-B333-0001A164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(45)</Template>
  <TotalTime>1</TotalTime>
  <Pages>7</Pages>
  <Words>2530</Words>
  <Characters>12148</Characters>
  <Application>Microsoft Office Word</Application>
  <DocSecurity>0</DocSecurity>
  <Lines>213</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14583</CharactersWithSpaces>
  <SharedDoc>false</SharedDoc>
  <HLinks>
    <vt:vector size="132" baseType="variant">
      <vt:variant>
        <vt:i4>1835064</vt:i4>
      </vt:variant>
      <vt:variant>
        <vt:i4>116</vt:i4>
      </vt:variant>
      <vt:variant>
        <vt:i4>0</vt:i4>
      </vt:variant>
      <vt:variant>
        <vt:i4>5</vt:i4>
      </vt:variant>
      <vt:variant>
        <vt:lpwstr/>
      </vt:variant>
      <vt:variant>
        <vt:lpwstr>_Toc486426811</vt:lpwstr>
      </vt:variant>
      <vt:variant>
        <vt:i4>1835064</vt:i4>
      </vt:variant>
      <vt:variant>
        <vt:i4>110</vt:i4>
      </vt:variant>
      <vt:variant>
        <vt:i4>0</vt:i4>
      </vt:variant>
      <vt:variant>
        <vt:i4>5</vt:i4>
      </vt:variant>
      <vt:variant>
        <vt:lpwstr/>
      </vt:variant>
      <vt:variant>
        <vt:lpwstr>_Toc486426810</vt:lpwstr>
      </vt:variant>
      <vt:variant>
        <vt:i4>1900600</vt:i4>
      </vt:variant>
      <vt:variant>
        <vt:i4>104</vt:i4>
      </vt:variant>
      <vt:variant>
        <vt:i4>0</vt:i4>
      </vt:variant>
      <vt:variant>
        <vt:i4>5</vt:i4>
      </vt:variant>
      <vt:variant>
        <vt:lpwstr/>
      </vt:variant>
      <vt:variant>
        <vt:lpwstr>_Toc486426809</vt:lpwstr>
      </vt:variant>
      <vt:variant>
        <vt:i4>1900600</vt:i4>
      </vt:variant>
      <vt:variant>
        <vt:i4>98</vt:i4>
      </vt:variant>
      <vt:variant>
        <vt:i4>0</vt:i4>
      </vt:variant>
      <vt:variant>
        <vt:i4>5</vt:i4>
      </vt:variant>
      <vt:variant>
        <vt:lpwstr/>
      </vt:variant>
      <vt:variant>
        <vt:lpwstr>_Toc486426808</vt:lpwstr>
      </vt:variant>
      <vt:variant>
        <vt:i4>1900600</vt:i4>
      </vt:variant>
      <vt:variant>
        <vt:i4>92</vt:i4>
      </vt:variant>
      <vt:variant>
        <vt:i4>0</vt:i4>
      </vt:variant>
      <vt:variant>
        <vt:i4>5</vt:i4>
      </vt:variant>
      <vt:variant>
        <vt:lpwstr/>
      </vt:variant>
      <vt:variant>
        <vt:lpwstr>_Toc486426807</vt:lpwstr>
      </vt:variant>
      <vt:variant>
        <vt:i4>1900600</vt:i4>
      </vt:variant>
      <vt:variant>
        <vt:i4>86</vt:i4>
      </vt:variant>
      <vt:variant>
        <vt:i4>0</vt:i4>
      </vt:variant>
      <vt:variant>
        <vt:i4>5</vt:i4>
      </vt:variant>
      <vt:variant>
        <vt:lpwstr/>
      </vt:variant>
      <vt:variant>
        <vt:lpwstr>_Toc486426806</vt:lpwstr>
      </vt:variant>
      <vt:variant>
        <vt:i4>1900600</vt:i4>
      </vt:variant>
      <vt:variant>
        <vt:i4>80</vt:i4>
      </vt:variant>
      <vt:variant>
        <vt:i4>0</vt:i4>
      </vt:variant>
      <vt:variant>
        <vt:i4>5</vt:i4>
      </vt:variant>
      <vt:variant>
        <vt:lpwstr/>
      </vt:variant>
      <vt:variant>
        <vt:lpwstr>_Toc486426805</vt:lpwstr>
      </vt:variant>
      <vt:variant>
        <vt:i4>1900600</vt:i4>
      </vt:variant>
      <vt:variant>
        <vt:i4>74</vt:i4>
      </vt:variant>
      <vt:variant>
        <vt:i4>0</vt:i4>
      </vt:variant>
      <vt:variant>
        <vt:i4>5</vt:i4>
      </vt:variant>
      <vt:variant>
        <vt:lpwstr/>
      </vt:variant>
      <vt:variant>
        <vt:lpwstr>_Toc486426804</vt:lpwstr>
      </vt:variant>
      <vt:variant>
        <vt:i4>1900600</vt:i4>
      </vt:variant>
      <vt:variant>
        <vt:i4>68</vt:i4>
      </vt:variant>
      <vt:variant>
        <vt:i4>0</vt:i4>
      </vt:variant>
      <vt:variant>
        <vt:i4>5</vt:i4>
      </vt:variant>
      <vt:variant>
        <vt:lpwstr/>
      </vt:variant>
      <vt:variant>
        <vt:lpwstr>_Toc486426803</vt:lpwstr>
      </vt:variant>
      <vt:variant>
        <vt:i4>1900600</vt:i4>
      </vt:variant>
      <vt:variant>
        <vt:i4>62</vt:i4>
      </vt:variant>
      <vt:variant>
        <vt:i4>0</vt:i4>
      </vt:variant>
      <vt:variant>
        <vt:i4>5</vt:i4>
      </vt:variant>
      <vt:variant>
        <vt:lpwstr/>
      </vt:variant>
      <vt:variant>
        <vt:lpwstr>_Toc486426802</vt:lpwstr>
      </vt:variant>
      <vt:variant>
        <vt:i4>1900600</vt:i4>
      </vt:variant>
      <vt:variant>
        <vt:i4>56</vt:i4>
      </vt:variant>
      <vt:variant>
        <vt:i4>0</vt:i4>
      </vt:variant>
      <vt:variant>
        <vt:i4>5</vt:i4>
      </vt:variant>
      <vt:variant>
        <vt:lpwstr/>
      </vt:variant>
      <vt:variant>
        <vt:lpwstr>_Toc486426801</vt:lpwstr>
      </vt:variant>
      <vt:variant>
        <vt:i4>1900600</vt:i4>
      </vt:variant>
      <vt:variant>
        <vt:i4>50</vt:i4>
      </vt:variant>
      <vt:variant>
        <vt:i4>0</vt:i4>
      </vt:variant>
      <vt:variant>
        <vt:i4>5</vt:i4>
      </vt:variant>
      <vt:variant>
        <vt:lpwstr/>
      </vt:variant>
      <vt:variant>
        <vt:lpwstr>_Toc486426800</vt:lpwstr>
      </vt:variant>
      <vt:variant>
        <vt:i4>1310775</vt:i4>
      </vt:variant>
      <vt:variant>
        <vt:i4>44</vt:i4>
      </vt:variant>
      <vt:variant>
        <vt:i4>0</vt:i4>
      </vt:variant>
      <vt:variant>
        <vt:i4>5</vt:i4>
      </vt:variant>
      <vt:variant>
        <vt:lpwstr/>
      </vt:variant>
      <vt:variant>
        <vt:lpwstr>_Toc486426799</vt:lpwstr>
      </vt:variant>
      <vt:variant>
        <vt:i4>1310775</vt:i4>
      </vt:variant>
      <vt:variant>
        <vt:i4>38</vt:i4>
      </vt:variant>
      <vt:variant>
        <vt:i4>0</vt:i4>
      </vt:variant>
      <vt:variant>
        <vt:i4>5</vt:i4>
      </vt:variant>
      <vt:variant>
        <vt:lpwstr/>
      </vt:variant>
      <vt:variant>
        <vt:lpwstr>_Toc486426798</vt:lpwstr>
      </vt:variant>
      <vt:variant>
        <vt:i4>1310775</vt:i4>
      </vt:variant>
      <vt:variant>
        <vt:i4>32</vt:i4>
      </vt:variant>
      <vt:variant>
        <vt:i4>0</vt:i4>
      </vt:variant>
      <vt:variant>
        <vt:i4>5</vt:i4>
      </vt:variant>
      <vt:variant>
        <vt:lpwstr/>
      </vt:variant>
      <vt:variant>
        <vt:lpwstr>_Toc486426797</vt:lpwstr>
      </vt:variant>
      <vt:variant>
        <vt:i4>1310775</vt:i4>
      </vt:variant>
      <vt:variant>
        <vt:i4>26</vt:i4>
      </vt:variant>
      <vt:variant>
        <vt:i4>0</vt:i4>
      </vt:variant>
      <vt:variant>
        <vt:i4>5</vt:i4>
      </vt:variant>
      <vt:variant>
        <vt:lpwstr/>
      </vt:variant>
      <vt:variant>
        <vt:lpwstr>_Toc486426796</vt:lpwstr>
      </vt:variant>
      <vt:variant>
        <vt:i4>1310775</vt:i4>
      </vt:variant>
      <vt:variant>
        <vt:i4>20</vt:i4>
      </vt:variant>
      <vt:variant>
        <vt:i4>0</vt:i4>
      </vt:variant>
      <vt:variant>
        <vt:i4>5</vt:i4>
      </vt:variant>
      <vt:variant>
        <vt:lpwstr/>
      </vt:variant>
      <vt:variant>
        <vt:lpwstr>_Toc486426795</vt:lpwstr>
      </vt:variant>
      <vt:variant>
        <vt:i4>1310775</vt:i4>
      </vt:variant>
      <vt:variant>
        <vt:i4>14</vt:i4>
      </vt:variant>
      <vt:variant>
        <vt:i4>0</vt:i4>
      </vt:variant>
      <vt:variant>
        <vt:i4>5</vt:i4>
      </vt:variant>
      <vt:variant>
        <vt:lpwstr/>
      </vt:variant>
      <vt:variant>
        <vt:lpwstr>_Toc486426794</vt:lpwstr>
      </vt:variant>
      <vt:variant>
        <vt:i4>1310775</vt:i4>
      </vt:variant>
      <vt:variant>
        <vt:i4>8</vt:i4>
      </vt:variant>
      <vt:variant>
        <vt:i4>0</vt:i4>
      </vt:variant>
      <vt:variant>
        <vt:i4>5</vt:i4>
      </vt:variant>
      <vt:variant>
        <vt:lpwstr/>
      </vt:variant>
      <vt:variant>
        <vt:lpwstr>_Toc486426793</vt:lpwstr>
      </vt:variant>
      <vt:variant>
        <vt:i4>1310775</vt:i4>
      </vt:variant>
      <vt:variant>
        <vt:i4>2</vt:i4>
      </vt:variant>
      <vt:variant>
        <vt:i4>0</vt:i4>
      </vt:variant>
      <vt:variant>
        <vt:i4>5</vt:i4>
      </vt:variant>
      <vt:variant>
        <vt:lpwstr/>
      </vt:variant>
      <vt:variant>
        <vt:lpwstr>_Toc486426792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Sia Wei Jiun, Ivan</cp:lastModifiedBy>
  <cp:revision>5</cp:revision>
  <cp:lastPrinted>2021-08-24T03:40:00Z</cp:lastPrinted>
  <dcterms:created xsi:type="dcterms:W3CDTF">2021-08-24T03:39:00Z</dcterms:created>
  <dcterms:modified xsi:type="dcterms:W3CDTF">2021-08-24T03:40:00Z</dcterms:modified>
</cp:coreProperties>
</file>