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D242" w14:textId="77777777" w:rsidR="00F61B4F" w:rsidRDefault="0098712D" w:rsidP="00907D14">
      <w:pPr>
        <w:pStyle w:val="CILTitle"/>
      </w:pPr>
      <w:r>
        <w:t>2011 Guidelines on the Use of the ASEAN Flag</w:t>
      </w:r>
    </w:p>
    <w:p w14:paraId="550CFD8D" w14:textId="77777777" w:rsidR="0098712D" w:rsidRDefault="0098712D" w:rsidP="00907D14">
      <w:pPr>
        <w:pStyle w:val="CILSubtitle"/>
      </w:pPr>
      <w:r>
        <w:t>Adopted in Jakarta, Indonesia on 6 May 2011</w:t>
      </w:r>
    </w:p>
    <w:p w14:paraId="6E67E050" w14:textId="77777777" w:rsidR="0098712D" w:rsidRDefault="0098712D" w:rsidP="00907D14"/>
    <w:p w14:paraId="221551F4" w14:textId="77777777" w:rsidR="00491B2C" w:rsidRPr="006F1F07" w:rsidRDefault="00907D14">
      <w:pPr>
        <w:pStyle w:val="TOC1"/>
        <w:tabs>
          <w:tab w:val="left" w:pos="567"/>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4556882" w:history="1">
        <w:r w:rsidR="00491B2C" w:rsidRPr="000E2D96">
          <w:rPr>
            <w:rStyle w:val="Hyperlink"/>
            <w:noProof/>
          </w:rPr>
          <w:t>A.</w:t>
        </w:r>
        <w:r w:rsidR="00491B2C" w:rsidRPr="006F1F07">
          <w:rPr>
            <w:rFonts w:ascii="Calibri" w:eastAsia="Times New Roman" w:hAnsi="Calibri"/>
            <w:caps w:val="0"/>
            <w:noProof/>
            <w:sz w:val="22"/>
            <w:szCs w:val="22"/>
          </w:rPr>
          <w:tab/>
        </w:r>
        <w:r w:rsidR="00491B2C" w:rsidRPr="000E2D96">
          <w:rPr>
            <w:rStyle w:val="Hyperlink"/>
            <w:noProof/>
          </w:rPr>
          <w:t>Dignity of the ASEAN Flag</w:t>
        </w:r>
        <w:r w:rsidR="00491B2C">
          <w:rPr>
            <w:noProof/>
            <w:webHidden/>
          </w:rPr>
          <w:tab/>
        </w:r>
        <w:r w:rsidR="00491B2C">
          <w:rPr>
            <w:noProof/>
            <w:webHidden/>
          </w:rPr>
          <w:fldChar w:fldCharType="begin"/>
        </w:r>
        <w:r w:rsidR="00491B2C">
          <w:rPr>
            <w:noProof/>
            <w:webHidden/>
          </w:rPr>
          <w:instrText xml:space="preserve"> PAGEREF _Toc464556882 \h </w:instrText>
        </w:r>
        <w:r w:rsidR="00491B2C">
          <w:rPr>
            <w:noProof/>
            <w:webHidden/>
          </w:rPr>
        </w:r>
        <w:r w:rsidR="00491B2C">
          <w:rPr>
            <w:noProof/>
            <w:webHidden/>
          </w:rPr>
          <w:fldChar w:fldCharType="separate"/>
        </w:r>
        <w:r w:rsidR="00491B2C">
          <w:rPr>
            <w:noProof/>
            <w:webHidden/>
          </w:rPr>
          <w:t>2</w:t>
        </w:r>
        <w:r w:rsidR="00491B2C">
          <w:rPr>
            <w:noProof/>
            <w:webHidden/>
          </w:rPr>
          <w:fldChar w:fldCharType="end"/>
        </w:r>
      </w:hyperlink>
    </w:p>
    <w:p w14:paraId="26F5BEE8" w14:textId="77777777" w:rsidR="00491B2C" w:rsidRPr="006F1F07" w:rsidRDefault="003414CE">
      <w:pPr>
        <w:pStyle w:val="TOC1"/>
        <w:tabs>
          <w:tab w:val="left" w:pos="567"/>
          <w:tab w:val="right" w:leader="dot" w:pos="9017"/>
        </w:tabs>
        <w:rPr>
          <w:rFonts w:ascii="Calibri" w:eastAsia="Times New Roman" w:hAnsi="Calibri"/>
          <w:caps w:val="0"/>
          <w:noProof/>
          <w:sz w:val="22"/>
          <w:szCs w:val="22"/>
        </w:rPr>
      </w:pPr>
      <w:hyperlink w:anchor="_Toc464556883" w:history="1">
        <w:r w:rsidR="00491B2C" w:rsidRPr="000E2D96">
          <w:rPr>
            <w:rStyle w:val="Hyperlink"/>
            <w:noProof/>
          </w:rPr>
          <w:t>B.</w:t>
        </w:r>
        <w:r w:rsidR="00491B2C" w:rsidRPr="006F1F07">
          <w:rPr>
            <w:rFonts w:ascii="Calibri" w:eastAsia="Times New Roman" w:hAnsi="Calibri"/>
            <w:caps w:val="0"/>
            <w:noProof/>
            <w:sz w:val="22"/>
            <w:szCs w:val="22"/>
          </w:rPr>
          <w:tab/>
        </w:r>
        <w:r w:rsidR="00491B2C" w:rsidRPr="000E2D96">
          <w:rPr>
            <w:rStyle w:val="Hyperlink"/>
            <w:noProof/>
          </w:rPr>
          <w:t>Use of the ASEAN Flag</w:t>
        </w:r>
        <w:r w:rsidR="00491B2C">
          <w:rPr>
            <w:noProof/>
            <w:webHidden/>
          </w:rPr>
          <w:tab/>
        </w:r>
        <w:r w:rsidR="00491B2C">
          <w:rPr>
            <w:noProof/>
            <w:webHidden/>
          </w:rPr>
          <w:fldChar w:fldCharType="begin"/>
        </w:r>
        <w:r w:rsidR="00491B2C">
          <w:rPr>
            <w:noProof/>
            <w:webHidden/>
          </w:rPr>
          <w:instrText xml:space="preserve"> PAGEREF _Toc464556883 \h </w:instrText>
        </w:r>
        <w:r w:rsidR="00491B2C">
          <w:rPr>
            <w:noProof/>
            <w:webHidden/>
          </w:rPr>
        </w:r>
        <w:r w:rsidR="00491B2C">
          <w:rPr>
            <w:noProof/>
            <w:webHidden/>
          </w:rPr>
          <w:fldChar w:fldCharType="separate"/>
        </w:r>
        <w:r w:rsidR="00491B2C">
          <w:rPr>
            <w:noProof/>
            <w:webHidden/>
          </w:rPr>
          <w:t>2</w:t>
        </w:r>
        <w:r w:rsidR="00491B2C">
          <w:rPr>
            <w:noProof/>
            <w:webHidden/>
          </w:rPr>
          <w:fldChar w:fldCharType="end"/>
        </w:r>
      </w:hyperlink>
    </w:p>
    <w:p w14:paraId="3CA985C6"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84" w:history="1">
        <w:r w:rsidR="00491B2C" w:rsidRPr="000E2D96">
          <w:rPr>
            <w:rStyle w:val="Hyperlink"/>
            <w:noProof/>
          </w:rPr>
          <w:t>B.1. Use of the ASEAN Flag by ASEAN Member States</w:t>
        </w:r>
        <w:r w:rsidR="00491B2C">
          <w:rPr>
            <w:noProof/>
            <w:webHidden/>
          </w:rPr>
          <w:tab/>
        </w:r>
        <w:r w:rsidR="00491B2C">
          <w:rPr>
            <w:noProof/>
            <w:webHidden/>
          </w:rPr>
          <w:fldChar w:fldCharType="begin"/>
        </w:r>
        <w:r w:rsidR="00491B2C">
          <w:rPr>
            <w:noProof/>
            <w:webHidden/>
          </w:rPr>
          <w:instrText xml:space="preserve"> PAGEREF _Toc464556884 \h </w:instrText>
        </w:r>
        <w:r w:rsidR="00491B2C">
          <w:rPr>
            <w:noProof/>
            <w:webHidden/>
          </w:rPr>
        </w:r>
        <w:r w:rsidR="00491B2C">
          <w:rPr>
            <w:noProof/>
            <w:webHidden/>
          </w:rPr>
          <w:fldChar w:fldCharType="separate"/>
        </w:r>
        <w:r w:rsidR="00491B2C">
          <w:rPr>
            <w:noProof/>
            <w:webHidden/>
          </w:rPr>
          <w:t>2</w:t>
        </w:r>
        <w:r w:rsidR="00491B2C">
          <w:rPr>
            <w:noProof/>
            <w:webHidden/>
          </w:rPr>
          <w:fldChar w:fldCharType="end"/>
        </w:r>
      </w:hyperlink>
    </w:p>
    <w:p w14:paraId="4E7DDF4F"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85" w:history="1">
        <w:r w:rsidR="00491B2C" w:rsidRPr="000E2D96">
          <w:rPr>
            <w:rStyle w:val="Hyperlink"/>
            <w:noProof/>
          </w:rPr>
          <w:t>B.2. Use of the ASEAN Flag by the ASEAN Secretariat</w:t>
        </w:r>
        <w:r w:rsidR="00491B2C">
          <w:rPr>
            <w:noProof/>
            <w:webHidden/>
          </w:rPr>
          <w:tab/>
        </w:r>
        <w:r w:rsidR="00491B2C">
          <w:rPr>
            <w:noProof/>
            <w:webHidden/>
          </w:rPr>
          <w:fldChar w:fldCharType="begin"/>
        </w:r>
        <w:r w:rsidR="00491B2C">
          <w:rPr>
            <w:noProof/>
            <w:webHidden/>
          </w:rPr>
          <w:instrText xml:space="preserve"> PAGEREF _Toc464556885 \h </w:instrText>
        </w:r>
        <w:r w:rsidR="00491B2C">
          <w:rPr>
            <w:noProof/>
            <w:webHidden/>
          </w:rPr>
        </w:r>
        <w:r w:rsidR="00491B2C">
          <w:rPr>
            <w:noProof/>
            <w:webHidden/>
          </w:rPr>
          <w:fldChar w:fldCharType="separate"/>
        </w:r>
        <w:r w:rsidR="00491B2C">
          <w:rPr>
            <w:noProof/>
            <w:webHidden/>
          </w:rPr>
          <w:t>3</w:t>
        </w:r>
        <w:r w:rsidR="00491B2C">
          <w:rPr>
            <w:noProof/>
            <w:webHidden/>
          </w:rPr>
          <w:fldChar w:fldCharType="end"/>
        </w:r>
      </w:hyperlink>
    </w:p>
    <w:p w14:paraId="4DECC67F"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86" w:history="1">
        <w:r w:rsidR="00491B2C" w:rsidRPr="000E2D96">
          <w:rPr>
            <w:rStyle w:val="Hyperlink"/>
            <w:noProof/>
          </w:rPr>
          <w:t>B.3. Use of the ASEAN Flag by ASEAN Committees in Third Countries</w:t>
        </w:r>
        <w:r w:rsidR="00491B2C">
          <w:rPr>
            <w:noProof/>
            <w:webHidden/>
          </w:rPr>
          <w:tab/>
        </w:r>
        <w:r w:rsidR="00491B2C">
          <w:rPr>
            <w:noProof/>
            <w:webHidden/>
          </w:rPr>
          <w:fldChar w:fldCharType="begin"/>
        </w:r>
        <w:r w:rsidR="00491B2C">
          <w:rPr>
            <w:noProof/>
            <w:webHidden/>
          </w:rPr>
          <w:instrText xml:space="preserve"> PAGEREF _Toc464556886 \h </w:instrText>
        </w:r>
        <w:r w:rsidR="00491B2C">
          <w:rPr>
            <w:noProof/>
            <w:webHidden/>
          </w:rPr>
        </w:r>
        <w:r w:rsidR="00491B2C">
          <w:rPr>
            <w:noProof/>
            <w:webHidden/>
          </w:rPr>
          <w:fldChar w:fldCharType="separate"/>
        </w:r>
        <w:r w:rsidR="00491B2C">
          <w:rPr>
            <w:noProof/>
            <w:webHidden/>
          </w:rPr>
          <w:t>3</w:t>
        </w:r>
        <w:r w:rsidR="00491B2C">
          <w:rPr>
            <w:noProof/>
            <w:webHidden/>
          </w:rPr>
          <w:fldChar w:fldCharType="end"/>
        </w:r>
      </w:hyperlink>
    </w:p>
    <w:p w14:paraId="0F87C617"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87" w:history="1">
        <w:r w:rsidR="00491B2C" w:rsidRPr="000E2D96">
          <w:rPr>
            <w:rStyle w:val="Hyperlink"/>
            <w:noProof/>
          </w:rPr>
          <w:t>B.4. Use of the ASEAN Flag by ASEAN institutions</w:t>
        </w:r>
        <w:r w:rsidR="00491B2C">
          <w:rPr>
            <w:noProof/>
            <w:webHidden/>
          </w:rPr>
          <w:tab/>
        </w:r>
        <w:r w:rsidR="00491B2C">
          <w:rPr>
            <w:noProof/>
            <w:webHidden/>
          </w:rPr>
          <w:fldChar w:fldCharType="begin"/>
        </w:r>
        <w:r w:rsidR="00491B2C">
          <w:rPr>
            <w:noProof/>
            <w:webHidden/>
          </w:rPr>
          <w:instrText xml:space="preserve"> PAGEREF _Toc464556887 \h </w:instrText>
        </w:r>
        <w:r w:rsidR="00491B2C">
          <w:rPr>
            <w:noProof/>
            <w:webHidden/>
          </w:rPr>
        </w:r>
        <w:r w:rsidR="00491B2C">
          <w:rPr>
            <w:noProof/>
            <w:webHidden/>
          </w:rPr>
          <w:fldChar w:fldCharType="separate"/>
        </w:r>
        <w:r w:rsidR="00491B2C">
          <w:rPr>
            <w:noProof/>
            <w:webHidden/>
          </w:rPr>
          <w:t>3</w:t>
        </w:r>
        <w:r w:rsidR="00491B2C">
          <w:rPr>
            <w:noProof/>
            <w:webHidden/>
          </w:rPr>
          <w:fldChar w:fldCharType="end"/>
        </w:r>
      </w:hyperlink>
    </w:p>
    <w:p w14:paraId="66C70C90"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88" w:history="1">
        <w:r w:rsidR="00491B2C" w:rsidRPr="000E2D96">
          <w:rPr>
            <w:rStyle w:val="Hyperlink"/>
            <w:noProof/>
          </w:rPr>
          <w:t>B.5. Use of the ASEAN Flag by Countries, International Organisations and Entities Associated with ASEAN</w:t>
        </w:r>
        <w:r w:rsidR="00491B2C">
          <w:rPr>
            <w:noProof/>
            <w:webHidden/>
          </w:rPr>
          <w:tab/>
        </w:r>
        <w:r w:rsidR="00491B2C">
          <w:rPr>
            <w:noProof/>
            <w:webHidden/>
          </w:rPr>
          <w:fldChar w:fldCharType="begin"/>
        </w:r>
        <w:r w:rsidR="00491B2C">
          <w:rPr>
            <w:noProof/>
            <w:webHidden/>
          </w:rPr>
          <w:instrText xml:space="preserve"> PAGEREF _Toc464556888 \h </w:instrText>
        </w:r>
        <w:r w:rsidR="00491B2C">
          <w:rPr>
            <w:noProof/>
            <w:webHidden/>
          </w:rPr>
        </w:r>
        <w:r w:rsidR="00491B2C">
          <w:rPr>
            <w:noProof/>
            <w:webHidden/>
          </w:rPr>
          <w:fldChar w:fldCharType="separate"/>
        </w:r>
        <w:r w:rsidR="00491B2C">
          <w:rPr>
            <w:noProof/>
            <w:webHidden/>
          </w:rPr>
          <w:t>4</w:t>
        </w:r>
        <w:r w:rsidR="00491B2C">
          <w:rPr>
            <w:noProof/>
            <w:webHidden/>
          </w:rPr>
          <w:fldChar w:fldCharType="end"/>
        </w:r>
      </w:hyperlink>
    </w:p>
    <w:p w14:paraId="7D39D098"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89" w:history="1">
        <w:r w:rsidR="00491B2C" w:rsidRPr="000E2D96">
          <w:rPr>
            <w:rStyle w:val="Hyperlink"/>
            <w:noProof/>
          </w:rPr>
          <w:t>B.6. Use of the ASEAN Flag in Mourning</w:t>
        </w:r>
        <w:r w:rsidR="00491B2C">
          <w:rPr>
            <w:noProof/>
            <w:webHidden/>
          </w:rPr>
          <w:tab/>
        </w:r>
        <w:r w:rsidR="00491B2C">
          <w:rPr>
            <w:noProof/>
            <w:webHidden/>
          </w:rPr>
          <w:fldChar w:fldCharType="begin"/>
        </w:r>
        <w:r w:rsidR="00491B2C">
          <w:rPr>
            <w:noProof/>
            <w:webHidden/>
          </w:rPr>
          <w:instrText xml:space="preserve"> PAGEREF _Toc464556889 \h </w:instrText>
        </w:r>
        <w:r w:rsidR="00491B2C">
          <w:rPr>
            <w:noProof/>
            <w:webHidden/>
          </w:rPr>
        </w:r>
        <w:r w:rsidR="00491B2C">
          <w:rPr>
            <w:noProof/>
            <w:webHidden/>
          </w:rPr>
          <w:fldChar w:fldCharType="separate"/>
        </w:r>
        <w:r w:rsidR="00491B2C">
          <w:rPr>
            <w:noProof/>
            <w:webHidden/>
          </w:rPr>
          <w:t>4</w:t>
        </w:r>
        <w:r w:rsidR="00491B2C">
          <w:rPr>
            <w:noProof/>
            <w:webHidden/>
          </w:rPr>
          <w:fldChar w:fldCharType="end"/>
        </w:r>
      </w:hyperlink>
    </w:p>
    <w:p w14:paraId="2E0440B8" w14:textId="77777777" w:rsidR="00491B2C" w:rsidRPr="006F1F07" w:rsidRDefault="003414CE">
      <w:pPr>
        <w:pStyle w:val="TOC1"/>
        <w:tabs>
          <w:tab w:val="left" w:pos="567"/>
          <w:tab w:val="right" w:leader="dot" w:pos="9017"/>
        </w:tabs>
        <w:rPr>
          <w:rFonts w:ascii="Calibri" w:eastAsia="Times New Roman" w:hAnsi="Calibri"/>
          <w:caps w:val="0"/>
          <w:noProof/>
          <w:sz w:val="22"/>
          <w:szCs w:val="22"/>
        </w:rPr>
      </w:pPr>
      <w:hyperlink w:anchor="_Toc464556890" w:history="1">
        <w:r w:rsidR="00491B2C" w:rsidRPr="000E2D96">
          <w:rPr>
            <w:rStyle w:val="Hyperlink"/>
            <w:noProof/>
          </w:rPr>
          <w:t>C.</w:t>
        </w:r>
        <w:r w:rsidR="00491B2C" w:rsidRPr="006F1F07">
          <w:rPr>
            <w:rFonts w:ascii="Calibri" w:eastAsia="Times New Roman" w:hAnsi="Calibri"/>
            <w:caps w:val="0"/>
            <w:noProof/>
            <w:sz w:val="22"/>
            <w:szCs w:val="22"/>
          </w:rPr>
          <w:tab/>
        </w:r>
        <w:r w:rsidR="00491B2C" w:rsidRPr="000E2D96">
          <w:rPr>
            <w:rStyle w:val="Hyperlink"/>
            <w:noProof/>
          </w:rPr>
          <w:t>Position of ASEAN Flag in the Flag Arrangements for ASEAN Meetings</w:t>
        </w:r>
        <w:r w:rsidR="00491B2C">
          <w:rPr>
            <w:noProof/>
            <w:webHidden/>
          </w:rPr>
          <w:tab/>
        </w:r>
        <w:r w:rsidR="00491B2C">
          <w:rPr>
            <w:noProof/>
            <w:webHidden/>
          </w:rPr>
          <w:fldChar w:fldCharType="begin"/>
        </w:r>
        <w:r w:rsidR="00491B2C">
          <w:rPr>
            <w:noProof/>
            <w:webHidden/>
          </w:rPr>
          <w:instrText xml:space="preserve"> PAGEREF _Toc464556890 \h </w:instrText>
        </w:r>
        <w:r w:rsidR="00491B2C">
          <w:rPr>
            <w:noProof/>
            <w:webHidden/>
          </w:rPr>
        </w:r>
        <w:r w:rsidR="00491B2C">
          <w:rPr>
            <w:noProof/>
            <w:webHidden/>
          </w:rPr>
          <w:fldChar w:fldCharType="separate"/>
        </w:r>
        <w:r w:rsidR="00491B2C">
          <w:rPr>
            <w:noProof/>
            <w:webHidden/>
          </w:rPr>
          <w:t>4</w:t>
        </w:r>
        <w:r w:rsidR="00491B2C">
          <w:rPr>
            <w:noProof/>
            <w:webHidden/>
          </w:rPr>
          <w:fldChar w:fldCharType="end"/>
        </w:r>
      </w:hyperlink>
    </w:p>
    <w:p w14:paraId="7433A317" w14:textId="77777777" w:rsidR="00491B2C" w:rsidRPr="006F1F07" w:rsidRDefault="003414CE">
      <w:pPr>
        <w:pStyle w:val="TOC1"/>
        <w:tabs>
          <w:tab w:val="left" w:pos="567"/>
          <w:tab w:val="right" w:leader="dot" w:pos="9017"/>
        </w:tabs>
        <w:rPr>
          <w:rFonts w:ascii="Calibri" w:eastAsia="Times New Roman" w:hAnsi="Calibri"/>
          <w:caps w:val="0"/>
          <w:noProof/>
          <w:sz w:val="22"/>
          <w:szCs w:val="22"/>
        </w:rPr>
      </w:pPr>
      <w:hyperlink w:anchor="_Toc464556891" w:history="1">
        <w:r w:rsidR="00491B2C" w:rsidRPr="000E2D96">
          <w:rPr>
            <w:rStyle w:val="Hyperlink"/>
            <w:noProof/>
          </w:rPr>
          <w:t>D.</w:t>
        </w:r>
        <w:r w:rsidR="00491B2C" w:rsidRPr="006F1F07">
          <w:rPr>
            <w:rFonts w:ascii="Calibri" w:eastAsia="Times New Roman" w:hAnsi="Calibri"/>
            <w:caps w:val="0"/>
            <w:noProof/>
            <w:sz w:val="22"/>
            <w:szCs w:val="22"/>
          </w:rPr>
          <w:tab/>
        </w:r>
        <w:r w:rsidR="00491B2C" w:rsidRPr="000E2D96">
          <w:rPr>
            <w:rStyle w:val="Hyperlink"/>
            <w:noProof/>
          </w:rPr>
          <w:t>Disposal of Worn Flag</w:t>
        </w:r>
        <w:r w:rsidR="00491B2C">
          <w:rPr>
            <w:noProof/>
            <w:webHidden/>
          </w:rPr>
          <w:tab/>
        </w:r>
        <w:r w:rsidR="00491B2C">
          <w:rPr>
            <w:noProof/>
            <w:webHidden/>
          </w:rPr>
          <w:fldChar w:fldCharType="begin"/>
        </w:r>
        <w:r w:rsidR="00491B2C">
          <w:rPr>
            <w:noProof/>
            <w:webHidden/>
          </w:rPr>
          <w:instrText xml:space="preserve"> PAGEREF _Toc464556891 \h </w:instrText>
        </w:r>
        <w:r w:rsidR="00491B2C">
          <w:rPr>
            <w:noProof/>
            <w:webHidden/>
          </w:rPr>
        </w:r>
        <w:r w:rsidR="00491B2C">
          <w:rPr>
            <w:noProof/>
            <w:webHidden/>
          </w:rPr>
          <w:fldChar w:fldCharType="separate"/>
        </w:r>
        <w:r w:rsidR="00491B2C">
          <w:rPr>
            <w:noProof/>
            <w:webHidden/>
          </w:rPr>
          <w:t>5</w:t>
        </w:r>
        <w:r w:rsidR="00491B2C">
          <w:rPr>
            <w:noProof/>
            <w:webHidden/>
          </w:rPr>
          <w:fldChar w:fldCharType="end"/>
        </w:r>
      </w:hyperlink>
    </w:p>
    <w:p w14:paraId="7C0497CC" w14:textId="77777777" w:rsidR="00491B2C" w:rsidRPr="006F1F07" w:rsidRDefault="003414CE">
      <w:pPr>
        <w:pStyle w:val="TOC1"/>
        <w:tabs>
          <w:tab w:val="left" w:pos="567"/>
          <w:tab w:val="right" w:leader="dot" w:pos="9017"/>
        </w:tabs>
        <w:rPr>
          <w:rFonts w:ascii="Calibri" w:eastAsia="Times New Roman" w:hAnsi="Calibri"/>
          <w:caps w:val="0"/>
          <w:noProof/>
          <w:sz w:val="22"/>
          <w:szCs w:val="22"/>
        </w:rPr>
      </w:pPr>
      <w:hyperlink w:anchor="_Toc464556892" w:history="1">
        <w:r w:rsidR="00491B2C" w:rsidRPr="000E2D96">
          <w:rPr>
            <w:rStyle w:val="Hyperlink"/>
            <w:noProof/>
          </w:rPr>
          <w:t>E.</w:t>
        </w:r>
        <w:r w:rsidR="00491B2C" w:rsidRPr="006F1F07">
          <w:rPr>
            <w:rFonts w:ascii="Calibri" w:eastAsia="Times New Roman" w:hAnsi="Calibri"/>
            <w:caps w:val="0"/>
            <w:noProof/>
            <w:sz w:val="22"/>
            <w:szCs w:val="22"/>
          </w:rPr>
          <w:tab/>
        </w:r>
        <w:r w:rsidR="00491B2C" w:rsidRPr="000E2D96">
          <w:rPr>
            <w:rStyle w:val="Hyperlink"/>
            <w:noProof/>
          </w:rPr>
          <w:t>Approval of and Amendments to the Guidelines</w:t>
        </w:r>
        <w:r w:rsidR="00491B2C">
          <w:rPr>
            <w:noProof/>
            <w:webHidden/>
          </w:rPr>
          <w:tab/>
        </w:r>
        <w:r w:rsidR="00491B2C">
          <w:rPr>
            <w:noProof/>
            <w:webHidden/>
          </w:rPr>
          <w:fldChar w:fldCharType="begin"/>
        </w:r>
        <w:r w:rsidR="00491B2C">
          <w:rPr>
            <w:noProof/>
            <w:webHidden/>
          </w:rPr>
          <w:instrText xml:space="preserve"> PAGEREF _Toc464556892 \h </w:instrText>
        </w:r>
        <w:r w:rsidR="00491B2C">
          <w:rPr>
            <w:noProof/>
            <w:webHidden/>
          </w:rPr>
        </w:r>
        <w:r w:rsidR="00491B2C">
          <w:rPr>
            <w:noProof/>
            <w:webHidden/>
          </w:rPr>
          <w:fldChar w:fldCharType="separate"/>
        </w:r>
        <w:r w:rsidR="00491B2C">
          <w:rPr>
            <w:noProof/>
            <w:webHidden/>
          </w:rPr>
          <w:t>5</w:t>
        </w:r>
        <w:r w:rsidR="00491B2C">
          <w:rPr>
            <w:noProof/>
            <w:webHidden/>
          </w:rPr>
          <w:fldChar w:fldCharType="end"/>
        </w:r>
      </w:hyperlink>
    </w:p>
    <w:p w14:paraId="5740636C" w14:textId="77777777" w:rsidR="00491B2C" w:rsidRPr="006F1F07" w:rsidRDefault="003414CE">
      <w:pPr>
        <w:pStyle w:val="TOC1"/>
        <w:tabs>
          <w:tab w:val="right" w:leader="dot" w:pos="9017"/>
        </w:tabs>
        <w:rPr>
          <w:rFonts w:ascii="Calibri" w:eastAsia="Times New Roman" w:hAnsi="Calibri"/>
          <w:caps w:val="0"/>
          <w:noProof/>
          <w:sz w:val="22"/>
          <w:szCs w:val="22"/>
        </w:rPr>
      </w:pPr>
      <w:hyperlink w:anchor="_Toc464556893" w:history="1">
        <w:r w:rsidR="00491B2C" w:rsidRPr="000E2D96">
          <w:rPr>
            <w:rStyle w:val="Hyperlink"/>
            <w:noProof/>
          </w:rPr>
          <w:t>ANNEX</w:t>
        </w:r>
        <w:r w:rsidR="00491B2C">
          <w:rPr>
            <w:noProof/>
            <w:webHidden/>
          </w:rPr>
          <w:tab/>
        </w:r>
        <w:r w:rsidR="00491B2C">
          <w:rPr>
            <w:noProof/>
            <w:webHidden/>
          </w:rPr>
          <w:fldChar w:fldCharType="begin"/>
        </w:r>
        <w:r w:rsidR="00491B2C">
          <w:rPr>
            <w:noProof/>
            <w:webHidden/>
          </w:rPr>
          <w:instrText xml:space="preserve"> PAGEREF _Toc464556893 \h </w:instrText>
        </w:r>
        <w:r w:rsidR="00491B2C">
          <w:rPr>
            <w:noProof/>
            <w:webHidden/>
          </w:rPr>
        </w:r>
        <w:r w:rsidR="00491B2C">
          <w:rPr>
            <w:noProof/>
            <w:webHidden/>
          </w:rPr>
          <w:fldChar w:fldCharType="separate"/>
        </w:r>
        <w:r w:rsidR="00491B2C">
          <w:rPr>
            <w:noProof/>
            <w:webHidden/>
          </w:rPr>
          <w:t>6</w:t>
        </w:r>
        <w:r w:rsidR="00491B2C">
          <w:rPr>
            <w:noProof/>
            <w:webHidden/>
          </w:rPr>
          <w:fldChar w:fldCharType="end"/>
        </w:r>
      </w:hyperlink>
    </w:p>
    <w:p w14:paraId="5C32F8E1"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94" w:history="1">
        <w:r w:rsidR="00491B2C" w:rsidRPr="000E2D96">
          <w:rPr>
            <w:rStyle w:val="Hyperlink"/>
            <w:noProof/>
          </w:rPr>
          <w:t>A. Specifications</w:t>
        </w:r>
        <w:r w:rsidR="00491B2C">
          <w:rPr>
            <w:noProof/>
            <w:webHidden/>
          </w:rPr>
          <w:tab/>
        </w:r>
        <w:r w:rsidR="00491B2C">
          <w:rPr>
            <w:noProof/>
            <w:webHidden/>
          </w:rPr>
          <w:fldChar w:fldCharType="begin"/>
        </w:r>
        <w:r w:rsidR="00491B2C">
          <w:rPr>
            <w:noProof/>
            <w:webHidden/>
          </w:rPr>
          <w:instrText xml:space="preserve"> PAGEREF _Toc464556894 \h </w:instrText>
        </w:r>
        <w:r w:rsidR="00491B2C">
          <w:rPr>
            <w:noProof/>
            <w:webHidden/>
          </w:rPr>
        </w:r>
        <w:r w:rsidR="00491B2C">
          <w:rPr>
            <w:noProof/>
            <w:webHidden/>
          </w:rPr>
          <w:fldChar w:fldCharType="separate"/>
        </w:r>
        <w:r w:rsidR="00491B2C">
          <w:rPr>
            <w:noProof/>
            <w:webHidden/>
          </w:rPr>
          <w:t>6</w:t>
        </w:r>
        <w:r w:rsidR="00491B2C">
          <w:rPr>
            <w:noProof/>
            <w:webHidden/>
          </w:rPr>
          <w:fldChar w:fldCharType="end"/>
        </w:r>
      </w:hyperlink>
    </w:p>
    <w:p w14:paraId="2A82B6FE" w14:textId="77777777" w:rsidR="00491B2C" w:rsidRPr="006F1F07" w:rsidRDefault="003414CE">
      <w:pPr>
        <w:pStyle w:val="TOC2"/>
        <w:tabs>
          <w:tab w:val="right" w:leader="dot" w:pos="9017"/>
        </w:tabs>
        <w:rPr>
          <w:rFonts w:ascii="Calibri" w:eastAsia="Times New Roman" w:hAnsi="Calibri"/>
          <w:bCs w:val="0"/>
          <w:caps w:val="0"/>
          <w:noProof/>
          <w:sz w:val="22"/>
          <w:szCs w:val="22"/>
        </w:rPr>
      </w:pPr>
      <w:hyperlink w:anchor="_Toc464556895" w:history="1">
        <w:r w:rsidR="00491B2C" w:rsidRPr="000E2D96">
          <w:rPr>
            <w:rStyle w:val="Hyperlink"/>
            <w:noProof/>
          </w:rPr>
          <w:t>B. Design of the ASEAN Flag</w:t>
        </w:r>
        <w:r w:rsidR="00491B2C">
          <w:rPr>
            <w:noProof/>
            <w:webHidden/>
          </w:rPr>
          <w:tab/>
        </w:r>
        <w:r w:rsidR="00491B2C">
          <w:rPr>
            <w:noProof/>
            <w:webHidden/>
          </w:rPr>
          <w:fldChar w:fldCharType="begin"/>
        </w:r>
        <w:r w:rsidR="00491B2C">
          <w:rPr>
            <w:noProof/>
            <w:webHidden/>
          </w:rPr>
          <w:instrText xml:space="preserve"> PAGEREF _Toc464556895 \h </w:instrText>
        </w:r>
        <w:r w:rsidR="00491B2C">
          <w:rPr>
            <w:noProof/>
            <w:webHidden/>
          </w:rPr>
        </w:r>
        <w:r w:rsidR="00491B2C">
          <w:rPr>
            <w:noProof/>
            <w:webHidden/>
          </w:rPr>
          <w:fldChar w:fldCharType="separate"/>
        </w:r>
        <w:r w:rsidR="00491B2C">
          <w:rPr>
            <w:noProof/>
            <w:webHidden/>
          </w:rPr>
          <w:t>7</w:t>
        </w:r>
        <w:r w:rsidR="00491B2C">
          <w:rPr>
            <w:noProof/>
            <w:webHidden/>
          </w:rPr>
          <w:fldChar w:fldCharType="end"/>
        </w:r>
      </w:hyperlink>
    </w:p>
    <w:p w14:paraId="73B2ED49" w14:textId="77777777" w:rsidR="00491B2C" w:rsidRPr="006F1F07" w:rsidRDefault="003414CE">
      <w:pPr>
        <w:pStyle w:val="TOC3"/>
        <w:tabs>
          <w:tab w:val="right" w:leader="dot" w:pos="9017"/>
        </w:tabs>
        <w:rPr>
          <w:rFonts w:ascii="Calibri" w:eastAsia="Times New Roman" w:hAnsi="Calibri"/>
          <w:caps w:val="0"/>
          <w:noProof/>
          <w:sz w:val="22"/>
          <w:szCs w:val="22"/>
        </w:rPr>
      </w:pPr>
      <w:hyperlink w:anchor="_Toc464556896" w:history="1">
        <w:r w:rsidR="00491B2C" w:rsidRPr="000E2D96">
          <w:rPr>
            <w:rStyle w:val="Hyperlink"/>
            <w:noProof/>
          </w:rPr>
          <w:t>B.1. Table Flag</w:t>
        </w:r>
        <w:r w:rsidR="00491B2C">
          <w:rPr>
            <w:noProof/>
            <w:webHidden/>
          </w:rPr>
          <w:tab/>
        </w:r>
        <w:r w:rsidR="00491B2C">
          <w:rPr>
            <w:noProof/>
            <w:webHidden/>
          </w:rPr>
          <w:fldChar w:fldCharType="begin"/>
        </w:r>
        <w:r w:rsidR="00491B2C">
          <w:rPr>
            <w:noProof/>
            <w:webHidden/>
          </w:rPr>
          <w:instrText xml:space="preserve"> PAGEREF _Toc464556896 \h </w:instrText>
        </w:r>
        <w:r w:rsidR="00491B2C">
          <w:rPr>
            <w:noProof/>
            <w:webHidden/>
          </w:rPr>
        </w:r>
        <w:r w:rsidR="00491B2C">
          <w:rPr>
            <w:noProof/>
            <w:webHidden/>
          </w:rPr>
          <w:fldChar w:fldCharType="separate"/>
        </w:r>
        <w:r w:rsidR="00491B2C">
          <w:rPr>
            <w:noProof/>
            <w:webHidden/>
          </w:rPr>
          <w:t>7</w:t>
        </w:r>
        <w:r w:rsidR="00491B2C">
          <w:rPr>
            <w:noProof/>
            <w:webHidden/>
          </w:rPr>
          <w:fldChar w:fldCharType="end"/>
        </w:r>
      </w:hyperlink>
    </w:p>
    <w:p w14:paraId="32460082" w14:textId="77777777" w:rsidR="00491B2C" w:rsidRPr="006F1F07" w:rsidRDefault="003414CE">
      <w:pPr>
        <w:pStyle w:val="TOC3"/>
        <w:tabs>
          <w:tab w:val="right" w:leader="dot" w:pos="9017"/>
        </w:tabs>
        <w:rPr>
          <w:rFonts w:ascii="Calibri" w:eastAsia="Times New Roman" w:hAnsi="Calibri"/>
          <w:caps w:val="0"/>
          <w:noProof/>
          <w:sz w:val="22"/>
          <w:szCs w:val="22"/>
        </w:rPr>
      </w:pPr>
      <w:hyperlink w:anchor="_Toc464556897" w:history="1">
        <w:r w:rsidR="00491B2C" w:rsidRPr="000E2D96">
          <w:rPr>
            <w:rStyle w:val="Hyperlink"/>
            <w:noProof/>
          </w:rPr>
          <w:t>B.2. Room Flag</w:t>
        </w:r>
        <w:r w:rsidR="00491B2C">
          <w:rPr>
            <w:noProof/>
            <w:webHidden/>
          </w:rPr>
          <w:tab/>
        </w:r>
        <w:r w:rsidR="00491B2C">
          <w:rPr>
            <w:noProof/>
            <w:webHidden/>
          </w:rPr>
          <w:fldChar w:fldCharType="begin"/>
        </w:r>
        <w:r w:rsidR="00491B2C">
          <w:rPr>
            <w:noProof/>
            <w:webHidden/>
          </w:rPr>
          <w:instrText xml:space="preserve"> PAGEREF _Toc464556897 \h </w:instrText>
        </w:r>
        <w:r w:rsidR="00491B2C">
          <w:rPr>
            <w:noProof/>
            <w:webHidden/>
          </w:rPr>
        </w:r>
        <w:r w:rsidR="00491B2C">
          <w:rPr>
            <w:noProof/>
            <w:webHidden/>
          </w:rPr>
          <w:fldChar w:fldCharType="separate"/>
        </w:r>
        <w:r w:rsidR="00491B2C">
          <w:rPr>
            <w:noProof/>
            <w:webHidden/>
          </w:rPr>
          <w:t>8</w:t>
        </w:r>
        <w:r w:rsidR="00491B2C">
          <w:rPr>
            <w:noProof/>
            <w:webHidden/>
          </w:rPr>
          <w:fldChar w:fldCharType="end"/>
        </w:r>
      </w:hyperlink>
    </w:p>
    <w:p w14:paraId="428E3FC9" w14:textId="77777777" w:rsidR="00491B2C" w:rsidRPr="006F1F07" w:rsidRDefault="003414CE">
      <w:pPr>
        <w:pStyle w:val="TOC3"/>
        <w:tabs>
          <w:tab w:val="right" w:leader="dot" w:pos="9017"/>
        </w:tabs>
        <w:rPr>
          <w:rFonts w:ascii="Calibri" w:eastAsia="Times New Roman" w:hAnsi="Calibri"/>
          <w:caps w:val="0"/>
          <w:noProof/>
          <w:sz w:val="22"/>
          <w:szCs w:val="22"/>
        </w:rPr>
      </w:pPr>
      <w:hyperlink w:anchor="_Toc464556898" w:history="1">
        <w:r w:rsidR="00491B2C" w:rsidRPr="000E2D96">
          <w:rPr>
            <w:rStyle w:val="Hyperlink"/>
            <w:noProof/>
          </w:rPr>
          <w:t>B.3. Car Flag</w:t>
        </w:r>
        <w:r w:rsidR="00491B2C">
          <w:rPr>
            <w:noProof/>
            <w:webHidden/>
          </w:rPr>
          <w:tab/>
        </w:r>
        <w:r w:rsidR="00491B2C">
          <w:rPr>
            <w:noProof/>
            <w:webHidden/>
          </w:rPr>
          <w:fldChar w:fldCharType="begin"/>
        </w:r>
        <w:r w:rsidR="00491B2C">
          <w:rPr>
            <w:noProof/>
            <w:webHidden/>
          </w:rPr>
          <w:instrText xml:space="preserve"> PAGEREF _Toc464556898 \h </w:instrText>
        </w:r>
        <w:r w:rsidR="00491B2C">
          <w:rPr>
            <w:noProof/>
            <w:webHidden/>
          </w:rPr>
        </w:r>
        <w:r w:rsidR="00491B2C">
          <w:rPr>
            <w:noProof/>
            <w:webHidden/>
          </w:rPr>
          <w:fldChar w:fldCharType="separate"/>
        </w:r>
        <w:r w:rsidR="00491B2C">
          <w:rPr>
            <w:noProof/>
            <w:webHidden/>
          </w:rPr>
          <w:t>9</w:t>
        </w:r>
        <w:r w:rsidR="00491B2C">
          <w:rPr>
            <w:noProof/>
            <w:webHidden/>
          </w:rPr>
          <w:fldChar w:fldCharType="end"/>
        </w:r>
      </w:hyperlink>
    </w:p>
    <w:p w14:paraId="6631E393" w14:textId="77777777" w:rsidR="00907D14" w:rsidRDefault="00907D14" w:rsidP="00907D14">
      <w:pPr>
        <w:spacing w:before="60" w:after="60"/>
      </w:pPr>
      <w:r w:rsidRPr="009C1F90">
        <w:rPr>
          <w:rFonts w:cs="Arial"/>
        </w:rPr>
        <w:fldChar w:fldCharType="end"/>
      </w:r>
    </w:p>
    <w:p w14:paraId="22F46B46" w14:textId="77777777" w:rsidR="0098712D" w:rsidRDefault="0098712D" w:rsidP="009F08BB">
      <w:pPr>
        <w:pStyle w:val="CILTitle"/>
      </w:pPr>
      <w:r>
        <w:br w:type="page"/>
      </w:r>
      <w:r>
        <w:lastRenderedPageBreak/>
        <w:t>2011 GUIDELINES ON THE USE OF THE ASEAN FLAG</w:t>
      </w:r>
    </w:p>
    <w:p w14:paraId="15C43359" w14:textId="77777777" w:rsidR="0098712D" w:rsidRDefault="0098712D" w:rsidP="00907D14">
      <w:pPr>
        <w:pStyle w:val="CILSubtitle"/>
      </w:pPr>
      <w:r>
        <w:t>Adopted in Jakarta, Indonesia on 6 May 2011</w:t>
      </w:r>
    </w:p>
    <w:p w14:paraId="22F2ABC9" w14:textId="77777777" w:rsidR="0098712D" w:rsidRDefault="0098712D" w:rsidP="00907D14">
      <w:pPr>
        <w:pStyle w:val="CILSubtitle"/>
      </w:pPr>
    </w:p>
    <w:p w14:paraId="52B4F850" w14:textId="77777777" w:rsidR="0098712D" w:rsidRDefault="0098712D" w:rsidP="00907D14">
      <w:pPr>
        <w:pStyle w:val="ListParagraph"/>
        <w:numPr>
          <w:ilvl w:val="0"/>
          <w:numId w:val="1"/>
        </w:numPr>
        <w:ind w:left="714" w:hanging="357"/>
        <w:contextualSpacing w:val="0"/>
      </w:pPr>
      <w:r>
        <w:t>The ASEAN Flag is a symbol of Member States’ unity and support for the principles and endeavours of ASEAN and is a means to promote greater ASEAN awareness and solidarity.</w:t>
      </w:r>
    </w:p>
    <w:p w14:paraId="03A6FB0B" w14:textId="77777777" w:rsidR="0098712D" w:rsidRDefault="0098712D" w:rsidP="00907D14">
      <w:pPr>
        <w:pStyle w:val="ListParagraph"/>
        <w:numPr>
          <w:ilvl w:val="0"/>
          <w:numId w:val="1"/>
        </w:numPr>
        <w:ind w:left="714" w:hanging="357"/>
        <w:contextualSpacing w:val="0"/>
      </w:pPr>
      <w:r>
        <w:t>The ASEAN Flag represents a stable, peaceful, united and dynamic ASEAN. The colours of the Flag – blue, red, white and yellow – represent the main colours of the flags of all the ASEAN Member States.</w:t>
      </w:r>
    </w:p>
    <w:p w14:paraId="37F990A4" w14:textId="77777777" w:rsidR="0098712D" w:rsidRDefault="0098712D" w:rsidP="00907D14">
      <w:pPr>
        <w:pStyle w:val="ListParagraph"/>
        <w:numPr>
          <w:ilvl w:val="0"/>
          <w:numId w:val="1"/>
        </w:numPr>
        <w:ind w:left="714" w:hanging="357"/>
        <w:contextualSpacing w:val="0"/>
      </w:pPr>
      <w:r>
        <w:t>The blue represents peace and stability. Red depicts courage and dynamism, white shows purity and yellow symbolises prosperity.</w:t>
      </w:r>
    </w:p>
    <w:p w14:paraId="7C2EAD87" w14:textId="77777777" w:rsidR="0098712D" w:rsidRDefault="0098712D" w:rsidP="00907D14">
      <w:pPr>
        <w:pStyle w:val="ListParagraph"/>
        <w:numPr>
          <w:ilvl w:val="0"/>
          <w:numId w:val="1"/>
        </w:numPr>
        <w:ind w:left="714" w:hanging="357"/>
        <w:contextualSpacing w:val="0"/>
      </w:pPr>
      <w:r>
        <w:t>The stalks of padi in the centre of the Emblem represent the dream of ASEAN's Founding Fathers for an ASEAN comprising all the countries in Southeast Asia, bound together in friendship and solidarity.</w:t>
      </w:r>
    </w:p>
    <w:p w14:paraId="25C41EF6" w14:textId="77777777" w:rsidR="00D067DB" w:rsidRPr="00D067DB" w:rsidRDefault="00D067DB" w:rsidP="00907D14">
      <w:pPr>
        <w:pStyle w:val="ListParagraph"/>
        <w:widowControl w:val="0"/>
        <w:numPr>
          <w:ilvl w:val="0"/>
          <w:numId w:val="1"/>
        </w:numPr>
        <w:tabs>
          <w:tab w:val="left" w:pos="462"/>
        </w:tabs>
        <w:kinsoku w:val="0"/>
        <w:overflowPunct w:val="0"/>
        <w:autoSpaceDE w:val="0"/>
        <w:autoSpaceDN w:val="0"/>
        <w:adjustRightInd w:val="0"/>
        <w:contextualSpacing w:val="0"/>
        <w:jc w:val="left"/>
      </w:pPr>
      <w:r w:rsidRPr="00D067DB">
        <w:t>The circle represents the unity of</w:t>
      </w:r>
      <w:r w:rsidRPr="00D067DB">
        <w:rPr>
          <w:spacing w:val="35"/>
        </w:rPr>
        <w:t xml:space="preserve"> </w:t>
      </w:r>
      <w:r w:rsidRPr="00D067DB">
        <w:t>ASEAN.</w:t>
      </w:r>
      <w:r w:rsidR="00EC1D7B">
        <w:rPr>
          <w:noProof/>
        </w:rPr>
        <mc:AlternateContent>
          <mc:Choice Requires="wps">
            <w:drawing>
              <wp:anchor distT="0" distB="0" distL="0" distR="0" simplePos="0" relativeHeight="251658752" behindDoc="0" locked="0" layoutInCell="0" allowOverlap="1" wp14:anchorId="45C83E98" wp14:editId="2E1624E3">
                <wp:simplePos x="0" y="0"/>
                <wp:positionH relativeFrom="page">
                  <wp:posOffset>1555750</wp:posOffset>
                </wp:positionH>
                <wp:positionV relativeFrom="paragraph">
                  <wp:posOffset>171450</wp:posOffset>
                </wp:positionV>
                <wp:extent cx="2108200" cy="1422400"/>
                <wp:effectExtent l="0" t="0" r="0" b="0"/>
                <wp:wrapTopAndBottom/>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3F12" w14:textId="77777777" w:rsidR="00D067DB" w:rsidRDefault="00EC1D7B" w:rsidP="00D067DB">
                            <w:pPr>
                              <w:spacing w:line="2240" w:lineRule="atLeast"/>
                              <w:rPr>
                                <w:rFonts w:ascii="Times New Roman" w:hAnsi="Times New Roman"/>
                              </w:rPr>
                            </w:pPr>
                            <w:r w:rsidRPr="00FA20BC">
                              <w:rPr>
                                <w:rFonts w:ascii="Times New Roman" w:hAnsi="Times New Roman"/>
                                <w:noProof/>
                              </w:rPr>
                              <w:drawing>
                                <wp:inline distT="0" distB="0" distL="0" distR="0" wp14:anchorId="5528E0B3" wp14:editId="1C4103CD">
                                  <wp:extent cx="2095500" cy="14192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inline>
                              </w:drawing>
                            </w:r>
                          </w:p>
                          <w:p w14:paraId="3C78584D" w14:textId="77777777" w:rsidR="00D067DB" w:rsidRDefault="00D067DB" w:rsidP="00D067DB">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22.5pt;margin-top:13.5pt;width:166pt;height:1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1RqQIAAKI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" o:allowincell="f" filled="f" stroked="f">
                <v:textbox inset="0,0,0,0">
                  <w:txbxContent>
                    <w:p w:rsidR="00D067DB" w:rsidRDefault="00EC1D7B" w:rsidP="00D067DB">
                      <w:pPr>
                        <w:spacing w:line="2240" w:lineRule="atLeast"/>
                        <w:rPr>
                          <w:rFonts w:ascii="Times New Roman" w:hAnsi="Times New Roman"/>
                        </w:rPr>
                      </w:pPr>
                      <w:r w:rsidRPr="00FA20BC">
                        <w:rPr>
                          <w:rFonts w:ascii="Times New Roman" w:hAnsi="Times New Roman"/>
                          <w:noProof/>
                        </w:rPr>
                        <w:drawing>
                          <wp:inline distT="0" distB="0" distL="0" distR="0">
                            <wp:extent cx="2095500" cy="141922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419225"/>
                                    </a:xfrm>
                                    <a:prstGeom prst="rect">
                                      <a:avLst/>
                                    </a:prstGeom>
                                    <a:noFill/>
                                    <a:ln>
                                      <a:noFill/>
                                    </a:ln>
                                  </pic:spPr>
                                </pic:pic>
                              </a:graphicData>
                            </a:graphic>
                          </wp:inline>
                        </w:drawing>
                      </w:r>
                    </w:p>
                    <w:p w:rsidR="00D067DB" w:rsidRDefault="00D067DB" w:rsidP="00D067DB">
                      <w:pPr>
                        <w:rPr>
                          <w:rFonts w:ascii="Times New Roman" w:hAnsi="Times New Roman"/>
                        </w:rPr>
                      </w:pPr>
                    </w:p>
                  </w:txbxContent>
                </v:textbox>
                <w10:wrap type="topAndBottom" anchorx="page"/>
              </v:rect>
            </w:pict>
          </mc:Fallback>
        </mc:AlternateContent>
      </w:r>
    </w:p>
    <w:p w14:paraId="6FE49436" w14:textId="77777777" w:rsidR="0098712D" w:rsidRPr="0098712D" w:rsidRDefault="0098712D" w:rsidP="00907D14">
      <w:pPr>
        <w:pStyle w:val="ListParagraph"/>
        <w:numPr>
          <w:ilvl w:val="0"/>
          <w:numId w:val="1"/>
        </w:numPr>
        <w:contextualSpacing w:val="0"/>
      </w:pPr>
      <w:r w:rsidRPr="0098712D">
        <w:t>The ASEAN Flag is the reserved copyright of ASEAN.</w:t>
      </w:r>
    </w:p>
    <w:p w14:paraId="2F16DB72" w14:textId="77777777" w:rsidR="0098712D" w:rsidRDefault="0098712D" w:rsidP="00491B2C">
      <w:pPr>
        <w:pStyle w:val="ListParagraph"/>
        <w:numPr>
          <w:ilvl w:val="0"/>
          <w:numId w:val="1"/>
        </w:numPr>
        <w:contextualSpacing w:val="0"/>
      </w:pPr>
      <w:r w:rsidRPr="0098712D">
        <w:t>The specifications of the ASEAN Flag are annexed.</w:t>
      </w:r>
    </w:p>
    <w:p w14:paraId="1AED79C3" w14:textId="77777777" w:rsidR="0098712D" w:rsidRDefault="0098712D" w:rsidP="00907D14">
      <w:pPr>
        <w:pStyle w:val="Heading1"/>
        <w:numPr>
          <w:ilvl w:val="0"/>
          <w:numId w:val="4"/>
        </w:numPr>
        <w:spacing w:after="120"/>
      </w:pPr>
      <w:bookmarkStart w:id="0" w:name="_Toc464556882"/>
      <w:r>
        <w:t>Dignity of the ASEAN Flag</w:t>
      </w:r>
      <w:bookmarkEnd w:id="0"/>
    </w:p>
    <w:p w14:paraId="2364DD0C" w14:textId="77777777" w:rsidR="000B5F8B" w:rsidRDefault="0098712D" w:rsidP="00907D14">
      <w:pPr>
        <w:pStyle w:val="ListParagraph"/>
        <w:numPr>
          <w:ilvl w:val="0"/>
          <w:numId w:val="1"/>
        </w:numPr>
        <w:contextualSpacing w:val="0"/>
      </w:pPr>
      <w:r w:rsidRPr="0098712D">
        <w:t>The ASEAN Flag shall be treated with respect and shall not be subjected to any indignity.</w:t>
      </w:r>
    </w:p>
    <w:p w14:paraId="6F80D977" w14:textId="77777777" w:rsidR="0098712D" w:rsidRDefault="0098712D" w:rsidP="00907D14">
      <w:pPr>
        <w:pStyle w:val="Heading1"/>
        <w:numPr>
          <w:ilvl w:val="0"/>
          <w:numId w:val="4"/>
        </w:numPr>
        <w:spacing w:after="120"/>
      </w:pPr>
      <w:bookmarkStart w:id="1" w:name="_Toc464556883"/>
      <w:r w:rsidRPr="0098712D">
        <w:t>Use of the ASEAN Flag</w:t>
      </w:r>
      <w:bookmarkEnd w:id="1"/>
    </w:p>
    <w:p w14:paraId="3D23AEB4" w14:textId="77777777" w:rsidR="0098712D" w:rsidRDefault="0098712D" w:rsidP="00907D14">
      <w:pPr>
        <w:pStyle w:val="Heading2"/>
      </w:pPr>
      <w:bookmarkStart w:id="2" w:name="_Toc464556884"/>
      <w:r>
        <w:t xml:space="preserve">B.1. </w:t>
      </w:r>
      <w:r w:rsidRPr="0098712D">
        <w:t>Use of the ASEAN Flag by ASEAN Member States</w:t>
      </w:r>
      <w:bookmarkEnd w:id="2"/>
    </w:p>
    <w:p w14:paraId="1CF20EA0" w14:textId="77777777" w:rsidR="0098712D" w:rsidRDefault="0098712D" w:rsidP="00907D14">
      <w:pPr>
        <w:pStyle w:val="ListParagraph"/>
        <w:numPr>
          <w:ilvl w:val="0"/>
          <w:numId w:val="1"/>
        </w:numPr>
        <w:contextualSpacing w:val="0"/>
      </w:pPr>
      <w:r>
        <w:t>ASEAN Member States shall use the ASEAN Flag in the manner specified under these guidelines that include the following:</w:t>
      </w:r>
    </w:p>
    <w:p w14:paraId="0D27E4CC" w14:textId="77777777" w:rsidR="000B5F8B" w:rsidRDefault="0098712D" w:rsidP="00907D14">
      <w:pPr>
        <w:pStyle w:val="ListParagraph"/>
        <w:numPr>
          <w:ilvl w:val="0"/>
          <w:numId w:val="5"/>
        </w:numPr>
        <w:ind w:left="1134" w:hanging="425"/>
        <w:contextualSpacing w:val="0"/>
      </w:pPr>
      <w:r>
        <w:t>The ASEAN Flag shall be displayed at all ASEAN National Secretariats.</w:t>
      </w:r>
    </w:p>
    <w:p w14:paraId="4E812353" w14:textId="77777777" w:rsidR="0098712D" w:rsidRDefault="0098712D" w:rsidP="00907D14">
      <w:pPr>
        <w:pStyle w:val="ListParagraph"/>
        <w:numPr>
          <w:ilvl w:val="0"/>
          <w:numId w:val="5"/>
        </w:numPr>
        <w:ind w:left="1134" w:hanging="425"/>
        <w:contextualSpacing w:val="0"/>
        <w:jc w:val="left"/>
      </w:pPr>
      <w:r>
        <w:t>The ASEAN Flag shall be displayed on a permanent basis at Diplomatic and Consular Missions of ASEAN Member States alongside the national flag. The ASEAN Flag shall be displayed by the ASEAN Member States in third countries which are recognised by all ASEAN Member States.</w:t>
      </w:r>
    </w:p>
    <w:p w14:paraId="4B35105A" w14:textId="77777777" w:rsidR="0098712D" w:rsidRDefault="0098712D" w:rsidP="00907D14">
      <w:pPr>
        <w:pStyle w:val="ListParagraph"/>
        <w:numPr>
          <w:ilvl w:val="0"/>
          <w:numId w:val="5"/>
        </w:numPr>
        <w:ind w:left="1134" w:hanging="425"/>
        <w:contextualSpacing w:val="0"/>
      </w:pPr>
      <w:r>
        <w:lastRenderedPageBreak/>
        <w:t>The ASEAN Flag shall be displayed alongside the national flag in the following manner:</w:t>
      </w:r>
    </w:p>
    <w:p w14:paraId="4DC1276F" w14:textId="77777777" w:rsidR="0098712D" w:rsidRDefault="0098712D" w:rsidP="00907D14">
      <w:pPr>
        <w:pStyle w:val="BodyText"/>
        <w:tabs>
          <w:tab w:val="left" w:pos="5388"/>
        </w:tabs>
        <w:kinsoku w:val="0"/>
        <w:overflowPunct w:val="0"/>
        <w:spacing w:before="240" w:after="120" w:line="276" w:lineRule="auto"/>
        <w:ind w:left="6412" w:right="773" w:hanging="5170"/>
        <w:rPr>
          <w:spacing w:val="-1"/>
          <w:sz w:val="19"/>
          <w:szCs w:val="19"/>
        </w:rPr>
      </w:pPr>
      <w:r w:rsidRPr="00D067DB">
        <w:rPr>
          <w:w w:val="105"/>
          <w:sz w:val="20"/>
          <w:szCs w:val="20"/>
        </w:rPr>
        <w:t>Diagram 1:</w:t>
      </w:r>
      <w:r w:rsidRPr="00D067DB">
        <w:rPr>
          <w:spacing w:val="-32"/>
          <w:w w:val="105"/>
          <w:sz w:val="20"/>
          <w:szCs w:val="20"/>
        </w:rPr>
        <w:t xml:space="preserve"> </w:t>
      </w:r>
      <w:r w:rsidRPr="00D067DB">
        <w:rPr>
          <w:w w:val="105"/>
          <w:sz w:val="20"/>
          <w:szCs w:val="20"/>
        </w:rPr>
        <w:t>Outdoor</w:t>
      </w:r>
      <w:r w:rsidRPr="00D067DB">
        <w:rPr>
          <w:spacing w:val="-14"/>
          <w:w w:val="105"/>
          <w:sz w:val="20"/>
          <w:szCs w:val="20"/>
        </w:rPr>
        <w:t xml:space="preserve"> </w:t>
      </w:r>
      <w:r w:rsidRPr="00D067DB">
        <w:rPr>
          <w:w w:val="105"/>
          <w:sz w:val="20"/>
          <w:szCs w:val="20"/>
        </w:rPr>
        <w:t>Flags</w:t>
      </w:r>
      <w:r>
        <w:rPr>
          <w:w w:val="105"/>
          <w:sz w:val="19"/>
          <w:szCs w:val="19"/>
        </w:rPr>
        <w:tab/>
      </w:r>
      <w:r w:rsidRPr="00D067DB">
        <w:rPr>
          <w:w w:val="105"/>
          <w:sz w:val="20"/>
          <w:szCs w:val="20"/>
        </w:rPr>
        <w:t>Diagram</w:t>
      </w:r>
      <w:r w:rsidRPr="00D067DB">
        <w:rPr>
          <w:spacing w:val="-23"/>
          <w:w w:val="105"/>
          <w:sz w:val="20"/>
          <w:szCs w:val="20"/>
        </w:rPr>
        <w:t xml:space="preserve"> </w:t>
      </w:r>
      <w:r w:rsidRPr="00D067DB">
        <w:rPr>
          <w:w w:val="105"/>
          <w:sz w:val="20"/>
          <w:szCs w:val="20"/>
        </w:rPr>
        <w:t>2:</w:t>
      </w:r>
      <w:r w:rsidRPr="00D067DB">
        <w:rPr>
          <w:spacing w:val="-23"/>
          <w:w w:val="105"/>
          <w:sz w:val="20"/>
          <w:szCs w:val="20"/>
        </w:rPr>
        <w:t xml:space="preserve"> </w:t>
      </w:r>
      <w:r w:rsidRPr="00D067DB">
        <w:rPr>
          <w:w w:val="105"/>
          <w:sz w:val="20"/>
          <w:szCs w:val="20"/>
        </w:rPr>
        <w:t>Venue</w:t>
      </w:r>
      <w:r w:rsidRPr="00D067DB">
        <w:rPr>
          <w:spacing w:val="-23"/>
          <w:w w:val="105"/>
          <w:sz w:val="20"/>
          <w:szCs w:val="20"/>
        </w:rPr>
        <w:t xml:space="preserve"> </w:t>
      </w:r>
      <w:r w:rsidRPr="00D067DB">
        <w:rPr>
          <w:w w:val="105"/>
          <w:sz w:val="20"/>
          <w:szCs w:val="20"/>
        </w:rPr>
        <w:t>Flags</w:t>
      </w:r>
      <w:r w:rsidRPr="00D067DB">
        <w:rPr>
          <w:spacing w:val="-1"/>
          <w:w w:val="102"/>
          <w:sz w:val="20"/>
          <w:szCs w:val="20"/>
        </w:rPr>
        <w:t xml:space="preserve"> </w:t>
      </w:r>
      <w:r w:rsidRPr="00D067DB">
        <w:rPr>
          <w:spacing w:val="-1"/>
          <w:sz w:val="20"/>
          <w:szCs w:val="20"/>
        </w:rPr>
        <w:t>(Outdoor/Indoor)</w:t>
      </w:r>
    </w:p>
    <w:p w14:paraId="0612A5E5" w14:textId="77777777" w:rsidR="0098712D" w:rsidRDefault="00EC1D7B" w:rsidP="00907D14">
      <w:pPr>
        <w:pStyle w:val="BodyText"/>
        <w:kinsoku w:val="0"/>
        <w:overflowPunct w:val="0"/>
        <w:spacing w:before="240" w:after="120" w:line="276" w:lineRule="auto"/>
        <w:rPr>
          <w:sz w:val="15"/>
          <w:szCs w:val="15"/>
        </w:rPr>
      </w:pPr>
      <w:r>
        <w:rPr>
          <w:noProof/>
          <w:lang w:val="en-US" w:eastAsia="en-US"/>
        </w:rPr>
        <mc:AlternateContent>
          <mc:Choice Requires="wps">
            <w:drawing>
              <wp:anchor distT="0" distB="0" distL="0" distR="0" simplePos="0" relativeHeight="251656704" behindDoc="0" locked="0" layoutInCell="0" allowOverlap="1" wp14:anchorId="2291DFE0" wp14:editId="51464BD2">
                <wp:simplePos x="0" y="0"/>
                <wp:positionH relativeFrom="page">
                  <wp:posOffset>1543050</wp:posOffset>
                </wp:positionH>
                <wp:positionV relativeFrom="paragraph">
                  <wp:posOffset>279400</wp:posOffset>
                </wp:positionV>
                <wp:extent cx="1841500" cy="2019300"/>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636B7" w14:textId="77777777" w:rsidR="0098712D" w:rsidRDefault="00EC1D7B" w:rsidP="0098712D">
                            <w:pPr>
                              <w:spacing w:line="3180" w:lineRule="atLeast"/>
                              <w:rPr>
                                <w:rFonts w:ascii="Times New Roman" w:hAnsi="Times New Roman"/>
                              </w:rPr>
                            </w:pPr>
                            <w:r w:rsidRPr="00FA20BC">
                              <w:rPr>
                                <w:rFonts w:ascii="Times New Roman" w:hAnsi="Times New Roman"/>
                                <w:noProof/>
                                <w:sz w:val="24"/>
                                <w:szCs w:val="24"/>
                              </w:rPr>
                              <w:drawing>
                                <wp:inline distT="0" distB="0" distL="0" distR="0" wp14:anchorId="053BA1F9" wp14:editId="5BC18068">
                                  <wp:extent cx="1838325" cy="20193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019300"/>
                                          </a:xfrm>
                                          <a:prstGeom prst="rect">
                                            <a:avLst/>
                                          </a:prstGeom>
                                          <a:noFill/>
                                          <a:ln>
                                            <a:noFill/>
                                          </a:ln>
                                        </pic:spPr>
                                      </pic:pic>
                                    </a:graphicData>
                                  </a:graphic>
                                </wp:inline>
                              </w:drawing>
                            </w:r>
                          </w:p>
                          <w:p w14:paraId="7CADB21D" w14:textId="77777777" w:rsidR="0098712D" w:rsidRDefault="0098712D" w:rsidP="0098712D">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21.5pt;margin-top:22pt;width:145pt;height:15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qHrAIAAKk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" o:allowincell="f" filled="f" stroked="f">
                <v:textbox inset="0,0,0,0">
                  <w:txbxContent>
                    <w:p w:rsidR="0098712D" w:rsidRDefault="00EC1D7B" w:rsidP="0098712D">
                      <w:pPr>
                        <w:spacing w:line="3180" w:lineRule="atLeast"/>
                        <w:rPr>
                          <w:rFonts w:ascii="Times New Roman" w:hAnsi="Times New Roman"/>
                        </w:rPr>
                      </w:pPr>
                      <w:r w:rsidRPr="00FA20BC">
                        <w:rPr>
                          <w:rFonts w:ascii="Times New Roman" w:hAnsi="Times New Roman"/>
                          <w:noProof/>
                          <w:sz w:val="24"/>
                          <w:szCs w:val="24"/>
                        </w:rPr>
                        <w:drawing>
                          <wp:inline distT="0" distB="0" distL="0" distR="0">
                            <wp:extent cx="1838325" cy="20193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019300"/>
                                    </a:xfrm>
                                    <a:prstGeom prst="rect">
                                      <a:avLst/>
                                    </a:prstGeom>
                                    <a:noFill/>
                                    <a:ln>
                                      <a:noFill/>
                                    </a:ln>
                                  </pic:spPr>
                                </pic:pic>
                              </a:graphicData>
                            </a:graphic>
                          </wp:inline>
                        </w:drawing>
                      </w:r>
                    </w:p>
                    <w:p w:rsidR="0098712D" w:rsidRDefault="0098712D" w:rsidP="0098712D">
                      <w:pPr>
                        <w:rPr>
                          <w:rFonts w:ascii="Times New Roman" w:hAnsi="Times New Roman"/>
                        </w:rPr>
                      </w:pPr>
                    </w:p>
                  </w:txbxContent>
                </v:textbox>
                <w10:wrap type="topAndBottom" anchorx="page"/>
              </v:rect>
            </w:pict>
          </mc:Fallback>
        </mc:AlternateContent>
      </w:r>
      <w:r>
        <w:rPr>
          <w:noProof/>
          <w:lang w:val="en-US" w:eastAsia="en-US"/>
        </w:rPr>
        <mc:AlternateContent>
          <mc:Choice Requires="wps">
            <w:drawing>
              <wp:anchor distT="0" distB="0" distL="0" distR="0" simplePos="0" relativeHeight="251657728" behindDoc="0" locked="0" layoutInCell="0" allowOverlap="1" wp14:anchorId="10D7A104" wp14:editId="3B48D53E">
                <wp:simplePos x="0" y="0"/>
                <wp:positionH relativeFrom="page">
                  <wp:posOffset>3937000</wp:posOffset>
                </wp:positionH>
                <wp:positionV relativeFrom="paragraph">
                  <wp:posOffset>140335</wp:posOffset>
                </wp:positionV>
                <wp:extent cx="2209800" cy="2260600"/>
                <wp:effectExtent l="0" t="0" r="0" b="0"/>
                <wp:wrapTopAndBottom/>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3882" w14:textId="77777777" w:rsidR="0098712D" w:rsidRDefault="00EC1D7B" w:rsidP="0098712D">
                            <w:pPr>
                              <w:spacing w:line="3560" w:lineRule="atLeast"/>
                              <w:rPr>
                                <w:rFonts w:ascii="Times New Roman" w:hAnsi="Times New Roman"/>
                              </w:rPr>
                            </w:pPr>
                            <w:r w:rsidRPr="00FA20BC">
                              <w:rPr>
                                <w:rFonts w:ascii="Times New Roman" w:hAnsi="Times New Roman"/>
                                <w:noProof/>
                                <w:sz w:val="24"/>
                                <w:szCs w:val="24"/>
                              </w:rPr>
                              <w:drawing>
                                <wp:inline distT="0" distB="0" distL="0" distR="0" wp14:anchorId="29680367" wp14:editId="1657564B">
                                  <wp:extent cx="2200275" cy="2257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2257425"/>
                                          </a:xfrm>
                                          <a:prstGeom prst="rect">
                                            <a:avLst/>
                                          </a:prstGeom>
                                          <a:noFill/>
                                          <a:ln>
                                            <a:noFill/>
                                          </a:ln>
                                        </pic:spPr>
                                      </pic:pic>
                                    </a:graphicData>
                                  </a:graphic>
                                </wp:inline>
                              </w:drawing>
                            </w:r>
                          </w:p>
                          <w:p w14:paraId="05CED95A" w14:textId="77777777" w:rsidR="0098712D" w:rsidRDefault="0098712D" w:rsidP="0098712D">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10pt;margin-top:11.05pt;width:174pt;height:17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" o:allowincell="f" filled="f" stroked="f">
                <v:textbox inset="0,0,0,0">
                  <w:txbxContent>
                    <w:p w:rsidR="0098712D" w:rsidRDefault="00EC1D7B" w:rsidP="0098712D">
                      <w:pPr>
                        <w:spacing w:line="3560" w:lineRule="atLeast"/>
                        <w:rPr>
                          <w:rFonts w:ascii="Times New Roman" w:hAnsi="Times New Roman"/>
                        </w:rPr>
                      </w:pPr>
                      <w:r w:rsidRPr="00FA20BC">
                        <w:rPr>
                          <w:rFonts w:ascii="Times New Roman" w:hAnsi="Times New Roman"/>
                          <w:noProof/>
                          <w:sz w:val="24"/>
                          <w:szCs w:val="24"/>
                        </w:rPr>
                        <w:drawing>
                          <wp:inline distT="0" distB="0" distL="0" distR="0">
                            <wp:extent cx="2200275" cy="22574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2257425"/>
                                    </a:xfrm>
                                    <a:prstGeom prst="rect">
                                      <a:avLst/>
                                    </a:prstGeom>
                                    <a:noFill/>
                                    <a:ln>
                                      <a:noFill/>
                                    </a:ln>
                                  </pic:spPr>
                                </pic:pic>
                              </a:graphicData>
                            </a:graphic>
                          </wp:inline>
                        </w:drawing>
                      </w:r>
                    </w:p>
                    <w:p w:rsidR="0098712D" w:rsidRDefault="0098712D" w:rsidP="0098712D">
                      <w:pPr>
                        <w:rPr>
                          <w:rFonts w:ascii="Times New Roman" w:hAnsi="Times New Roman"/>
                        </w:rPr>
                      </w:pPr>
                    </w:p>
                  </w:txbxContent>
                </v:textbox>
                <w10:wrap type="topAndBottom" anchorx="page"/>
              </v:rect>
            </w:pict>
          </mc:Fallback>
        </mc:AlternateContent>
      </w:r>
    </w:p>
    <w:p w14:paraId="1472EA22" w14:textId="77777777" w:rsidR="00D067DB" w:rsidRDefault="00D067DB" w:rsidP="00907D14">
      <w:pPr>
        <w:pStyle w:val="ListParagraph"/>
        <w:numPr>
          <w:ilvl w:val="0"/>
          <w:numId w:val="5"/>
        </w:numPr>
        <w:ind w:left="1134" w:hanging="425"/>
        <w:contextualSpacing w:val="0"/>
      </w:pPr>
      <w:r>
        <w:t>The ASEAN Flag shall be displayed during ASEAN meetings, ASEAN Day Celebrations, ceremonies and functions held in Member States.</w:t>
      </w:r>
    </w:p>
    <w:p w14:paraId="178CC6B6" w14:textId="77777777" w:rsidR="000B5F8B" w:rsidRDefault="00D067DB" w:rsidP="00491B2C">
      <w:pPr>
        <w:pStyle w:val="ListParagraph"/>
        <w:numPr>
          <w:ilvl w:val="0"/>
          <w:numId w:val="5"/>
        </w:numPr>
        <w:ind w:left="1134" w:hanging="425"/>
        <w:contextualSpacing w:val="0"/>
      </w:pPr>
      <w:r>
        <w:t>The display of the ASEAN Flag shall be in accordance with national laws and regulations of the respective countries and the provisions under these Guidelines.</w:t>
      </w:r>
    </w:p>
    <w:p w14:paraId="0EAFFBFA" w14:textId="77777777" w:rsidR="00D067DB" w:rsidRDefault="00D067DB" w:rsidP="00907D14">
      <w:pPr>
        <w:pStyle w:val="Heading2"/>
      </w:pPr>
      <w:bookmarkStart w:id="3" w:name="_Toc464556885"/>
      <w:r>
        <w:t xml:space="preserve">B.2. </w:t>
      </w:r>
      <w:r w:rsidRPr="00D067DB">
        <w:t>Use of the ASEAN Flag by the ASEAN Secretariat</w:t>
      </w:r>
      <w:bookmarkEnd w:id="3"/>
    </w:p>
    <w:p w14:paraId="106260B8" w14:textId="77777777" w:rsidR="00D067DB" w:rsidRDefault="00D067DB" w:rsidP="00907D14">
      <w:pPr>
        <w:pStyle w:val="ListParagraph"/>
        <w:numPr>
          <w:ilvl w:val="0"/>
          <w:numId w:val="1"/>
        </w:numPr>
        <w:contextualSpacing w:val="0"/>
      </w:pPr>
      <w:r>
        <w:t>The ASEAN Secretariat shall use the ASEAN Flag in the manner specified under these guidelines that include the following:</w:t>
      </w:r>
    </w:p>
    <w:p w14:paraId="29251D7B" w14:textId="77777777" w:rsidR="00D067DB" w:rsidRDefault="00D067DB" w:rsidP="00907D14">
      <w:pPr>
        <w:pStyle w:val="ListParagraph"/>
        <w:numPr>
          <w:ilvl w:val="0"/>
          <w:numId w:val="8"/>
        </w:numPr>
        <w:ind w:left="1134" w:hanging="425"/>
        <w:contextualSpacing w:val="0"/>
      </w:pPr>
      <w:r>
        <w:t>Display at the Secretariat buildings and residence of the Secretary-  General;</w:t>
      </w:r>
    </w:p>
    <w:p w14:paraId="0FE8B8BA" w14:textId="77777777" w:rsidR="00D067DB" w:rsidRDefault="00D067DB" w:rsidP="00907D14">
      <w:pPr>
        <w:pStyle w:val="ListParagraph"/>
        <w:numPr>
          <w:ilvl w:val="0"/>
          <w:numId w:val="8"/>
        </w:numPr>
        <w:ind w:left="1134" w:hanging="425"/>
        <w:contextualSpacing w:val="0"/>
      </w:pPr>
      <w:r>
        <w:t>During ASEAN meetings;</w:t>
      </w:r>
    </w:p>
    <w:p w14:paraId="6E035E28" w14:textId="77777777" w:rsidR="00D067DB" w:rsidRDefault="00D067DB" w:rsidP="00907D14">
      <w:pPr>
        <w:pStyle w:val="ListParagraph"/>
        <w:numPr>
          <w:ilvl w:val="0"/>
          <w:numId w:val="8"/>
        </w:numPr>
        <w:ind w:left="1134" w:hanging="425"/>
        <w:contextualSpacing w:val="0"/>
      </w:pPr>
      <w:r>
        <w:t>On the official vehicle of the Secretary-General of ASEAN during official functions; and</w:t>
      </w:r>
    </w:p>
    <w:p w14:paraId="12401347" w14:textId="77777777" w:rsidR="00D067DB" w:rsidRDefault="00D067DB" w:rsidP="00907D14">
      <w:pPr>
        <w:pStyle w:val="ListParagraph"/>
        <w:numPr>
          <w:ilvl w:val="0"/>
          <w:numId w:val="8"/>
        </w:numPr>
        <w:ind w:left="1134" w:hanging="425"/>
        <w:contextualSpacing w:val="0"/>
      </w:pPr>
      <w:r>
        <w:t>During ASEAN Day celebrations, official functions, ceremonies, exhibitions, gatherings or any other occasions organised by the ASEAN Secretariat in its effort to promote the interest of ASEAN.</w:t>
      </w:r>
    </w:p>
    <w:p w14:paraId="3F305040" w14:textId="77777777" w:rsidR="00CE23D5" w:rsidRDefault="00D067DB" w:rsidP="00491B2C">
      <w:pPr>
        <w:pStyle w:val="Heading2"/>
        <w:jc w:val="both"/>
      </w:pPr>
      <w:bookmarkStart w:id="4" w:name="_Toc464556886"/>
      <w:r>
        <w:t xml:space="preserve">B.3. </w:t>
      </w:r>
      <w:r w:rsidRPr="00D067DB">
        <w:t>Use of the ASEAN Flag by ASEAN Committees in Third Countries</w:t>
      </w:r>
      <w:bookmarkEnd w:id="4"/>
    </w:p>
    <w:p w14:paraId="3B838FB3" w14:textId="77777777" w:rsidR="00D067DB" w:rsidRDefault="00D067DB" w:rsidP="00907D14">
      <w:pPr>
        <w:pStyle w:val="ListParagraph"/>
        <w:numPr>
          <w:ilvl w:val="0"/>
          <w:numId w:val="1"/>
        </w:numPr>
        <w:contextualSpacing w:val="0"/>
      </w:pPr>
      <w:r>
        <w:t>ASEAN Committees in Third Countries shall also display the ASEAN Flag during ASEAN Day celebrations, official functions, ceremonies, exhibitions, gatherings or any other occasions in its effort to promote the interest of ASEAN.</w:t>
      </w:r>
    </w:p>
    <w:p w14:paraId="412CA7CF" w14:textId="77777777" w:rsidR="00D067DB" w:rsidRDefault="00D067DB" w:rsidP="00907D14">
      <w:pPr>
        <w:pStyle w:val="Heading2"/>
      </w:pPr>
      <w:bookmarkStart w:id="5" w:name="_Toc464556887"/>
      <w:r>
        <w:t>B.4. Use of the ASEAN Flag by ASEAN institutions</w:t>
      </w:r>
      <w:bookmarkEnd w:id="5"/>
    </w:p>
    <w:p w14:paraId="692E8B9C" w14:textId="77777777" w:rsidR="00D067DB" w:rsidRDefault="00D067DB" w:rsidP="00907D14">
      <w:pPr>
        <w:pStyle w:val="ListParagraph"/>
        <w:numPr>
          <w:ilvl w:val="0"/>
          <w:numId w:val="1"/>
        </w:numPr>
        <w:contextualSpacing w:val="0"/>
      </w:pPr>
      <w:r>
        <w:t>ASEAN institutions shall display the ASEAN Flag at their premises as well as during ASEAN meetings, ASEAN Day celebrations, official functions, ceremonies, exhibitions, gatherings or any other occasions in its effort to promote the interest of ASEAN.</w:t>
      </w:r>
    </w:p>
    <w:p w14:paraId="39AED097" w14:textId="77777777" w:rsidR="000B5F8B" w:rsidRDefault="000B5F8B" w:rsidP="00907D14">
      <w:pPr>
        <w:pStyle w:val="Heading2"/>
      </w:pPr>
    </w:p>
    <w:p w14:paraId="0285006F" w14:textId="77777777" w:rsidR="00D067DB" w:rsidRDefault="00D067DB" w:rsidP="00907D14">
      <w:pPr>
        <w:pStyle w:val="Heading2"/>
      </w:pPr>
      <w:bookmarkStart w:id="6" w:name="_Toc464556888"/>
      <w:r>
        <w:t>B.5. Use of the ASEAN Flag by Countries, International Organisations and Entities Associated with ASEAN</w:t>
      </w:r>
      <w:bookmarkEnd w:id="6"/>
    </w:p>
    <w:p w14:paraId="436E520E" w14:textId="77777777" w:rsidR="00D067DB" w:rsidRDefault="00D067DB" w:rsidP="00907D14">
      <w:pPr>
        <w:pStyle w:val="ListParagraph"/>
        <w:numPr>
          <w:ilvl w:val="0"/>
          <w:numId w:val="1"/>
        </w:numPr>
        <w:contextualSpacing w:val="0"/>
      </w:pPr>
      <w:r>
        <w:t>Countries which have relations with ASEAN, International Organisations which work closely with ASEAN and entities associated with ASEAN may display the ASEAN Flag in support of activities related to ASEAN.</w:t>
      </w:r>
    </w:p>
    <w:p w14:paraId="7A4EB19C" w14:textId="77777777" w:rsidR="00D067DB" w:rsidRDefault="00D067DB" w:rsidP="00907D14">
      <w:pPr>
        <w:pStyle w:val="Heading2"/>
      </w:pPr>
      <w:bookmarkStart w:id="7" w:name="_Toc464556889"/>
      <w:r>
        <w:t>B.6. Use of the ASEAN Flag in Mourning</w:t>
      </w:r>
      <w:bookmarkEnd w:id="7"/>
    </w:p>
    <w:p w14:paraId="3800AC4D" w14:textId="77777777" w:rsidR="00D067DB" w:rsidRDefault="00D067DB" w:rsidP="00907D14">
      <w:pPr>
        <w:pStyle w:val="ListParagraph"/>
        <w:numPr>
          <w:ilvl w:val="0"/>
          <w:numId w:val="1"/>
        </w:numPr>
        <w:contextualSpacing w:val="0"/>
      </w:pPr>
      <w:r>
        <w:t>Upon the passing of a Head of State or Government of a Member State, the ASEAN Flag will be flown at half-mast at the ASEAN Secretariat building and other ASEAN institutional buildings for an official mourning period.  The ASEAN Flag may also be flown at half-mast in special circumstances, including natural calamities in ASEAN Member States, upon the approval of   all ASEAN Member States.</w:t>
      </w:r>
    </w:p>
    <w:p w14:paraId="0CDEDEEA" w14:textId="77777777" w:rsidR="00D067DB" w:rsidRDefault="00D067DB" w:rsidP="00907D14">
      <w:pPr>
        <w:pStyle w:val="ListParagraph"/>
        <w:numPr>
          <w:ilvl w:val="0"/>
          <w:numId w:val="1"/>
        </w:numPr>
        <w:contextualSpacing w:val="0"/>
      </w:pPr>
      <w:r>
        <w:t>Member States will decide if the ASEAN Flag should be flown at half-mast in their respective countries as well as the period of mourning.</w:t>
      </w:r>
    </w:p>
    <w:p w14:paraId="5D1A81C9" w14:textId="77777777" w:rsidR="00D067DB" w:rsidRDefault="00D067DB" w:rsidP="00907D14">
      <w:pPr>
        <w:pStyle w:val="Heading1"/>
        <w:numPr>
          <w:ilvl w:val="0"/>
          <w:numId w:val="4"/>
        </w:numPr>
        <w:spacing w:after="120"/>
      </w:pPr>
      <w:bookmarkStart w:id="8" w:name="_Toc464556890"/>
      <w:r>
        <w:t>Position of ASEAN Flag in the Flag Arrangements for ASEAN Meetings</w:t>
      </w:r>
      <w:bookmarkEnd w:id="8"/>
    </w:p>
    <w:p w14:paraId="5CF1E07F" w14:textId="77777777" w:rsidR="00D067DB" w:rsidRDefault="00D067DB" w:rsidP="00491B2C">
      <w:pPr>
        <w:pStyle w:val="ListParagraph"/>
        <w:numPr>
          <w:ilvl w:val="0"/>
          <w:numId w:val="1"/>
        </w:numPr>
        <w:contextualSpacing w:val="0"/>
      </w:pPr>
      <w:r>
        <w:t>The ASEAN outdoor/venue and room flag shall be displayed together with the flags of ASEAN Member States in alphabetical order, based on the names of Member States, starting from Brunei Darussalam on the extreme left and with the ASEAN Flag always on the extreme right after the national flag of Viet Nam, in the following manner:</w:t>
      </w:r>
    </w:p>
    <w:p w14:paraId="463E583B" w14:textId="77777777" w:rsidR="00D067DB" w:rsidRDefault="00EC1D7B" w:rsidP="00907D14">
      <w:pPr>
        <w:pStyle w:val="BodyText"/>
        <w:kinsoku w:val="0"/>
        <w:overflowPunct w:val="0"/>
        <w:spacing w:before="240" w:after="120" w:line="276" w:lineRule="auto"/>
        <w:ind w:left="2189"/>
        <w:jc w:val="both"/>
        <w:rPr>
          <w:sz w:val="20"/>
          <w:szCs w:val="20"/>
        </w:rPr>
      </w:pPr>
      <w:r w:rsidRPr="00FA20BC">
        <w:rPr>
          <w:noProof/>
          <w:sz w:val="20"/>
          <w:szCs w:val="20"/>
          <w:lang w:val="en-US" w:eastAsia="en-US"/>
        </w:rPr>
        <w:drawing>
          <wp:inline distT="0" distB="0" distL="0" distR="0" wp14:anchorId="74298D9A" wp14:editId="792A443A">
            <wp:extent cx="2924175" cy="16383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638300"/>
                    </a:xfrm>
                    <a:prstGeom prst="rect">
                      <a:avLst/>
                    </a:prstGeom>
                    <a:noFill/>
                    <a:ln>
                      <a:noFill/>
                    </a:ln>
                  </pic:spPr>
                </pic:pic>
              </a:graphicData>
            </a:graphic>
          </wp:inline>
        </w:drawing>
      </w:r>
    </w:p>
    <w:p w14:paraId="60CB9F15" w14:textId="77777777" w:rsidR="000B5F8B" w:rsidRDefault="00D067DB" w:rsidP="00907D14">
      <w:pPr>
        <w:pStyle w:val="ListParagraph"/>
        <w:numPr>
          <w:ilvl w:val="0"/>
          <w:numId w:val="1"/>
        </w:numPr>
        <w:contextualSpacing w:val="0"/>
      </w:pPr>
      <w:r w:rsidRPr="00D067DB">
        <w:t>When placed with the flag of a Dialogue Partner, the ASEAN Flag along with the flags of ASEAN Member States shall be displayed in the following manner:</w:t>
      </w:r>
    </w:p>
    <w:p w14:paraId="7EA2C5B0" w14:textId="77777777" w:rsidR="00D067DB" w:rsidRDefault="00EC1D7B" w:rsidP="00907D14">
      <w:pPr>
        <w:ind w:left="2127"/>
        <w:jc w:val="left"/>
      </w:pPr>
      <w:r w:rsidRPr="00FA20BC">
        <w:rPr>
          <w:noProof/>
        </w:rPr>
        <w:drawing>
          <wp:inline distT="0" distB="0" distL="0" distR="0" wp14:anchorId="65886BDD" wp14:editId="3D9EF4CC">
            <wp:extent cx="2600325" cy="180975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0325" cy="1809750"/>
                    </a:xfrm>
                    <a:prstGeom prst="rect">
                      <a:avLst/>
                    </a:prstGeom>
                    <a:noFill/>
                    <a:ln>
                      <a:noFill/>
                    </a:ln>
                  </pic:spPr>
                </pic:pic>
              </a:graphicData>
            </a:graphic>
          </wp:inline>
        </w:drawing>
      </w:r>
    </w:p>
    <w:p w14:paraId="4586E1B4" w14:textId="77777777" w:rsidR="00D067DB" w:rsidRPr="00D067DB" w:rsidRDefault="00D067DB" w:rsidP="00907D14">
      <w:pPr>
        <w:pStyle w:val="ListParagraph"/>
        <w:widowControl w:val="0"/>
        <w:numPr>
          <w:ilvl w:val="0"/>
          <w:numId w:val="1"/>
        </w:numPr>
        <w:tabs>
          <w:tab w:val="left" w:pos="462"/>
        </w:tabs>
        <w:kinsoku w:val="0"/>
        <w:overflowPunct w:val="0"/>
        <w:autoSpaceDE w:val="0"/>
        <w:autoSpaceDN w:val="0"/>
        <w:adjustRightInd w:val="0"/>
        <w:ind w:right="111"/>
        <w:contextualSpacing w:val="0"/>
      </w:pPr>
      <w:r w:rsidRPr="00D067DB">
        <w:lastRenderedPageBreak/>
        <w:t>The ASEAN table flag shall be displayed at the left side of the name plaque of the ASEAN Secretariat, in the following</w:t>
      </w:r>
      <w:r w:rsidRPr="00D067DB">
        <w:rPr>
          <w:spacing w:val="42"/>
        </w:rPr>
        <w:t xml:space="preserve"> </w:t>
      </w:r>
      <w:r w:rsidRPr="00D067DB">
        <w:t>manner:</w:t>
      </w:r>
    </w:p>
    <w:p w14:paraId="628D9E77" w14:textId="77777777" w:rsidR="000B5F8B" w:rsidRDefault="00EC1D7B" w:rsidP="00491B2C">
      <w:pPr>
        <w:ind w:left="2127"/>
      </w:pPr>
      <w:r w:rsidRPr="00FA20BC">
        <w:rPr>
          <w:rFonts w:ascii="Times New Roman" w:hAnsi="Times New Roman"/>
          <w:noProof/>
        </w:rPr>
        <w:drawing>
          <wp:inline distT="0" distB="0" distL="0" distR="0" wp14:anchorId="16220516" wp14:editId="3229E1B4">
            <wp:extent cx="2324100" cy="208597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2085975"/>
                    </a:xfrm>
                    <a:prstGeom prst="rect">
                      <a:avLst/>
                    </a:prstGeom>
                    <a:noFill/>
                    <a:ln>
                      <a:noFill/>
                    </a:ln>
                  </pic:spPr>
                </pic:pic>
              </a:graphicData>
            </a:graphic>
          </wp:inline>
        </w:drawing>
      </w:r>
    </w:p>
    <w:p w14:paraId="6E052088" w14:textId="77777777" w:rsidR="000B5F8B" w:rsidRDefault="000B5F8B" w:rsidP="00907D14">
      <w:pPr>
        <w:pStyle w:val="Heading1"/>
        <w:numPr>
          <w:ilvl w:val="0"/>
          <w:numId w:val="4"/>
        </w:numPr>
        <w:spacing w:after="120"/>
      </w:pPr>
      <w:bookmarkStart w:id="9" w:name="_Toc464556891"/>
      <w:r>
        <w:t>Disposal of Worn Flag</w:t>
      </w:r>
      <w:bookmarkEnd w:id="9"/>
    </w:p>
    <w:p w14:paraId="55BDF16C" w14:textId="77777777" w:rsidR="000B5F8B" w:rsidRDefault="000B5F8B" w:rsidP="00907D14">
      <w:pPr>
        <w:pStyle w:val="ListParagraph"/>
        <w:numPr>
          <w:ilvl w:val="0"/>
          <w:numId w:val="1"/>
        </w:numPr>
        <w:contextualSpacing w:val="0"/>
      </w:pPr>
      <w:r>
        <w:t>When the ASEAN Flag has become worn or torn or frayed, it shall not be displayed, and shall be properly disposed of.</w:t>
      </w:r>
    </w:p>
    <w:p w14:paraId="72E3AB5A" w14:textId="77777777" w:rsidR="000B5F8B" w:rsidRDefault="000B5F8B" w:rsidP="00907D14">
      <w:pPr>
        <w:pStyle w:val="Heading1"/>
        <w:numPr>
          <w:ilvl w:val="0"/>
          <w:numId w:val="4"/>
        </w:numPr>
        <w:spacing w:after="120"/>
      </w:pPr>
      <w:bookmarkStart w:id="10" w:name="_Toc464556892"/>
      <w:r>
        <w:t>Approval of and Amendments to the Guidelines</w:t>
      </w:r>
      <w:bookmarkEnd w:id="10"/>
    </w:p>
    <w:p w14:paraId="233183D9" w14:textId="77777777" w:rsidR="000B5F8B" w:rsidRDefault="000B5F8B" w:rsidP="00907D14">
      <w:pPr>
        <w:pStyle w:val="ListParagraph"/>
        <w:numPr>
          <w:ilvl w:val="0"/>
          <w:numId w:val="1"/>
        </w:numPr>
        <w:contextualSpacing w:val="0"/>
      </w:pPr>
      <w:r>
        <w:t>The Guidelines shall be approved by the ASEAN Coordinating Council (ACC).</w:t>
      </w:r>
    </w:p>
    <w:p w14:paraId="3D9BE1E4" w14:textId="77777777" w:rsidR="00483E8E" w:rsidRDefault="000B5F8B" w:rsidP="00907D14">
      <w:pPr>
        <w:pStyle w:val="ListParagraph"/>
        <w:numPr>
          <w:ilvl w:val="0"/>
          <w:numId w:val="1"/>
        </w:numPr>
        <w:contextualSpacing w:val="0"/>
      </w:pPr>
      <w:r>
        <w:t>Any Member State may propose amendments to the Guidelines, which shall be submitted to the Committee of Permanent Representatives (CPR) for its consideration and agreed upon by consensus. The agreed amendments shall be submitted to the ASEAN Coordinating Council (ACC) for notation, and thereafter come into immediate effect.</w:t>
      </w:r>
    </w:p>
    <w:p w14:paraId="2035BB4D" w14:textId="77777777" w:rsidR="00483E8E" w:rsidRDefault="00483E8E" w:rsidP="00907D14">
      <w:pPr>
        <w:pStyle w:val="Heading1"/>
        <w:spacing w:after="120"/>
      </w:pPr>
      <w:r>
        <w:br w:type="page"/>
      </w:r>
      <w:bookmarkStart w:id="11" w:name="_Toc464556893"/>
      <w:r>
        <w:lastRenderedPageBreak/>
        <w:t>ANNEX</w:t>
      </w:r>
      <w:bookmarkEnd w:id="11"/>
    </w:p>
    <w:p w14:paraId="485F39C9" w14:textId="77777777" w:rsidR="00483E8E" w:rsidRDefault="00483E8E" w:rsidP="00907D14">
      <w:pPr>
        <w:pStyle w:val="Heading2"/>
      </w:pPr>
      <w:bookmarkStart w:id="12" w:name="_Toc464556894"/>
      <w:r>
        <w:t>A. Specifications</w:t>
      </w:r>
      <w:bookmarkEnd w:id="12"/>
    </w:p>
    <w:p w14:paraId="0838B26F" w14:textId="77777777" w:rsidR="00483E8E" w:rsidRDefault="00483E8E" w:rsidP="00907D14">
      <w:pPr>
        <w:pStyle w:val="ListParagraph"/>
        <w:numPr>
          <w:ilvl w:val="0"/>
          <w:numId w:val="15"/>
        </w:numPr>
        <w:jc w:val="left"/>
      </w:pPr>
      <w:r>
        <w:t>The specifications of Pantone Colour for the colours of the ASEAN Flag are:</w:t>
      </w:r>
    </w:p>
    <w:p w14:paraId="0221FAB5" w14:textId="77777777" w:rsidR="00483E8E" w:rsidRDefault="00483E8E" w:rsidP="00907D14">
      <w:pPr>
        <w:tabs>
          <w:tab w:val="left" w:pos="2552"/>
        </w:tabs>
        <w:ind w:left="709"/>
        <w:jc w:val="left"/>
      </w:pPr>
      <w:r>
        <w:t>Background</w:t>
      </w:r>
      <w:r>
        <w:tab/>
        <w:t>:</w:t>
      </w:r>
      <w:r w:rsidR="00333438">
        <w:t xml:space="preserve"> </w:t>
      </w:r>
      <w:r>
        <w:t xml:space="preserve"> Pantone 19-4053</w:t>
      </w:r>
    </w:p>
    <w:p w14:paraId="6C9BB5F0" w14:textId="77777777" w:rsidR="00483E8E" w:rsidRDefault="00483E8E" w:rsidP="00907D14">
      <w:pPr>
        <w:tabs>
          <w:tab w:val="left" w:pos="2552"/>
        </w:tabs>
        <w:ind w:left="709" w:firstLine="1985"/>
        <w:jc w:val="left"/>
      </w:pPr>
      <w:r>
        <w:t xml:space="preserve">TC/Pantone Blue 286 </w:t>
      </w:r>
    </w:p>
    <w:p w14:paraId="2C9F9D45" w14:textId="77777777" w:rsidR="00333438" w:rsidRDefault="00483E8E" w:rsidP="00907D14">
      <w:pPr>
        <w:tabs>
          <w:tab w:val="left" w:pos="2552"/>
        </w:tabs>
        <w:ind w:left="709"/>
        <w:jc w:val="left"/>
      </w:pPr>
      <w:r>
        <w:t>Outer Ring</w:t>
      </w:r>
      <w:r>
        <w:tab/>
        <w:t xml:space="preserve">: </w:t>
      </w:r>
      <w:r w:rsidR="00333438">
        <w:t xml:space="preserve"> </w:t>
      </w:r>
      <w:r>
        <w:t>Pantone 11-4202</w:t>
      </w:r>
      <w:r w:rsidR="00333438">
        <w:t xml:space="preserve"> </w:t>
      </w:r>
    </w:p>
    <w:p w14:paraId="02612BD3" w14:textId="77777777" w:rsidR="00483E8E" w:rsidRDefault="00483E8E" w:rsidP="00907D14">
      <w:pPr>
        <w:tabs>
          <w:tab w:val="left" w:pos="2552"/>
        </w:tabs>
        <w:ind w:left="709" w:firstLine="1985"/>
        <w:jc w:val="left"/>
      </w:pPr>
      <w:r>
        <w:t xml:space="preserve">TC/Plain White </w:t>
      </w:r>
    </w:p>
    <w:p w14:paraId="64DAE344" w14:textId="77777777" w:rsidR="00333438" w:rsidRDefault="00483E8E" w:rsidP="00907D14">
      <w:pPr>
        <w:tabs>
          <w:tab w:val="left" w:pos="2552"/>
        </w:tabs>
        <w:ind w:left="709"/>
        <w:jc w:val="left"/>
      </w:pPr>
      <w:r>
        <w:t>Circular Area</w:t>
      </w:r>
      <w:r>
        <w:tab/>
        <w:t>:</w:t>
      </w:r>
      <w:r w:rsidR="00333438">
        <w:t xml:space="preserve">  </w:t>
      </w:r>
      <w:r>
        <w:t>Pantone 18-1655</w:t>
      </w:r>
    </w:p>
    <w:p w14:paraId="3C4D8897" w14:textId="77777777" w:rsidR="00483E8E" w:rsidRDefault="00333438" w:rsidP="00907D14">
      <w:pPr>
        <w:tabs>
          <w:tab w:val="left" w:pos="2552"/>
        </w:tabs>
        <w:ind w:left="709" w:firstLine="1985"/>
        <w:jc w:val="left"/>
      </w:pPr>
      <w:r>
        <w:t>TC/Pantone Red 032</w:t>
      </w:r>
    </w:p>
    <w:p w14:paraId="057DCE05" w14:textId="77777777" w:rsidR="00483E8E" w:rsidRDefault="00483E8E" w:rsidP="00907D14">
      <w:pPr>
        <w:tabs>
          <w:tab w:val="left" w:pos="2552"/>
        </w:tabs>
        <w:ind w:left="709"/>
        <w:jc w:val="left"/>
      </w:pPr>
      <w:r>
        <w:t>Rice Stalks</w:t>
      </w:r>
      <w:r w:rsidR="00333438">
        <w:tab/>
      </w:r>
      <w:r>
        <w:t>:</w:t>
      </w:r>
      <w:r w:rsidR="00333438">
        <w:t xml:space="preserve">  </w:t>
      </w:r>
      <w:r>
        <w:t>Pantone 13-0758</w:t>
      </w:r>
    </w:p>
    <w:p w14:paraId="46553C08" w14:textId="77777777" w:rsidR="00483E8E" w:rsidRDefault="00483E8E" w:rsidP="00907D14">
      <w:pPr>
        <w:tabs>
          <w:tab w:val="left" w:pos="2552"/>
        </w:tabs>
        <w:ind w:left="709" w:firstLine="1985"/>
        <w:jc w:val="left"/>
      </w:pPr>
      <w:r>
        <w:t>TC/Pantone Process Yellow</w:t>
      </w:r>
    </w:p>
    <w:p w14:paraId="4EECCACF" w14:textId="77777777" w:rsidR="00483E8E" w:rsidRDefault="00491B2C" w:rsidP="00907D14">
      <w:pPr>
        <w:pStyle w:val="Heading2"/>
      </w:pPr>
      <w:r>
        <w:br w:type="page"/>
      </w:r>
      <w:bookmarkStart w:id="13" w:name="_Toc464556895"/>
      <w:r w:rsidR="00483E8E">
        <w:lastRenderedPageBreak/>
        <w:t>B. Design of the ASEAN Flag</w:t>
      </w:r>
      <w:bookmarkEnd w:id="13"/>
    </w:p>
    <w:p w14:paraId="6D2D411C" w14:textId="77777777" w:rsidR="00483E8E" w:rsidRDefault="00483E8E" w:rsidP="00907D14">
      <w:pPr>
        <w:pStyle w:val="ListParagraph"/>
        <w:numPr>
          <w:ilvl w:val="0"/>
          <w:numId w:val="15"/>
        </w:numPr>
        <w:jc w:val="left"/>
      </w:pPr>
      <w:r>
        <w:t>The ASEAN Flag comes in four versions, namely, the Table Flag, Room Flag, Car Flag, and Outdoor/ Venue Flag. While the colour specifications are the same for all versions, the measurements and materials used differ.</w:t>
      </w:r>
    </w:p>
    <w:p w14:paraId="7C27CE2C" w14:textId="77777777" w:rsidR="00333438" w:rsidRDefault="00333438" w:rsidP="00907D14">
      <w:pPr>
        <w:pStyle w:val="Heading3"/>
      </w:pPr>
      <w:bookmarkStart w:id="14" w:name="_Toc464556896"/>
      <w:r>
        <w:t xml:space="preserve">B.1. </w:t>
      </w:r>
      <w:r w:rsidRPr="00333438">
        <w:t>Table Flag</w:t>
      </w:r>
      <w:bookmarkEnd w:id="14"/>
    </w:p>
    <w:p w14:paraId="1E1D69B2" w14:textId="77777777" w:rsidR="00333438" w:rsidRDefault="00EC1D7B" w:rsidP="00907D14">
      <w:r w:rsidRPr="00FA20BC">
        <w:rPr>
          <w:noProof/>
        </w:rPr>
        <w:drawing>
          <wp:inline distT="0" distB="0" distL="0" distR="0" wp14:anchorId="0BC47F86" wp14:editId="0C5CF5F3">
            <wp:extent cx="4467225" cy="3152775"/>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225" cy="3152775"/>
                    </a:xfrm>
                    <a:prstGeom prst="rect">
                      <a:avLst/>
                    </a:prstGeom>
                    <a:noFill/>
                    <a:ln>
                      <a:noFill/>
                    </a:ln>
                  </pic:spPr>
                </pic:pic>
              </a:graphicData>
            </a:graphic>
          </wp:inline>
        </w:drawing>
      </w:r>
    </w:p>
    <w:p w14:paraId="696C80F1" w14:textId="77777777" w:rsidR="00333438" w:rsidRDefault="00333438" w:rsidP="00907D14">
      <w:r>
        <w:t>Measurement and Material:</w:t>
      </w:r>
    </w:p>
    <w:p w14:paraId="029B8EFF" w14:textId="77777777" w:rsidR="00333438" w:rsidRDefault="00333438" w:rsidP="00907D14">
      <w:r>
        <w:t>Size</w:t>
      </w:r>
      <w:r>
        <w:tab/>
      </w:r>
      <w:r>
        <w:tab/>
      </w:r>
      <w:r>
        <w:tab/>
        <w:t xml:space="preserve">: 10 cm x 15 cm </w:t>
      </w:r>
    </w:p>
    <w:p w14:paraId="24C98044" w14:textId="77777777" w:rsidR="00333438" w:rsidRDefault="00333438" w:rsidP="00907D14">
      <w:r>
        <w:t>Emblem Diameter</w:t>
      </w:r>
      <w:r>
        <w:tab/>
        <w:t>: 6 cm</w:t>
      </w:r>
    </w:p>
    <w:p w14:paraId="614A69F3" w14:textId="77777777" w:rsidR="00333438" w:rsidRDefault="00333438" w:rsidP="00907D14">
      <w:r>
        <w:t>Material</w:t>
      </w:r>
      <w:r>
        <w:tab/>
      </w:r>
      <w:r>
        <w:tab/>
      </w:r>
      <w:r>
        <w:tab/>
        <w:t xml:space="preserve">: Polyester – Nylon </w:t>
      </w:r>
    </w:p>
    <w:p w14:paraId="7ECF776D" w14:textId="77777777" w:rsidR="00333438" w:rsidRDefault="00333438" w:rsidP="00907D14">
      <w:r>
        <w:t xml:space="preserve">Process Technique </w:t>
      </w:r>
      <w:r>
        <w:tab/>
        <w:t xml:space="preserve">: Screen Printing; Sewing </w:t>
      </w:r>
    </w:p>
    <w:p w14:paraId="78257CDE" w14:textId="77777777" w:rsidR="00333438" w:rsidRDefault="00333438" w:rsidP="00907D14">
      <w:r>
        <w:t>Finishing</w:t>
      </w:r>
      <w:r>
        <w:tab/>
      </w:r>
      <w:r>
        <w:tab/>
        <w:t>: Double stitch on sides</w:t>
      </w:r>
    </w:p>
    <w:p w14:paraId="51343C9F" w14:textId="77777777" w:rsidR="00333438" w:rsidRDefault="00491B2C" w:rsidP="00907D14">
      <w:pPr>
        <w:pStyle w:val="Heading3"/>
      </w:pPr>
      <w:r>
        <w:br w:type="page"/>
      </w:r>
      <w:bookmarkStart w:id="15" w:name="_Toc464556897"/>
      <w:r w:rsidR="00333438">
        <w:lastRenderedPageBreak/>
        <w:t>B.2. Room Flag</w:t>
      </w:r>
      <w:bookmarkEnd w:id="15"/>
    </w:p>
    <w:p w14:paraId="5C066FDC" w14:textId="77777777" w:rsidR="00333438" w:rsidRDefault="00EC1D7B" w:rsidP="00907D14">
      <w:r w:rsidRPr="00FA20BC">
        <w:rPr>
          <w:noProof/>
        </w:rPr>
        <w:drawing>
          <wp:inline distT="0" distB="0" distL="0" distR="0" wp14:anchorId="65541C94" wp14:editId="66D94789">
            <wp:extent cx="4476750" cy="310515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3105150"/>
                    </a:xfrm>
                    <a:prstGeom prst="rect">
                      <a:avLst/>
                    </a:prstGeom>
                    <a:noFill/>
                    <a:ln>
                      <a:noFill/>
                    </a:ln>
                  </pic:spPr>
                </pic:pic>
              </a:graphicData>
            </a:graphic>
          </wp:inline>
        </w:drawing>
      </w:r>
    </w:p>
    <w:p w14:paraId="7DFE2B6D" w14:textId="77777777" w:rsidR="00333438" w:rsidRDefault="00333438" w:rsidP="00907D14">
      <w:r>
        <w:t>Measurement and Material:</w:t>
      </w:r>
    </w:p>
    <w:p w14:paraId="1AD4F301" w14:textId="77777777" w:rsidR="00333438" w:rsidRDefault="00333438" w:rsidP="00907D14">
      <w:r>
        <w:t>Size</w:t>
      </w:r>
      <w:r>
        <w:tab/>
      </w:r>
      <w:r>
        <w:tab/>
      </w:r>
      <w:r>
        <w:tab/>
        <w:t xml:space="preserve">: 100 cm x 150 cm </w:t>
      </w:r>
    </w:p>
    <w:p w14:paraId="767B3152" w14:textId="77777777" w:rsidR="00333438" w:rsidRDefault="00333438" w:rsidP="00907D14">
      <w:r>
        <w:t>Emblem Diameter</w:t>
      </w:r>
      <w:r>
        <w:tab/>
        <w:t>: 60 cm</w:t>
      </w:r>
    </w:p>
    <w:p w14:paraId="6F200D53" w14:textId="77777777" w:rsidR="00333438" w:rsidRDefault="00333438" w:rsidP="00907D14">
      <w:r>
        <w:t>Material</w:t>
      </w:r>
      <w:r>
        <w:tab/>
      </w:r>
      <w:r>
        <w:tab/>
      </w:r>
      <w:r>
        <w:tab/>
        <w:t xml:space="preserve">: Polyester – Nylon </w:t>
      </w:r>
    </w:p>
    <w:p w14:paraId="3BAC10C7" w14:textId="77777777" w:rsidR="00333438" w:rsidRDefault="00333438" w:rsidP="00907D14">
      <w:r>
        <w:t>Process Technique</w:t>
      </w:r>
      <w:r>
        <w:tab/>
        <w:t xml:space="preserve">: Screen Printing; Sewing </w:t>
      </w:r>
    </w:p>
    <w:p w14:paraId="530C8439" w14:textId="77777777" w:rsidR="00333438" w:rsidRDefault="00333438" w:rsidP="00907D14">
      <w:r>
        <w:t>Finishing</w:t>
      </w:r>
      <w:r>
        <w:tab/>
      </w:r>
      <w:r>
        <w:tab/>
        <w:t>: Double stitch on sides</w:t>
      </w:r>
    </w:p>
    <w:p w14:paraId="2239680F" w14:textId="77777777" w:rsidR="00333438" w:rsidRDefault="00333438" w:rsidP="00907D14">
      <w:pPr>
        <w:pStyle w:val="Heading3"/>
      </w:pPr>
      <w:r>
        <w:br w:type="page"/>
      </w:r>
      <w:bookmarkStart w:id="16" w:name="_Toc464556898"/>
      <w:r>
        <w:lastRenderedPageBreak/>
        <w:t>B.3. Car Flag</w:t>
      </w:r>
      <w:bookmarkEnd w:id="16"/>
    </w:p>
    <w:p w14:paraId="0F59C9C4" w14:textId="77777777" w:rsidR="00333438" w:rsidRDefault="00EC1D7B" w:rsidP="00907D14">
      <w:r w:rsidRPr="00FA20BC">
        <w:rPr>
          <w:noProof/>
        </w:rPr>
        <w:drawing>
          <wp:inline distT="0" distB="0" distL="0" distR="0" wp14:anchorId="389A3095" wp14:editId="0E46877E">
            <wp:extent cx="4533900" cy="3000375"/>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3000375"/>
                    </a:xfrm>
                    <a:prstGeom prst="rect">
                      <a:avLst/>
                    </a:prstGeom>
                    <a:noFill/>
                    <a:ln>
                      <a:noFill/>
                    </a:ln>
                  </pic:spPr>
                </pic:pic>
              </a:graphicData>
            </a:graphic>
          </wp:inline>
        </w:drawing>
      </w:r>
    </w:p>
    <w:p w14:paraId="029E0E2B" w14:textId="77777777" w:rsidR="00333438" w:rsidRDefault="00333438" w:rsidP="00907D14">
      <w:r>
        <w:t>Measurement and Material:</w:t>
      </w:r>
    </w:p>
    <w:p w14:paraId="04923050" w14:textId="77777777" w:rsidR="00333438" w:rsidRDefault="00333438" w:rsidP="00907D14">
      <w:r>
        <w:t>Size</w:t>
      </w:r>
      <w:r>
        <w:tab/>
      </w:r>
      <w:r>
        <w:tab/>
      </w:r>
      <w:r>
        <w:tab/>
        <w:t xml:space="preserve">: 20 cm x 30 cm </w:t>
      </w:r>
    </w:p>
    <w:p w14:paraId="77541260" w14:textId="77777777" w:rsidR="00333438" w:rsidRDefault="00333438" w:rsidP="00907D14">
      <w:r>
        <w:t>Emblem Diameter</w:t>
      </w:r>
      <w:r>
        <w:tab/>
        <w:t>: 12 cm</w:t>
      </w:r>
    </w:p>
    <w:p w14:paraId="6F51EF3D" w14:textId="77777777" w:rsidR="00333438" w:rsidRDefault="00333438" w:rsidP="00907D14">
      <w:r>
        <w:t>Material</w:t>
      </w:r>
      <w:r>
        <w:tab/>
      </w:r>
      <w:r>
        <w:tab/>
      </w:r>
      <w:r>
        <w:tab/>
        <w:t xml:space="preserve">: Polyester – Nylon </w:t>
      </w:r>
    </w:p>
    <w:p w14:paraId="3553EA53" w14:textId="77777777" w:rsidR="00333438" w:rsidRDefault="00333438" w:rsidP="00907D14">
      <w:r>
        <w:t>Process Technique</w:t>
      </w:r>
      <w:r>
        <w:tab/>
        <w:t xml:space="preserve">: Screen Printing; Sewing </w:t>
      </w:r>
    </w:p>
    <w:p w14:paraId="6F515308" w14:textId="77777777" w:rsidR="00333438" w:rsidRDefault="00333438" w:rsidP="00907D14">
      <w:r>
        <w:t>Finishing</w:t>
      </w:r>
      <w:r>
        <w:tab/>
      </w:r>
      <w:r>
        <w:tab/>
        <w:t>: Double stitch on sides</w:t>
      </w:r>
    </w:p>
    <w:p w14:paraId="1DEB54CB" w14:textId="77777777" w:rsidR="00907D14" w:rsidRDefault="00333438" w:rsidP="00907D14">
      <w:r>
        <w:br w:type="page"/>
      </w:r>
      <w:r>
        <w:lastRenderedPageBreak/>
        <w:t>B.4. Outdoor/Venue Flag</w:t>
      </w:r>
      <w:r w:rsidR="00907D14">
        <w:rPr>
          <w:rStyle w:val="FootnoteReference"/>
        </w:rPr>
        <w:footnoteReference w:id="1"/>
      </w:r>
    </w:p>
    <w:p w14:paraId="68209F06" w14:textId="77777777" w:rsidR="00333438" w:rsidRDefault="00EC1D7B" w:rsidP="00907D14">
      <w:r w:rsidRPr="00FA20BC">
        <w:rPr>
          <w:noProof/>
        </w:rPr>
        <w:drawing>
          <wp:inline distT="0" distB="0" distL="0" distR="0" wp14:anchorId="42C8AB90" wp14:editId="276A9565">
            <wp:extent cx="4505325" cy="3000375"/>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3000375"/>
                    </a:xfrm>
                    <a:prstGeom prst="rect">
                      <a:avLst/>
                    </a:prstGeom>
                    <a:noFill/>
                    <a:ln>
                      <a:noFill/>
                    </a:ln>
                  </pic:spPr>
                </pic:pic>
              </a:graphicData>
            </a:graphic>
          </wp:inline>
        </w:drawing>
      </w:r>
    </w:p>
    <w:p w14:paraId="46819A9F" w14:textId="77777777" w:rsidR="00333438" w:rsidRDefault="00333438" w:rsidP="00907D14">
      <w:r>
        <w:t>Measurement and Material:</w:t>
      </w:r>
    </w:p>
    <w:p w14:paraId="75159FBF" w14:textId="77777777" w:rsidR="00333438" w:rsidRDefault="00333438" w:rsidP="00907D14">
      <w:r>
        <w:t>Size</w:t>
      </w:r>
      <w:r>
        <w:tab/>
      </w:r>
      <w:r>
        <w:tab/>
      </w:r>
      <w:r>
        <w:tab/>
        <w:t xml:space="preserve">: 200 cm x 300 cm </w:t>
      </w:r>
    </w:p>
    <w:p w14:paraId="599E685B" w14:textId="77777777" w:rsidR="00333438" w:rsidRDefault="00333438" w:rsidP="00907D14">
      <w:r>
        <w:t>Emblem Diameter</w:t>
      </w:r>
      <w:r>
        <w:tab/>
        <w:t>: 120 cm</w:t>
      </w:r>
    </w:p>
    <w:p w14:paraId="2D166292" w14:textId="77777777" w:rsidR="00333438" w:rsidRDefault="00333438" w:rsidP="00907D14">
      <w:r>
        <w:t>Material</w:t>
      </w:r>
      <w:r>
        <w:tab/>
      </w:r>
      <w:r>
        <w:tab/>
      </w:r>
      <w:r>
        <w:tab/>
        <w:t xml:space="preserve">: Polyester – Nylon </w:t>
      </w:r>
    </w:p>
    <w:p w14:paraId="4ED04A03" w14:textId="77777777" w:rsidR="00333438" w:rsidRDefault="00333438" w:rsidP="00907D14">
      <w:r>
        <w:t>Process Technique</w:t>
      </w:r>
      <w:r>
        <w:tab/>
        <w:t xml:space="preserve">: Screen Printing; Sewing </w:t>
      </w:r>
    </w:p>
    <w:p w14:paraId="27B4402A" w14:textId="77777777" w:rsidR="00FA20BC" w:rsidRDefault="00333438" w:rsidP="00907D14">
      <w:r>
        <w:t>Finishing</w:t>
      </w:r>
      <w:r>
        <w:tab/>
      </w:r>
      <w:r>
        <w:tab/>
        <w:t>: Double stitch on sides</w:t>
      </w:r>
    </w:p>
    <w:p w14:paraId="490E5463" w14:textId="77777777" w:rsidR="00907D14" w:rsidRDefault="00907D14"/>
    <w:sectPr w:rsidR="00907D14" w:rsidSect="00F61B4F">
      <w:headerReference w:type="default" r:id="rId21"/>
      <w:footerReference w:type="default" r:id="rId22"/>
      <w:footerReference w:type="first" r:id="rId2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EE15" w14:textId="77777777" w:rsidR="003414CE" w:rsidRDefault="003414CE" w:rsidP="00F61B4F">
      <w:pPr>
        <w:spacing w:before="0" w:after="0" w:line="240" w:lineRule="auto"/>
      </w:pPr>
      <w:r>
        <w:separator/>
      </w:r>
    </w:p>
  </w:endnote>
  <w:endnote w:type="continuationSeparator" w:id="0">
    <w:p w14:paraId="1E276602" w14:textId="77777777" w:rsidR="003414CE" w:rsidRDefault="003414C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B3D2" w14:textId="77777777" w:rsidR="00F61B4F" w:rsidRDefault="00F61B4F" w:rsidP="00F61B4F">
    <w:pPr>
      <w:pStyle w:val="Footer"/>
      <w:tabs>
        <w:tab w:val="clear" w:pos="9360"/>
        <w:tab w:val="right" w:pos="8931"/>
      </w:tabs>
      <w:jc w:val="right"/>
    </w:pPr>
  </w:p>
  <w:p w14:paraId="4E0B70A8" w14:textId="77777777" w:rsidR="00F61B4F" w:rsidRPr="00F61B4F" w:rsidRDefault="00F61B4F" w:rsidP="00483E8E">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C1D7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C1D7B">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C673" w14:textId="77777777" w:rsidR="00F61B4F" w:rsidRDefault="00F61B4F" w:rsidP="00F61B4F">
    <w:pPr>
      <w:pStyle w:val="Footer"/>
      <w:tabs>
        <w:tab w:val="clear" w:pos="9360"/>
        <w:tab w:val="right" w:pos="8931"/>
      </w:tabs>
      <w:jc w:val="right"/>
    </w:pPr>
  </w:p>
  <w:p w14:paraId="47D520EA" w14:textId="77777777" w:rsidR="00F61B4F" w:rsidRPr="00F61B4F" w:rsidRDefault="00F61B4F"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EEBBF" w14:textId="77777777" w:rsidR="003414CE" w:rsidRDefault="003414CE" w:rsidP="00F61B4F">
      <w:pPr>
        <w:spacing w:before="0" w:after="0" w:line="240" w:lineRule="auto"/>
      </w:pPr>
      <w:r>
        <w:separator/>
      </w:r>
    </w:p>
  </w:footnote>
  <w:footnote w:type="continuationSeparator" w:id="0">
    <w:p w14:paraId="2A594A94" w14:textId="77777777" w:rsidR="003414CE" w:rsidRDefault="003414CE" w:rsidP="00F61B4F">
      <w:pPr>
        <w:spacing w:before="0" w:after="0" w:line="240" w:lineRule="auto"/>
      </w:pPr>
      <w:r>
        <w:continuationSeparator/>
      </w:r>
    </w:p>
  </w:footnote>
  <w:footnote w:id="1">
    <w:p w14:paraId="14F23CF8" w14:textId="77777777" w:rsidR="00907D14" w:rsidRDefault="00907D14" w:rsidP="00907D14">
      <w:pPr>
        <w:pStyle w:val="FootnoteText"/>
        <w:rPr>
          <w:sz w:val="16"/>
          <w:szCs w:val="16"/>
        </w:rPr>
      </w:pPr>
      <w:r>
        <w:rPr>
          <w:sz w:val="16"/>
          <w:szCs w:val="16"/>
        </w:rPr>
        <w:t>Note:</w:t>
      </w:r>
    </w:p>
    <w:p w14:paraId="2C19C5F8" w14:textId="594E97E4" w:rsidR="00907D14" w:rsidRPr="00FA20BC" w:rsidRDefault="00907D14" w:rsidP="00907D14">
      <w:pPr>
        <w:pStyle w:val="FootnoteText"/>
        <w:rPr>
          <w:sz w:val="16"/>
          <w:szCs w:val="16"/>
        </w:rPr>
      </w:pPr>
      <w:r>
        <w:rPr>
          <w:sz w:val="16"/>
          <w:szCs w:val="16"/>
        </w:rPr>
        <w:t>The Guidelines were adopted at the 8</w:t>
      </w:r>
      <w:r>
        <w:rPr>
          <w:sz w:val="16"/>
          <w:szCs w:val="16"/>
          <w:vertAlign w:val="superscript"/>
        </w:rPr>
        <w:t xml:space="preserve">th </w:t>
      </w:r>
      <w:r>
        <w:rPr>
          <w:sz w:val="16"/>
          <w:szCs w:val="16"/>
        </w:rPr>
        <w:t xml:space="preserve">Meeting of the ASEAN Coordinating Council (ACC), Jakarta, 6 </w:t>
      </w:r>
      <w:r w:rsidR="008C158E">
        <w:rPr>
          <w:sz w:val="16"/>
          <w:szCs w:val="16"/>
        </w:rPr>
        <w:t>M</w:t>
      </w:r>
      <w:r>
        <w:rPr>
          <w:sz w:val="16"/>
          <w:szCs w:val="16"/>
        </w:rPr>
        <w:t>ay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1C89" w14:textId="77777777" w:rsidR="00F61B4F" w:rsidRPr="00F61B4F" w:rsidRDefault="0098712D" w:rsidP="00F61B4F">
    <w:pPr>
      <w:pStyle w:val="Header"/>
      <w:pBdr>
        <w:bottom w:val="single" w:sz="8" w:space="1" w:color="auto"/>
      </w:pBdr>
      <w:rPr>
        <w:rFonts w:cs="Arial"/>
        <w:caps/>
        <w:color w:val="808080"/>
        <w:sz w:val="16"/>
        <w:szCs w:val="16"/>
      </w:rPr>
    </w:pPr>
    <w:r>
      <w:rPr>
        <w:rFonts w:cs="Arial"/>
        <w:caps/>
        <w:color w:val="808080"/>
        <w:sz w:val="16"/>
        <w:szCs w:val="16"/>
      </w:rPr>
      <w:t>2011 Guidelines on the use of the asean flag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61" w:hanging="351"/>
      </w:pPr>
      <w:rPr>
        <w:rFonts w:ascii="Arial" w:hAnsi="Arial" w:cs="Arial"/>
        <w:b w:val="0"/>
        <w:bCs w:val="0"/>
        <w:spacing w:val="-1"/>
        <w:w w:val="101"/>
        <w:sz w:val="23"/>
        <w:szCs w:val="23"/>
      </w:rPr>
    </w:lvl>
    <w:lvl w:ilvl="1">
      <w:start w:val="1"/>
      <w:numFmt w:val="upperLetter"/>
      <w:lvlText w:val="%2."/>
      <w:lvlJc w:val="left"/>
      <w:pPr>
        <w:ind w:left="460" w:hanging="351"/>
      </w:pPr>
      <w:rPr>
        <w:rFonts w:ascii="Arial" w:hAnsi="Arial" w:cs="Arial"/>
        <w:b/>
        <w:bCs/>
        <w:w w:val="101"/>
        <w:sz w:val="23"/>
        <w:szCs w:val="23"/>
      </w:rPr>
    </w:lvl>
    <w:lvl w:ilvl="2">
      <w:numFmt w:val="bullet"/>
      <w:lvlText w:val="•"/>
      <w:lvlJc w:val="left"/>
      <w:pPr>
        <w:ind w:left="2092" w:hanging="351"/>
      </w:pPr>
    </w:lvl>
    <w:lvl w:ilvl="3">
      <w:numFmt w:val="bullet"/>
      <w:lvlText w:val="•"/>
      <w:lvlJc w:val="left"/>
      <w:pPr>
        <w:ind w:left="2909" w:hanging="351"/>
      </w:pPr>
    </w:lvl>
    <w:lvl w:ilvl="4">
      <w:numFmt w:val="bullet"/>
      <w:lvlText w:val="•"/>
      <w:lvlJc w:val="left"/>
      <w:pPr>
        <w:ind w:left="3725" w:hanging="351"/>
      </w:pPr>
    </w:lvl>
    <w:lvl w:ilvl="5">
      <w:numFmt w:val="bullet"/>
      <w:lvlText w:val="•"/>
      <w:lvlJc w:val="left"/>
      <w:pPr>
        <w:ind w:left="4542" w:hanging="351"/>
      </w:pPr>
    </w:lvl>
    <w:lvl w:ilvl="6">
      <w:numFmt w:val="bullet"/>
      <w:lvlText w:val="•"/>
      <w:lvlJc w:val="left"/>
      <w:pPr>
        <w:ind w:left="5358" w:hanging="351"/>
      </w:pPr>
    </w:lvl>
    <w:lvl w:ilvl="7">
      <w:numFmt w:val="bullet"/>
      <w:lvlText w:val="•"/>
      <w:lvlJc w:val="left"/>
      <w:pPr>
        <w:ind w:left="6175" w:hanging="351"/>
      </w:pPr>
    </w:lvl>
    <w:lvl w:ilvl="8">
      <w:numFmt w:val="bullet"/>
      <w:lvlText w:val="•"/>
      <w:lvlJc w:val="left"/>
      <w:pPr>
        <w:ind w:left="6991" w:hanging="351"/>
      </w:pPr>
    </w:lvl>
  </w:abstractNum>
  <w:abstractNum w:abstractNumId="1" w15:restartNumberingAfterBreak="0">
    <w:nsid w:val="00000406"/>
    <w:multiLevelType w:val="multilevel"/>
    <w:tmpl w:val="00000889"/>
    <w:lvl w:ilvl="0">
      <w:start w:val="14"/>
      <w:numFmt w:val="decimal"/>
      <w:lvlText w:val="%1."/>
      <w:lvlJc w:val="left"/>
      <w:pPr>
        <w:ind w:left="461" w:hanging="351"/>
      </w:pPr>
      <w:rPr>
        <w:rFonts w:ascii="Arial" w:hAnsi="Arial" w:cs="Arial"/>
        <w:b w:val="0"/>
        <w:bCs w:val="0"/>
        <w:spacing w:val="-1"/>
        <w:w w:val="101"/>
        <w:sz w:val="23"/>
        <w:szCs w:val="23"/>
      </w:rPr>
    </w:lvl>
    <w:lvl w:ilvl="1">
      <w:numFmt w:val="bullet"/>
      <w:lvlText w:val="•"/>
      <w:lvlJc w:val="left"/>
      <w:pPr>
        <w:ind w:left="1276" w:hanging="351"/>
      </w:pPr>
    </w:lvl>
    <w:lvl w:ilvl="2">
      <w:numFmt w:val="bullet"/>
      <w:lvlText w:val="•"/>
      <w:lvlJc w:val="left"/>
      <w:pPr>
        <w:ind w:left="2092" w:hanging="351"/>
      </w:pPr>
    </w:lvl>
    <w:lvl w:ilvl="3">
      <w:numFmt w:val="bullet"/>
      <w:lvlText w:val="•"/>
      <w:lvlJc w:val="left"/>
      <w:pPr>
        <w:ind w:left="2909" w:hanging="351"/>
      </w:pPr>
    </w:lvl>
    <w:lvl w:ilvl="4">
      <w:numFmt w:val="bullet"/>
      <w:lvlText w:val="•"/>
      <w:lvlJc w:val="left"/>
      <w:pPr>
        <w:ind w:left="3725" w:hanging="351"/>
      </w:pPr>
    </w:lvl>
    <w:lvl w:ilvl="5">
      <w:numFmt w:val="bullet"/>
      <w:lvlText w:val="•"/>
      <w:lvlJc w:val="left"/>
      <w:pPr>
        <w:ind w:left="4542" w:hanging="351"/>
      </w:pPr>
    </w:lvl>
    <w:lvl w:ilvl="6">
      <w:numFmt w:val="bullet"/>
      <w:lvlText w:val="•"/>
      <w:lvlJc w:val="left"/>
      <w:pPr>
        <w:ind w:left="5358" w:hanging="351"/>
      </w:pPr>
    </w:lvl>
    <w:lvl w:ilvl="7">
      <w:numFmt w:val="bullet"/>
      <w:lvlText w:val="•"/>
      <w:lvlJc w:val="left"/>
      <w:pPr>
        <w:ind w:left="6175" w:hanging="351"/>
      </w:pPr>
    </w:lvl>
    <w:lvl w:ilvl="8">
      <w:numFmt w:val="bullet"/>
      <w:lvlText w:val="•"/>
      <w:lvlJc w:val="left"/>
      <w:pPr>
        <w:ind w:left="6991" w:hanging="351"/>
      </w:pPr>
    </w:lvl>
  </w:abstractNum>
  <w:abstractNum w:abstractNumId="2" w15:restartNumberingAfterBreak="0">
    <w:nsid w:val="043E6F92"/>
    <w:multiLevelType w:val="hybridMultilevel"/>
    <w:tmpl w:val="C9ECE3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4A650C"/>
    <w:multiLevelType w:val="hybridMultilevel"/>
    <w:tmpl w:val="83A0277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691150"/>
    <w:multiLevelType w:val="hybridMultilevel"/>
    <w:tmpl w:val="CE2AE00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0762414"/>
    <w:multiLevelType w:val="hybridMultilevel"/>
    <w:tmpl w:val="9664E05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3280895"/>
    <w:multiLevelType w:val="hybridMultilevel"/>
    <w:tmpl w:val="EE1C31E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7F6EF1"/>
    <w:multiLevelType w:val="hybridMultilevel"/>
    <w:tmpl w:val="C33691F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D807C1A"/>
    <w:multiLevelType w:val="hybridMultilevel"/>
    <w:tmpl w:val="1CFC341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0104197"/>
    <w:multiLevelType w:val="hybridMultilevel"/>
    <w:tmpl w:val="671AC5D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AC03343"/>
    <w:multiLevelType w:val="hybridMultilevel"/>
    <w:tmpl w:val="BDF26DA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FCF59C6"/>
    <w:multiLevelType w:val="hybridMultilevel"/>
    <w:tmpl w:val="40D47E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D122D1"/>
    <w:multiLevelType w:val="hybridMultilevel"/>
    <w:tmpl w:val="C0B8E19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25A5BF2"/>
    <w:multiLevelType w:val="hybridMultilevel"/>
    <w:tmpl w:val="42263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8404ABE"/>
    <w:multiLevelType w:val="hybridMultilevel"/>
    <w:tmpl w:val="F586A956"/>
    <w:lvl w:ilvl="0" w:tplc="48090015">
      <w:start w:val="1"/>
      <w:numFmt w:val="upperLetter"/>
      <w:lvlText w:val="%1."/>
      <w:lvlJc w:val="left"/>
      <w:pPr>
        <w:ind w:left="107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4"/>
  </w:num>
  <w:num w:numId="5">
    <w:abstractNumId w:val="9"/>
  </w:num>
  <w:num w:numId="6">
    <w:abstractNumId w:val="4"/>
  </w:num>
  <w:num w:numId="7">
    <w:abstractNumId w:val="13"/>
  </w:num>
  <w:num w:numId="8">
    <w:abstractNumId w:val="6"/>
  </w:num>
  <w:num w:numId="9">
    <w:abstractNumId w:val="12"/>
  </w:num>
  <w:num w:numId="10">
    <w:abstractNumId w:val="3"/>
  </w:num>
  <w:num w:numId="11">
    <w:abstractNumId w:val="0"/>
  </w:num>
  <w:num w:numId="12">
    <w:abstractNumId w:val="1"/>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2D"/>
    <w:rsid w:val="00000FB0"/>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71E0"/>
    <w:rsid w:val="00080879"/>
    <w:rsid w:val="00080FD6"/>
    <w:rsid w:val="00081E70"/>
    <w:rsid w:val="00082260"/>
    <w:rsid w:val="000922A6"/>
    <w:rsid w:val="0009558E"/>
    <w:rsid w:val="00097F77"/>
    <w:rsid w:val="000A329C"/>
    <w:rsid w:val="000B02EF"/>
    <w:rsid w:val="000B197F"/>
    <w:rsid w:val="000B5F8B"/>
    <w:rsid w:val="000C2967"/>
    <w:rsid w:val="000C2CE8"/>
    <w:rsid w:val="000C49F6"/>
    <w:rsid w:val="000C5A1A"/>
    <w:rsid w:val="000D004B"/>
    <w:rsid w:val="000D31BC"/>
    <w:rsid w:val="000D6DF5"/>
    <w:rsid w:val="000D7512"/>
    <w:rsid w:val="000E1DDB"/>
    <w:rsid w:val="000E2394"/>
    <w:rsid w:val="000F2D66"/>
    <w:rsid w:val="001013AD"/>
    <w:rsid w:val="0010259B"/>
    <w:rsid w:val="00102B66"/>
    <w:rsid w:val="001063A1"/>
    <w:rsid w:val="001077E4"/>
    <w:rsid w:val="00111688"/>
    <w:rsid w:val="00111A4C"/>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4DC8"/>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AA3"/>
    <w:rsid w:val="0020147F"/>
    <w:rsid w:val="002226CD"/>
    <w:rsid w:val="002238CF"/>
    <w:rsid w:val="00224582"/>
    <w:rsid w:val="00224E12"/>
    <w:rsid w:val="002251FC"/>
    <w:rsid w:val="002423B7"/>
    <w:rsid w:val="00244645"/>
    <w:rsid w:val="0025204F"/>
    <w:rsid w:val="002520E2"/>
    <w:rsid w:val="00256484"/>
    <w:rsid w:val="002566AC"/>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5BAA"/>
    <w:rsid w:val="002C67E0"/>
    <w:rsid w:val="002D3A06"/>
    <w:rsid w:val="002E0A92"/>
    <w:rsid w:val="002E6283"/>
    <w:rsid w:val="002F1577"/>
    <w:rsid w:val="002F7DA0"/>
    <w:rsid w:val="0030037C"/>
    <w:rsid w:val="003035FA"/>
    <w:rsid w:val="003071F6"/>
    <w:rsid w:val="00311F81"/>
    <w:rsid w:val="00311F88"/>
    <w:rsid w:val="00312FB5"/>
    <w:rsid w:val="00315409"/>
    <w:rsid w:val="00321387"/>
    <w:rsid w:val="0032159B"/>
    <w:rsid w:val="00321890"/>
    <w:rsid w:val="00325A2D"/>
    <w:rsid w:val="00326D39"/>
    <w:rsid w:val="003316EF"/>
    <w:rsid w:val="00333438"/>
    <w:rsid w:val="0033544F"/>
    <w:rsid w:val="00336CA3"/>
    <w:rsid w:val="003374CC"/>
    <w:rsid w:val="0034084B"/>
    <w:rsid w:val="003414CE"/>
    <w:rsid w:val="00343E97"/>
    <w:rsid w:val="00351FC7"/>
    <w:rsid w:val="0035251B"/>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4607"/>
    <w:rsid w:val="003A46AB"/>
    <w:rsid w:val="003A6709"/>
    <w:rsid w:val="003B1B3D"/>
    <w:rsid w:val="003C3ABB"/>
    <w:rsid w:val="003C4214"/>
    <w:rsid w:val="003C47FA"/>
    <w:rsid w:val="003C696E"/>
    <w:rsid w:val="003C70F3"/>
    <w:rsid w:val="003D682E"/>
    <w:rsid w:val="003D6E5B"/>
    <w:rsid w:val="003E0C85"/>
    <w:rsid w:val="003E69D4"/>
    <w:rsid w:val="003F148C"/>
    <w:rsid w:val="003F1817"/>
    <w:rsid w:val="00401F7F"/>
    <w:rsid w:val="00405210"/>
    <w:rsid w:val="0042164B"/>
    <w:rsid w:val="0042562D"/>
    <w:rsid w:val="00432B9B"/>
    <w:rsid w:val="004410EB"/>
    <w:rsid w:val="00452091"/>
    <w:rsid w:val="00453E7C"/>
    <w:rsid w:val="004540DD"/>
    <w:rsid w:val="00454C15"/>
    <w:rsid w:val="00457A36"/>
    <w:rsid w:val="00460285"/>
    <w:rsid w:val="00461169"/>
    <w:rsid w:val="0046281B"/>
    <w:rsid w:val="00464378"/>
    <w:rsid w:val="00464582"/>
    <w:rsid w:val="004715DF"/>
    <w:rsid w:val="00483E8E"/>
    <w:rsid w:val="0049074B"/>
    <w:rsid w:val="00491B2C"/>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2177"/>
    <w:rsid w:val="004F129B"/>
    <w:rsid w:val="004F21D5"/>
    <w:rsid w:val="00504C42"/>
    <w:rsid w:val="00507CA6"/>
    <w:rsid w:val="0051026B"/>
    <w:rsid w:val="00510555"/>
    <w:rsid w:val="0051224B"/>
    <w:rsid w:val="00516331"/>
    <w:rsid w:val="00522388"/>
    <w:rsid w:val="005325F9"/>
    <w:rsid w:val="00534217"/>
    <w:rsid w:val="00535BF3"/>
    <w:rsid w:val="00537A67"/>
    <w:rsid w:val="00537D81"/>
    <w:rsid w:val="00545288"/>
    <w:rsid w:val="005627AF"/>
    <w:rsid w:val="00564EBA"/>
    <w:rsid w:val="00565B5D"/>
    <w:rsid w:val="005701D2"/>
    <w:rsid w:val="005706A6"/>
    <w:rsid w:val="0057613A"/>
    <w:rsid w:val="005763C6"/>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20043"/>
    <w:rsid w:val="00624B74"/>
    <w:rsid w:val="0062758C"/>
    <w:rsid w:val="00627B91"/>
    <w:rsid w:val="00642035"/>
    <w:rsid w:val="0064206B"/>
    <w:rsid w:val="00646905"/>
    <w:rsid w:val="006477C3"/>
    <w:rsid w:val="006633EA"/>
    <w:rsid w:val="00666445"/>
    <w:rsid w:val="006829B2"/>
    <w:rsid w:val="00686294"/>
    <w:rsid w:val="006878B4"/>
    <w:rsid w:val="00695153"/>
    <w:rsid w:val="006A181F"/>
    <w:rsid w:val="006A368A"/>
    <w:rsid w:val="006A5BC7"/>
    <w:rsid w:val="006B0864"/>
    <w:rsid w:val="006C2FAC"/>
    <w:rsid w:val="006C6203"/>
    <w:rsid w:val="006C6B56"/>
    <w:rsid w:val="006C6EFB"/>
    <w:rsid w:val="006D1637"/>
    <w:rsid w:val="006D2062"/>
    <w:rsid w:val="006D35BA"/>
    <w:rsid w:val="006D61E5"/>
    <w:rsid w:val="006D6826"/>
    <w:rsid w:val="006D6EAA"/>
    <w:rsid w:val="006D6FA4"/>
    <w:rsid w:val="006E03F3"/>
    <w:rsid w:val="006E4828"/>
    <w:rsid w:val="006E4F21"/>
    <w:rsid w:val="006E6F86"/>
    <w:rsid w:val="006F1F07"/>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3AA4"/>
    <w:rsid w:val="00871D6D"/>
    <w:rsid w:val="00875863"/>
    <w:rsid w:val="008761FC"/>
    <w:rsid w:val="008A2C17"/>
    <w:rsid w:val="008A3A39"/>
    <w:rsid w:val="008B001D"/>
    <w:rsid w:val="008B0875"/>
    <w:rsid w:val="008B1645"/>
    <w:rsid w:val="008C158E"/>
    <w:rsid w:val="008C33B3"/>
    <w:rsid w:val="008C3761"/>
    <w:rsid w:val="008C4D1A"/>
    <w:rsid w:val="008C6A9C"/>
    <w:rsid w:val="008D292D"/>
    <w:rsid w:val="008D3F77"/>
    <w:rsid w:val="008E41DC"/>
    <w:rsid w:val="008E6E93"/>
    <w:rsid w:val="008E7703"/>
    <w:rsid w:val="008F5246"/>
    <w:rsid w:val="008F5F21"/>
    <w:rsid w:val="008F7A5C"/>
    <w:rsid w:val="009052CB"/>
    <w:rsid w:val="00907D14"/>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8712D"/>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F08BB"/>
    <w:rsid w:val="00A0085A"/>
    <w:rsid w:val="00A03EE4"/>
    <w:rsid w:val="00A04D76"/>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90E"/>
    <w:rsid w:val="00AA6452"/>
    <w:rsid w:val="00AA6802"/>
    <w:rsid w:val="00AB26B5"/>
    <w:rsid w:val="00AB38E2"/>
    <w:rsid w:val="00AB6F60"/>
    <w:rsid w:val="00AB7A69"/>
    <w:rsid w:val="00AC1691"/>
    <w:rsid w:val="00AC1CA8"/>
    <w:rsid w:val="00AC4C08"/>
    <w:rsid w:val="00AC7F91"/>
    <w:rsid w:val="00AE05B5"/>
    <w:rsid w:val="00AE3DEB"/>
    <w:rsid w:val="00AE6181"/>
    <w:rsid w:val="00AE64FF"/>
    <w:rsid w:val="00AF5172"/>
    <w:rsid w:val="00AF5D32"/>
    <w:rsid w:val="00B01951"/>
    <w:rsid w:val="00B05254"/>
    <w:rsid w:val="00B05F3A"/>
    <w:rsid w:val="00B0640C"/>
    <w:rsid w:val="00B14396"/>
    <w:rsid w:val="00B173B5"/>
    <w:rsid w:val="00B267DC"/>
    <w:rsid w:val="00B308F2"/>
    <w:rsid w:val="00B30DEB"/>
    <w:rsid w:val="00B34B14"/>
    <w:rsid w:val="00B420A0"/>
    <w:rsid w:val="00B456B7"/>
    <w:rsid w:val="00B45912"/>
    <w:rsid w:val="00B5211D"/>
    <w:rsid w:val="00B54E3F"/>
    <w:rsid w:val="00B61944"/>
    <w:rsid w:val="00B62E0A"/>
    <w:rsid w:val="00B6351C"/>
    <w:rsid w:val="00B736A5"/>
    <w:rsid w:val="00B74778"/>
    <w:rsid w:val="00B74FC8"/>
    <w:rsid w:val="00B76163"/>
    <w:rsid w:val="00B8232C"/>
    <w:rsid w:val="00B8350D"/>
    <w:rsid w:val="00B85BB1"/>
    <w:rsid w:val="00B85DB0"/>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7BA5"/>
    <w:rsid w:val="00C0692C"/>
    <w:rsid w:val="00C12E92"/>
    <w:rsid w:val="00C1575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A21A1"/>
    <w:rsid w:val="00CA449F"/>
    <w:rsid w:val="00CA540E"/>
    <w:rsid w:val="00CA5A41"/>
    <w:rsid w:val="00CB0C6C"/>
    <w:rsid w:val="00CB2E1A"/>
    <w:rsid w:val="00CB485A"/>
    <w:rsid w:val="00CC2470"/>
    <w:rsid w:val="00CC2F8C"/>
    <w:rsid w:val="00CC535D"/>
    <w:rsid w:val="00CD2BE4"/>
    <w:rsid w:val="00CD6EC7"/>
    <w:rsid w:val="00CE23D5"/>
    <w:rsid w:val="00CE31C8"/>
    <w:rsid w:val="00CE4330"/>
    <w:rsid w:val="00CE567F"/>
    <w:rsid w:val="00CE59E6"/>
    <w:rsid w:val="00CE7679"/>
    <w:rsid w:val="00CF277F"/>
    <w:rsid w:val="00CF4CBB"/>
    <w:rsid w:val="00D00ACC"/>
    <w:rsid w:val="00D067DB"/>
    <w:rsid w:val="00D07EE1"/>
    <w:rsid w:val="00D13015"/>
    <w:rsid w:val="00D133A2"/>
    <w:rsid w:val="00D13F5C"/>
    <w:rsid w:val="00D15AD4"/>
    <w:rsid w:val="00D1649F"/>
    <w:rsid w:val="00D20538"/>
    <w:rsid w:val="00D211DC"/>
    <w:rsid w:val="00D250B0"/>
    <w:rsid w:val="00D368AA"/>
    <w:rsid w:val="00D43EA3"/>
    <w:rsid w:val="00D45FAB"/>
    <w:rsid w:val="00D472FE"/>
    <w:rsid w:val="00D52236"/>
    <w:rsid w:val="00D528FE"/>
    <w:rsid w:val="00D56D91"/>
    <w:rsid w:val="00D67A09"/>
    <w:rsid w:val="00D804A1"/>
    <w:rsid w:val="00D86B2E"/>
    <w:rsid w:val="00D901BD"/>
    <w:rsid w:val="00D91710"/>
    <w:rsid w:val="00D92975"/>
    <w:rsid w:val="00DA4CF4"/>
    <w:rsid w:val="00DB3B2A"/>
    <w:rsid w:val="00DB6E09"/>
    <w:rsid w:val="00DB7B56"/>
    <w:rsid w:val="00DC27F4"/>
    <w:rsid w:val="00DC3275"/>
    <w:rsid w:val="00DC5022"/>
    <w:rsid w:val="00DC5793"/>
    <w:rsid w:val="00DD1735"/>
    <w:rsid w:val="00DD1945"/>
    <w:rsid w:val="00DD2204"/>
    <w:rsid w:val="00DD7A7D"/>
    <w:rsid w:val="00DE4868"/>
    <w:rsid w:val="00DE4917"/>
    <w:rsid w:val="00DE57D4"/>
    <w:rsid w:val="00DF3DF6"/>
    <w:rsid w:val="00DF4E11"/>
    <w:rsid w:val="00DF64FF"/>
    <w:rsid w:val="00DF72C5"/>
    <w:rsid w:val="00E005B9"/>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EC"/>
    <w:rsid w:val="00E80D04"/>
    <w:rsid w:val="00E82ED4"/>
    <w:rsid w:val="00E853A3"/>
    <w:rsid w:val="00E854D8"/>
    <w:rsid w:val="00E87AA3"/>
    <w:rsid w:val="00E925D7"/>
    <w:rsid w:val="00E94458"/>
    <w:rsid w:val="00EA1963"/>
    <w:rsid w:val="00EA422B"/>
    <w:rsid w:val="00EA44D0"/>
    <w:rsid w:val="00EA6B9C"/>
    <w:rsid w:val="00EC1D7B"/>
    <w:rsid w:val="00EC2FAE"/>
    <w:rsid w:val="00EC57B1"/>
    <w:rsid w:val="00ED01F1"/>
    <w:rsid w:val="00ED61BD"/>
    <w:rsid w:val="00ED6DF2"/>
    <w:rsid w:val="00EE207B"/>
    <w:rsid w:val="00EF63CD"/>
    <w:rsid w:val="00F01D85"/>
    <w:rsid w:val="00F05438"/>
    <w:rsid w:val="00F125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20BC"/>
    <w:rsid w:val="00FA4AD8"/>
    <w:rsid w:val="00FA4CBA"/>
    <w:rsid w:val="00FA7B32"/>
    <w:rsid w:val="00FB35F7"/>
    <w:rsid w:val="00FB4CD5"/>
    <w:rsid w:val="00FB6164"/>
    <w:rsid w:val="00FB7DF5"/>
    <w:rsid w:val="00FC45CB"/>
    <w:rsid w:val="00FC5496"/>
    <w:rsid w:val="00FD1758"/>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D73D"/>
  <w15:chartTrackingRefBased/>
  <w15:docId w15:val="{F190386C-624F-4D4E-B8EA-2A4225B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1"/>
    <w:qFormat/>
    <w:rsid w:val="0098712D"/>
    <w:pPr>
      <w:ind w:left="720"/>
      <w:contextualSpacing/>
    </w:pPr>
  </w:style>
  <w:style w:type="paragraph" w:styleId="BodyText">
    <w:name w:val="Body Text"/>
    <w:basedOn w:val="Normal"/>
    <w:link w:val="BodyTextChar"/>
    <w:uiPriority w:val="1"/>
    <w:qFormat/>
    <w:rsid w:val="0098712D"/>
    <w:pPr>
      <w:widowControl w:val="0"/>
      <w:autoSpaceDE w:val="0"/>
      <w:autoSpaceDN w:val="0"/>
      <w:adjustRightInd w:val="0"/>
      <w:spacing w:before="0" w:after="0" w:line="240" w:lineRule="auto"/>
      <w:jc w:val="left"/>
    </w:pPr>
    <w:rPr>
      <w:rFonts w:eastAsia="Times New Roman" w:cs="Arial"/>
      <w:sz w:val="23"/>
      <w:szCs w:val="23"/>
      <w:lang w:val="en-SG" w:eastAsia="en-SG"/>
    </w:rPr>
  </w:style>
  <w:style w:type="character" w:customStyle="1" w:styleId="BodyTextChar">
    <w:name w:val="Body Text Char"/>
    <w:link w:val="BodyText"/>
    <w:uiPriority w:val="99"/>
    <w:rsid w:val="0098712D"/>
    <w:rPr>
      <w:rFonts w:ascii="Arial" w:eastAsia="Times New Roman" w:hAnsi="Arial" w:cs="Arial"/>
      <w:sz w:val="23"/>
      <w:szCs w:val="23"/>
      <w:lang w:val="en-SG" w:eastAsia="en-SG"/>
    </w:rPr>
  </w:style>
  <w:style w:type="paragraph" w:styleId="FootnoteText">
    <w:name w:val="footnote text"/>
    <w:basedOn w:val="Normal"/>
    <w:link w:val="FootnoteTextChar"/>
    <w:uiPriority w:val="99"/>
    <w:semiHidden/>
    <w:unhideWhenUsed/>
    <w:rsid w:val="00FA20BC"/>
    <w:pPr>
      <w:spacing w:before="0" w:after="0" w:line="240" w:lineRule="auto"/>
    </w:pPr>
  </w:style>
  <w:style w:type="character" w:customStyle="1" w:styleId="FootnoteTextChar">
    <w:name w:val="Footnote Text Char"/>
    <w:link w:val="FootnoteText"/>
    <w:uiPriority w:val="99"/>
    <w:semiHidden/>
    <w:rsid w:val="00FA20BC"/>
    <w:rPr>
      <w:rFonts w:ascii="Arial" w:hAnsi="Arial"/>
      <w:lang w:val="en-US" w:eastAsia="en-US"/>
    </w:rPr>
  </w:style>
  <w:style w:type="character" w:styleId="FootnoteReference">
    <w:name w:val="footnote reference"/>
    <w:uiPriority w:val="99"/>
    <w:semiHidden/>
    <w:unhideWhenUsed/>
    <w:rsid w:val="00FA2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4A56C-40E3-4CC4-AD8D-913F2B96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10</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Links>
    <vt:vector size="114" baseType="variant">
      <vt:variant>
        <vt:i4>1769533</vt:i4>
      </vt:variant>
      <vt:variant>
        <vt:i4>98</vt:i4>
      </vt:variant>
      <vt:variant>
        <vt:i4>0</vt:i4>
      </vt:variant>
      <vt:variant>
        <vt:i4>5</vt:i4>
      </vt:variant>
      <vt:variant>
        <vt:lpwstr/>
      </vt:variant>
      <vt:variant>
        <vt:lpwstr>_Toc464556898</vt:lpwstr>
      </vt:variant>
      <vt:variant>
        <vt:i4>1769533</vt:i4>
      </vt:variant>
      <vt:variant>
        <vt:i4>92</vt:i4>
      </vt:variant>
      <vt:variant>
        <vt:i4>0</vt:i4>
      </vt:variant>
      <vt:variant>
        <vt:i4>5</vt:i4>
      </vt:variant>
      <vt:variant>
        <vt:lpwstr/>
      </vt:variant>
      <vt:variant>
        <vt:lpwstr>_Toc464556897</vt:lpwstr>
      </vt:variant>
      <vt:variant>
        <vt:i4>1769533</vt:i4>
      </vt:variant>
      <vt:variant>
        <vt:i4>86</vt:i4>
      </vt:variant>
      <vt:variant>
        <vt:i4>0</vt:i4>
      </vt:variant>
      <vt:variant>
        <vt:i4>5</vt:i4>
      </vt:variant>
      <vt:variant>
        <vt:lpwstr/>
      </vt:variant>
      <vt:variant>
        <vt:lpwstr>_Toc464556896</vt:lpwstr>
      </vt:variant>
      <vt:variant>
        <vt:i4>1769533</vt:i4>
      </vt:variant>
      <vt:variant>
        <vt:i4>80</vt:i4>
      </vt:variant>
      <vt:variant>
        <vt:i4>0</vt:i4>
      </vt:variant>
      <vt:variant>
        <vt:i4>5</vt:i4>
      </vt:variant>
      <vt:variant>
        <vt:lpwstr/>
      </vt:variant>
      <vt:variant>
        <vt:lpwstr>_Toc464556895</vt:lpwstr>
      </vt:variant>
      <vt:variant>
        <vt:i4>1769533</vt:i4>
      </vt:variant>
      <vt:variant>
        <vt:i4>74</vt:i4>
      </vt:variant>
      <vt:variant>
        <vt:i4>0</vt:i4>
      </vt:variant>
      <vt:variant>
        <vt:i4>5</vt:i4>
      </vt:variant>
      <vt:variant>
        <vt:lpwstr/>
      </vt:variant>
      <vt:variant>
        <vt:lpwstr>_Toc464556894</vt:lpwstr>
      </vt:variant>
      <vt:variant>
        <vt:i4>1769533</vt:i4>
      </vt:variant>
      <vt:variant>
        <vt:i4>68</vt:i4>
      </vt:variant>
      <vt:variant>
        <vt:i4>0</vt:i4>
      </vt:variant>
      <vt:variant>
        <vt:i4>5</vt:i4>
      </vt:variant>
      <vt:variant>
        <vt:lpwstr/>
      </vt:variant>
      <vt:variant>
        <vt:lpwstr>_Toc464556893</vt:lpwstr>
      </vt:variant>
      <vt:variant>
        <vt:i4>1769533</vt:i4>
      </vt:variant>
      <vt:variant>
        <vt:i4>62</vt:i4>
      </vt:variant>
      <vt:variant>
        <vt:i4>0</vt:i4>
      </vt:variant>
      <vt:variant>
        <vt:i4>5</vt:i4>
      </vt:variant>
      <vt:variant>
        <vt:lpwstr/>
      </vt:variant>
      <vt:variant>
        <vt:lpwstr>_Toc464556892</vt:lpwstr>
      </vt:variant>
      <vt:variant>
        <vt:i4>1769533</vt:i4>
      </vt:variant>
      <vt:variant>
        <vt:i4>56</vt:i4>
      </vt:variant>
      <vt:variant>
        <vt:i4>0</vt:i4>
      </vt:variant>
      <vt:variant>
        <vt:i4>5</vt:i4>
      </vt:variant>
      <vt:variant>
        <vt:lpwstr/>
      </vt:variant>
      <vt:variant>
        <vt:lpwstr>_Toc464556891</vt:lpwstr>
      </vt:variant>
      <vt:variant>
        <vt:i4>1769533</vt:i4>
      </vt:variant>
      <vt:variant>
        <vt:i4>50</vt:i4>
      </vt:variant>
      <vt:variant>
        <vt:i4>0</vt:i4>
      </vt:variant>
      <vt:variant>
        <vt:i4>5</vt:i4>
      </vt:variant>
      <vt:variant>
        <vt:lpwstr/>
      </vt:variant>
      <vt:variant>
        <vt:lpwstr>_Toc464556890</vt:lpwstr>
      </vt:variant>
      <vt:variant>
        <vt:i4>1703997</vt:i4>
      </vt:variant>
      <vt:variant>
        <vt:i4>44</vt:i4>
      </vt:variant>
      <vt:variant>
        <vt:i4>0</vt:i4>
      </vt:variant>
      <vt:variant>
        <vt:i4>5</vt:i4>
      </vt:variant>
      <vt:variant>
        <vt:lpwstr/>
      </vt:variant>
      <vt:variant>
        <vt:lpwstr>_Toc464556889</vt:lpwstr>
      </vt:variant>
      <vt:variant>
        <vt:i4>1703997</vt:i4>
      </vt:variant>
      <vt:variant>
        <vt:i4>38</vt:i4>
      </vt:variant>
      <vt:variant>
        <vt:i4>0</vt:i4>
      </vt:variant>
      <vt:variant>
        <vt:i4>5</vt:i4>
      </vt:variant>
      <vt:variant>
        <vt:lpwstr/>
      </vt:variant>
      <vt:variant>
        <vt:lpwstr>_Toc464556888</vt:lpwstr>
      </vt:variant>
      <vt:variant>
        <vt:i4>1703997</vt:i4>
      </vt:variant>
      <vt:variant>
        <vt:i4>32</vt:i4>
      </vt:variant>
      <vt:variant>
        <vt:i4>0</vt:i4>
      </vt:variant>
      <vt:variant>
        <vt:i4>5</vt:i4>
      </vt:variant>
      <vt:variant>
        <vt:lpwstr/>
      </vt:variant>
      <vt:variant>
        <vt:lpwstr>_Toc464556887</vt:lpwstr>
      </vt:variant>
      <vt:variant>
        <vt:i4>1703997</vt:i4>
      </vt:variant>
      <vt:variant>
        <vt:i4>26</vt:i4>
      </vt:variant>
      <vt:variant>
        <vt:i4>0</vt:i4>
      </vt:variant>
      <vt:variant>
        <vt:i4>5</vt:i4>
      </vt:variant>
      <vt:variant>
        <vt:lpwstr/>
      </vt:variant>
      <vt:variant>
        <vt:lpwstr>_Toc464556886</vt:lpwstr>
      </vt:variant>
      <vt:variant>
        <vt:i4>1703997</vt:i4>
      </vt:variant>
      <vt:variant>
        <vt:i4>20</vt:i4>
      </vt:variant>
      <vt:variant>
        <vt:i4>0</vt:i4>
      </vt:variant>
      <vt:variant>
        <vt:i4>5</vt:i4>
      </vt:variant>
      <vt:variant>
        <vt:lpwstr/>
      </vt:variant>
      <vt:variant>
        <vt:lpwstr>_Toc464556885</vt:lpwstr>
      </vt:variant>
      <vt:variant>
        <vt:i4>1703997</vt:i4>
      </vt:variant>
      <vt:variant>
        <vt:i4>14</vt:i4>
      </vt:variant>
      <vt:variant>
        <vt:i4>0</vt:i4>
      </vt:variant>
      <vt:variant>
        <vt:i4>5</vt:i4>
      </vt:variant>
      <vt:variant>
        <vt:lpwstr/>
      </vt:variant>
      <vt:variant>
        <vt:lpwstr>_Toc464556884</vt:lpwstr>
      </vt:variant>
      <vt:variant>
        <vt:i4>1703997</vt:i4>
      </vt:variant>
      <vt:variant>
        <vt:i4>8</vt:i4>
      </vt:variant>
      <vt:variant>
        <vt:i4>0</vt:i4>
      </vt:variant>
      <vt:variant>
        <vt:i4>5</vt:i4>
      </vt:variant>
      <vt:variant>
        <vt:lpwstr/>
      </vt:variant>
      <vt:variant>
        <vt:lpwstr>_Toc464556883</vt:lpwstr>
      </vt:variant>
      <vt:variant>
        <vt:i4>1703997</vt:i4>
      </vt:variant>
      <vt:variant>
        <vt:i4>2</vt:i4>
      </vt:variant>
      <vt:variant>
        <vt:i4>0</vt:i4>
      </vt:variant>
      <vt:variant>
        <vt:i4>5</vt:i4>
      </vt:variant>
      <vt:variant>
        <vt:lpwstr/>
      </vt:variant>
      <vt:variant>
        <vt:lpwstr>_Toc464556882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Sia Wei Jiun, Ivan</cp:lastModifiedBy>
  <cp:revision>3</cp:revision>
  <cp:lastPrinted>2016-10-13T04:07:00Z</cp:lastPrinted>
  <dcterms:created xsi:type="dcterms:W3CDTF">2018-06-07T01:08:00Z</dcterms:created>
  <dcterms:modified xsi:type="dcterms:W3CDTF">2021-08-10T08:59:00Z</dcterms:modified>
</cp:coreProperties>
</file>