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92" w:rsidRPr="00D7335A" w:rsidRDefault="00D7335A" w:rsidP="00D7335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7335A">
        <w:rPr>
          <w:rFonts w:ascii="Arial" w:hAnsi="Arial" w:cs="Arial"/>
          <w:b/>
          <w:sz w:val="28"/>
          <w:szCs w:val="28"/>
        </w:rPr>
        <w:t>2015 KUALA LUMPUR DECLARATION ON ASEAN 2025: FORGING AHE</w:t>
      </w:r>
      <w:r w:rsidR="00E67BDA">
        <w:rPr>
          <w:rFonts w:ascii="Arial" w:hAnsi="Arial" w:cs="Arial"/>
          <w:b/>
          <w:sz w:val="28"/>
          <w:szCs w:val="28"/>
        </w:rPr>
        <w:t>AD TOGETHER</w:t>
      </w:r>
    </w:p>
    <w:p w:rsidR="00B81556" w:rsidRPr="00D7335A" w:rsidRDefault="00B81556" w:rsidP="00D7335A">
      <w:pPr>
        <w:jc w:val="center"/>
        <w:rPr>
          <w:rFonts w:ascii="Arial" w:hAnsi="Arial" w:cs="Arial"/>
          <w:sz w:val="20"/>
          <w:szCs w:val="20"/>
        </w:rPr>
      </w:pPr>
    </w:p>
    <w:p w:rsidR="00B81556" w:rsidRPr="00D7335A" w:rsidRDefault="00B81556" w:rsidP="00D7335A">
      <w:pPr>
        <w:jc w:val="center"/>
        <w:rPr>
          <w:rFonts w:ascii="Arial" w:hAnsi="Arial" w:cs="Arial"/>
          <w:i/>
          <w:sz w:val="20"/>
          <w:szCs w:val="20"/>
        </w:rPr>
      </w:pPr>
      <w:r w:rsidRPr="00D7335A">
        <w:rPr>
          <w:rFonts w:ascii="Arial" w:hAnsi="Arial" w:cs="Arial"/>
          <w:i/>
          <w:sz w:val="20"/>
          <w:szCs w:val="20"/>
        </w:rPr>
        <w:t>Adopted</w:t>
      </w:r>
      <w:r w:rsidR="00E67BDA" w:rsidRPr="00E67BDA">
        <w:rPr>
          <w:rFonts w:ascii="Arial" w:hAnsi="Arial" w:cs="Arial"/>
          <w:i/>
          <w:sz w:val="20"/>
          <w:szCs w:val="20"/>
        </w:rPr>
        <w:t xml:space="preserve"> </w:t>
      </w:r>
      <w:r w:rsidR="00715919" w:rsidRPr="00D7335A">
        <w:rPr>
          <w:rFonts w:ascii="Arial" w:hAnsi="Arial" w:cs="Arial"/>
          <w:i/>
          <w:sz w:val="20"/>
          <w:szCs w:val="20"/>
        </w:rPr>
        <w:t>in Kuala Lump</w:t>
      </w:r>
      <w:r w:rsidR="00715919">
        <w:rPr>
          <w:rFonts w:ascii="Arial" w:hAnsi="Arial" w:cs="Arial"/>
          <w:i/>
          <w:sz w:val="20"/>
          <w:szCs w:val="20"/>
        </w:rPr>
        <w:t>ur, Malaysia</w:t>
      </w:r>
      <w:r w:rsidR="00715919" w:rsidRPr="00D7335A">
        <w:rPr>
          <w:rFonts w:ascii="Arial" w:hAnsi="Arial" w:cs="Arial"/>
          <w:i/>
          <w:sz w:val="20"/>
          <w:szCs w:val="20"/>
        </w:rPr>
        <w:t xml:space="preserve"> </w:t>
      </w:r>
      <w:r w:rsidR="00E67BDA" w:rsidRPr="00D7335A">
        <w:rPr>
          <w:rFonts w:ascii="Arial" w:hAnsi="Arial" w:cs="Arial"/>
          <w:i/>
          <w:sz w:val="20"/>
          <w:szCs w:val="20"/>
        </w:rPr>
        <w:t>on 22 November 201</w:t>
      </w:r>
      <w:r w:rsidR="00715919">
        <w:rPr>
          <w:rFonts w:ascii="Arial" w:hAnsi="Arial" w:cs="Arial"/>
          <w:i/>
          <w:sz w:val="20"/>
          <w:szCs w:val="20"/>
        </w:rPr>
        <w:t>5</w:t>
      </w:r>
      <w:r w:rsidRPr="00D7335A">
        <w:rPr>
          <w:rFonts w:ascii="Arial" w:hAnsi="Arial" w:cs="Arial"/>
          <w:i/>
          <w:sz w:val="20"/>
          <w:szCs w:val="20"/>
        </w:rPr>
        <w:t xml:space="preserve"> </w:t>
      </w:r>
    </w:p>
    <w:p w:rsidR="00D7335A" w:rsidRPr="00D7335A" w:rsidRDefault="00D7335A" w:rsidP="00D7335A">
      <w:pPr>
        <w:jc w:val="both"/>
        <w:rPr>
          <w:rFonts w:ascii="Arial" w:hAnsi="Arial" w:cs="Arial"/>
          <w:sz w:val="20"/>
          <w:szCs w:val="20"/>
        </w:rPr>
      </w:pPr>
    </w:p>
    <w:p w:rsidR="00C56626" w:rsidRDefault="00C56626" w:rsidP="00D733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  <w:sectPr w:rsidR="00C56626" w:rsidSect="00C233BE">
          <w:headerReference w:type="even" r:id="rId6"/>
          <w:headerReference w:type="default" r:id="rId7"/>
          <w:footerReference w:type="default" r:id="rId8"/>
          <w:footerReference w:type="first" r:id="rId9"/>
          <w:pgSz w:w="11900" w:h="16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D7335A" w:rsidRDefault="00D7335A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35A">
        <w:rPr>
          <w:rFonts w:ascii="Arial" w:hAnsi="Arial" w:cs="Arial"/>
          <w:b/>
          <w:sz w:val="20"/>
          <w:szCs w:val="20"/>
        </w:rPr>
        <w:t>WE</w:t>
      </w:r>
      <w:r w:rsidRPr="00D7335A">
        <w:rPr>
          <w:rFonts w:ascii="Arial" w:hAnsi="Arial" w:cs="Arial"/>
          <w:sz w:val="20"/>
          <w:szCs w:val="20"/>
        </w:rPr>
        <w:t>, the Heads of State/Government of the Member States of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the Association of Southeast Asian Nations {hereinafter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referred to as ASEAN), namely, Brunei Darussalam, the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Kingdom of Cambodia, the Republic of Indonesia, the Lao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People's Democratic Republic, Malaysia, the Republic of the</w:t>
      </w:r>
      <w:r>
        <w:rPr>
          <w:rFonts w:ascii="Arial" w:hAnsi="Arial" w:cs="Arial"/>
          <w:sz w:val="20"/>
          <w:szCs w:val="20"/>
        </w:rPr>
        <w:t xml:space="preserve"> Uni</w:t>
      </w:r>
      <w:r w:rsidRPr="00D7335A">
        <w:rPr>
          <w:rFonts w:ascii="Arial" w:hAnsi="Arial" w:cs="Arial"/>
          <w:sz w:val="20"/>
          <w:szCs w:val="20"/>
        </w:rPr>
        <w:t>on of Myanmar, the Republic of the Philippines, the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Republic of Singapore, the Kingdom ,at Thailand and the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 xml:space="preserve">Socialist Republic of Viet Nam, on the occasion of the </w:t>
      </w:r>
      <w:r>
        <w:rPr>
          <w:rFonts w:ascii="Arial" w:hAnsi="Arial" w:cs="Arial"/>
          <w:sz w:val="20"/>
          <w:szCs w:val="20"/>
        </w:rPr>
        <w:t xml:space="preserve">27th </w:t>
      </w:r>
      <w:r w:rsidRPr="00D7335A">
        <w:rPr>
          <w:rFonts w:ascii="Arial" w:hAnsi="Arial" w:cs="Arial"/>
          <w:sz w:val="20"/>
          <w:szCs w:val="20"/>
        </w:rPr>
        <w:t>ASEAN Summit in Kuala Lumpur;</w:t>
      </w:r>
    </w:p>
    <w:p w:rsidR="00D7335A" w:rsidRDefault="00D7335A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35A">
        <w:rPr>
          <w:rFonts w:ascii="Arial" w:hAnsi="Arial" w:cs="Arial"/>
          <w:b/>
          <w:sz w:val="20"/>
          <w:szCs w:val="20"/>
        </w:rPr>
        <w:t>RECALLING</w:t>
      </w:r>
      <w:r w:rsidRPr="00D7335A">
        <w:rPr>
          <w:rFonts w:ascii="Arial" w:hAnsi="Arial" w:cs="Arial"/>
          <w:sz w:val="20"/>
          <w:szCs w:val="20"/>
        </w:rPr>
        <w:t xml:space="preserve"> the spirit in which the ASEAN Founding Fathers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gathered in Bangkok in 1967 to create an organisation that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would help bring about a Southeast Asian region of peace,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freedom and prosperity for our peoples;</w:t>
      </w:r>
    </w:p>
    <w:p w:rsidR="00D7335A" w:rsidRDefault="00D7335A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35A">
        <w:rPr>
          <w:rFonts w:ascii="Arial" w:hAnsi="Arial" w:cs="Arial"/>
          <w:b/>
          <w:sz w:val="20"/>
          <w:szCs w:val="20"/>
        </w:rPr>
        <w:t>REAFFIRMING</w:t>
      </w:r>
      <w:r w:rsidRPr="00D7335A">
        <w:rPr>
          <w:rFonts w:ascii="Arial" w:hAnsi="Arial" w:cs="Arial"/>
          <w:sz w:val="20"/>
          <w:szCs w:val="20"/>
        </w:rPr>
        <w:t xml:space="preserve"> our commitment to the purposes and principles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enshrined in the ASEAN Declaration (Bangkok, 1967), the Zone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of Peace, Freedom and Neutrality Declaration (Kuala Lumpur,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1971), the Treaty of Amity and Cooperation in Southeast Asia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(Bali, 1976), the Declaration of ASEAN Concord (Bali, 1976),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the Treaty on the Southeast Asia Nuclear Weapon-Free Zone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(Bangkok, 1995), the ASEAN Vision 2020 (Kuala Lumpur,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1997), the Declaration of ASEAN Concord II (Bali, 2003) and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the Bali Declaration on ASEAN Community in a Global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Community of Nations (Bali, 2011);</w:t>
      </w:r>
    </w:p>
    <w:p w:rsidR="00D7335A" w:rsidRDefault="00D7335A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35A">
        <w:rPr>
          <w:rFonts w:ascii="Arial" w:hAnsi="Arial" w:cs="Arial"/>
          <w:b/>
          <w:sz w:val="20"/>
          <w:szCs w:val="20"/>
        </w:rPr>
        <w:t>REAFFIRMING FURTHER</w:t>
      </w:r>
      <w:r w:rsidRPr="00D7335A">
        <w:rPr>
          <w:rFonts w:ascii="Arial" w:hAnsi="Arial" w:cs="Arial"/>
          <w:sz w:val="20"/>
          <w:szCs w:val="20"/>
        </w:rPr>
        <w:t xml:space="preserve"> the purposes and principles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enshrined in the ASEAN Charter that reflect our desire and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collective will to live in a region of lasting peace, security and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stability, sustained economic growth, shared prosperity and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social progress, as well as promote ASEAN interests, ideals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and aspirations;</w:t>
      </w:r>
    </w:p>
    <w:p w:rsidR="00D7335A" w:rsidRDefault="00D7335A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35A">
        <w:rPr>
          <w:rFonts w:ascii="Arial" w:hAnsi="Arial" w:cs="Arial"/>
          <w:b/>
          <w:sz w:val="20"/>
          <w:szCs w:val="20"/>
        </w:rPr>
        <w:t>RECOGNISING</w:t>
      </w:r>
      <w:r w:rsidRPr="00D7335A">
        <w:rPr>
          <w:rFonts w:ascii="Arial" w:hAnsi="Arial" w:cs="Arial"/>
          <w:sz w:val="20"/>
          <w:szCs w:val="20"/>
        </w:rPr>
        <w:t xml:space="preserve"> that the rapidly changing geostrategic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landscape continues to present both opportunities and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challenges which require ASEAN to respond proactively, in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order to remain relevant as well as to maintain ASEAN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centrality and role as the primary driving force in the evolving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regional architecture;</w:t>
      </w:r>
    </w:p>
    <w:p w:rsidR="00D7335A" w:rsidRDefault="00D7335A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35A">
        <w:rPr>
          <w:rFonts w:ascii="Arial" w:hAnsi="Arial" w:cs="Arial"/>
          <w:b/>
          <w:sz w:val="20"/>
          <w:szCs w:val="20"/>
        </w:rPr>
        <w:t>COGNISANT</w:t>
      </w:r>
      <w:r w:rsidRPr="00D7335A">
        <w:rPr>
          <w:rFonts w:ascii="Arial" w:hAnsi="Arial" w:cs="Arial"/>
          <w:sz w:val="20"/>
          <w:szCs w:val="20"/>
        </w:rPr>
        <w:t xml:space="preserve"> of our commitment made under the Bandar Seri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Begawan Declarat'1on on the ASEAN Community's Post-2015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Vision in 2013 and the Nay Pyi Taw Declaration on the ASEAN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Community's Post-2015 Vision in 2014 that sets out the future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direction for a politically cohesive, economically integrated,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socially responsible and a truly rules-based, people-oriented,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people-centred ASEAN;</w:t>
      </w:r>
    </w:p>
    <w:p w:rsidR="00D7335A" w:rsidRDefault="00D7335A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35A">
        <w:rPr>
          <w:rFonts w:ascii="Arial" w:hAnsi="Arial" w:cs="Arial"/>
          <w:b/>
          <w:sz w:val="20"/>
          <w:szCs w:val="20"/>
        </w:rPr>
        <w:t>EMPHASISING</w:t>
      </w:r>
      <w:r w:rsidRPr="00D7335A">
        <w:rPr>
          <w:rFonts w:ascii="Arial" w:hAnsi="Arial" w:cs="Arial"/>
          <w:sz w:val="20"/>
          <w:szCs w:val="20"/>
        </w:rPr>
        <w:t xml:space="preserve"> the importance of implementing the Report and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Recommendations of the High Level Task Force on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Strengthening the ASEAN Secretariat and Reviewing the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ASEAN Organs that was endorsed at the 25</w:t>
      </w:r>
      <w:r>
        <w:rPr>
          <w:rFonts w:ascii="Arial" w:hAnsi="Arial" w:cs="Arial"/>
          <w:sz w:val="20"/>
          <w:szCs w:val="20"/>
        </w:rPr>
        <w:t xml:space="preserve">th </w:t>
      </w:r>
      <w:r w:rsidRPr="00D7335A">
        <w:rPr>
          <w:rFonts w:ascii="Arial" w:hAnsi="Arial" w:cs="Arial"/>
          <w:sz w:val="20"/>
          <w:szCs w:val="20"/>
        </w:rPr>
        <w:t>ASEAN Summit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in Nay Pyi Taw;</w:t>
      </w:r>
    </w:p>
    <w:p w:rsidR="00D7335A" w:rsidRPr="00D7335A" w:rsidRDefault="00D7335A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35A">
        <w:rPr>
          <w:rFonts w:ascii="Arial" w:hAnsi="Arial" w:cs="Arial"/>
          <w:b/>
          <w:sz w:val="20"/>
          <w:szCs w:val="20"/>
        </w:rPr>
        <w:t>RECOGNISING</w:t>
      </w:r>
      <w:r w:rsidRPr="00D7335A">
        <w:rPr>
          <w:rFonts w:ascii="Arial" w:hAnsi="Arial" w:cs="Arial"/>
          <w:sz w:val="20"/>
          <w:szCs w:val="20"/>
        </w:rPr>
        <w:t xml:space="preserve"> the benefits realised from the implementation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of the Roadmap for an ASEAN Community (2009-2015)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comprising the ASEAN Political-Security Community, the</w:t>
      </w:r>
      <w:r>
        <w:rPr>
          <w:rFonts w:ascii="Arial" w:hAnsi="Arial" w:cs="Arial"/>
          <w:sz w:val="20"/>
          <w:szCs w:val="20"/>
        </w:rPr>
        <w:t xml:space="preserve"> ASEAN Economic</w:t>
      </w:r>
      <w:r w:rsidRPr="00D7335A">
        <w:rPr>
          <w:rFonts w:ascii="Arial" w:hAnsi="Arial" w:cs="Arial"/>
          <w:sz w:val="20"/>
          <w:szCs w:val="20"/>
        </w:rPr>
        <w:t xml:space="preserve"> Community and the ASEAN Socio-Cultural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Community Blueprints, as well as the Initiative for ASEAN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Integration (IAI) Work Plan II and the Master Plan on ASEAN</w:t>
      </w:r>
      <w:r>
        <w:rPr>
          <w:rFonts w:ascii="Arial" w:hAnsi="Arial" w:cs="Arial"/>
          <w:sz w:val="20"/>
          <w:szCs w:val="20"/>
        </w:rPr>
        <w:t xml:space="preserve"> </w:t>
      </w:r>
      <w:r w:rsidR="00F171E3">
        <w:rPr>
          <w:rFonts w:ascii="Arial" w:hAnsi="Arial" w:cs="Arial"/>
          <w:sz w:val="20"/>
          <w:szCs w:val="20"/>
        </w:rPr>
        <w:t>Connectivity;</w:t>
      </w:r>
    </w:p>
    <w:p w:rsidR="00D7335A" w:rsidRDefault="00D7335A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35A">
        <w:rPr>
          <w:rFonts w:ascii="Arial" w:hAnsi="Arial" w:cs="Arial"/>
          <w:b/>
          <w:sz w:val="20"/>
          <w:szCs w:val="20"/>
        </w:rPr>
        <w:t>WELCOMING</w:t>
      </w:r>
      <w:r w:rsidRPr="00D7335A">
        <w:rPr>
          <w:rFonts w:ascii="Arial" w:hAnsi="Arial" w:cs="Arial"/>
          <w:sz w:val="20"/>
          <w:szCs w:val="20"/>
        </w:rPr>
        <w:t xml:space="preserve"> the formal establishment of the ASEAN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Community 2015 comprising the ASEAN Political-Security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Community, the ASEAN Economic Community and the ASEAN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Socio-Cultural Community; and</w:t>
      </w:r>
    </w:p>
    <w:p w:rsidR="00D7335A" w:rsidRDefault="00D7335A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35A">
        <w:rPr>
          <w:rFonts w:ascii="Arial" w:hAnsi="Arial" w:cs="Arial"/>
          <w:b/>
          <w:sz w:val="20"/>
          <w:szCs w:val="20"/>
        </w:rPr>
        <w:t>COMMENDING</w:t>
      </w:r>
      <w:r w:rsidRPr="00D7335A">
        <w:rPr>
          <w:rFonts w:ascii="Arial" w:hAnsi="Arial" w:cs="Arial"/>
          <w:sz w:val="20"/>
          <w:szCs w:val="20"/>
        </w:rPr>
        <w:t xml:space="preserve"> the work of the High Level Task Force on the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ASEAN Community's Post-2015 Vision, as well as the work of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the High Level Task Force on ASEAN Political-Security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 xml:space="preserve">Community, the High </w:t>
      </w:r>
      <w:r w:rsidRPr="00D7335A">
        <w:rPr>
          <w:rFonts w:ascii="Arial" w:hAnsi="Arial" w:cs="Arial"/>
          <w:sz w:val="20"/>
          <w:szCs w:val="20"/>
        </w:rPr>
        <w:lastRenderedPageBreak/>
        <w:t>Level Task Force on ASEAN Economic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Integration and the High Level Task Force on ASEAN Socio</w:t>
      </w:r>
      <w:r>
        <w:rPr>
          <w:rFonts w:ascii="Arial" w:hAnsi="Arial" w:cs="Arial"/>
          <w:sz w:val="20"/>
          <w:szCs w:val="20"/>
        </w:rPr>
        <w:t>-</w:t>
      </w:r>
      <w:r w:rsidRPr="00D7335A">
        <w:rPr>
          <w:rFonts w:ascii="Arial" w:hAnsi="Arial" w:cs="Arial"/>
          <w:sz w:val="20"/>
          <w:szCs w:val="20"/>
        </w:rPr>
        <w:t>Cultural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Community, supported by the ASEAN Secretariat, on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the three Community Blueprints;</w:t>
      </w:r>
    </w:p>
    <w:p w:rsidR="00D7335A" w:rsidRPr="00D7335A" w:rsidRDefault="00D7335A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35A">
        <w:rPr>
          <w:rFonts w:ascii="Arial" w:hAnsi="Arial" w:cs="Arial"/>
          <w:b/>
          <w:sz w:val="20"/>
          <w:szCs w:val="20"/>
        </w:rPr>
        <w:t>DO HEREBY</w:t>
      </w:r>
      <w:r w:rsidRPr="00D7335A">
        <w:rPr>
          <w:rFonts w:ascii="Arial" w:hAnsi="Arial" w:cs="Arial"/>
          <w:sz w:val="20"/>
          <w:szCs w:val="20"/>
        </w:rPr>
        <w:t>:</w:t>
      </w:r>
    </w:p>
    <w:p w:rsidR="00D7335A" w:rsidRDefault="00D7335A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35A">
        <w:rPr>
          <w:rFonts w:ascii="Arial" w:hAnsi="Arial" w:cs="Arial"/>
          <w:sz w:val="20"/>
          <w:szCs w:val="20"/>
        </w:rPr>
        <w:t xml:space="preserve">1. </w:t>
      </w:r>
      <w:r w:rsidRPr="00D7335A">
        <w:rPr>
          <w:rFonts w:ascii="Arial" w:hAnsi="Arial" w:cs="Arial"/>
          <w:b/>
          <w:sz w:val="20"/>
          <w:szCs w:val="20"/>
        </w:rPr>
        <w:t>ADOPT</w:t>
      </w:r>
      <w:r w:rsidRPr="00D7335A">
        <w:rPr>
          <w:rFonts w:ascii="Arial" w:hAnsi="Arial" w:cs="Arial"/>
          <w:sz w:val="20"/>
          <w:szCs w:val="20"/>
        </w:rPr>
        <w:t xml:space="preserve"> the ASEAN Community Vision 2025, the ASEAN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Political-Security Community Blueprint 2025, the ASEAN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Economic Community Blueprint 2025 and the ASEAN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Socio-Cultural Community Blueprint 2025;</w:t>
      </w:r>
    </w:p>
    <w:p w:rsidR="00D7335A" w:rsidRDefault="00D7335A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35A">
        <w:rPr>
          <w:rFonts w:ascii="Arial" w:hAnsi="Arial" w:cs="Arial"/>
          <w:sz w:val="20"/>
          <w:szCs w:val="20"/>
        </w:rPr>
        <w:t xml:space="preserve">2. </w:t>
      </w:r>
      <w:r w:rsidRPr="00D7335A">
        <w:rPr>
          <w:rFonts w:ascii="Arial" w:hAnsi="Arial" w:cs="Arial"/>
          <w:b/>
          <w:sz w:val="20"/>
          <w:szCs w:val="20"/>
        </w:rPr>
        <w:t>AGREE</w:t>
      </w:r>
      <w:r w:rsidRPr="00D7335A">
        <w:rPr>
          <w:rFonts w:ascii="Arial" w:hAnsi="Arial" w:cs="Arial"/>
          <w:sz w:val="20"/>
          <w:szCs w:val="20"/>
        </w:rPr>
        <w:t xml:space="preserve"> that this Declaration as well as the ASEAN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Community Vision 2025, the ASEAN Political-Security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Community Blueprint 2025, the ASEAN Economic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Community Blueprint 2025 and the ASEAN Socio-Cultural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Community Blueprint 2025, as annexed, shall constitute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the ASEAN 2025: Forging Ahead Together;</w:t>
      </w:r>
    </w:p>
    <w:p w:rsidR="00D7335A" w:rsidRDefault="00D7335A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35A">
        <w:rPr>
          <w:rFonts w:ascii="Arial" w:hAnsi="Arial" w:cs="Arial"/>
          <w:sz w:val="20"/>
          <w:szCs w:val="20"/>
        </w:rPr>
        <w:t xml:space="preserve">3. </w:t>
      </w:r>
      <w:r w:rsidRPr="00D7335A">
        <w:rPr>
          <w:rFonts w:ascii="Arial" w:hAnsi="Arial" w:cs="Arial"/>
          <w:b/>
          <w:sz w:val="20"/>
          <w:szCs w:val="20"/>
        </w:rPr>
        <w:t>DECIDE</w:t>
      </w:r>
      <w:r w:rsidRPr="00D7335A">
        <w:rPr>
          <w:rFonts w:ascii="Arial" w:hAnsi="Arial" w:cs="Arial"/>
          <w:sz w:val="20"/>
          <w:szCs w:val="20"/>
        </w:rPr>
        <w:t xml:space="preserve"> that the ASEAN 2025: Forging Ahead Together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succeeds the Roadmap for an ASEAN Community (2009-2015);</w:t>
      </w:r>
    </w:p>
    <w:p w:rsidR="00D7335A" w:rsidRPr="00D7335A" w:rsidRDefault="00D7335A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35A">
        <w:rPr>
          <w:rFonts w:ascii="Arial" w:hAnsi="Arial" w:cs="Arial"/>
          <w:sz w:val="20"/>
          <w:szCs w:val="20"/>
        </w:rPr>
        <w:t xml:space="preserve">4. </w:t>
      </w:r>
      <w:r w:rsidRPr="00D7335A">
        <w:rPr>
          <w:rFonts w:ascii="Arial" w:hAnsi="Arial" w:cs="Arial"/>
          <w:b/>
          <w:sz w:val="20"/>
          <w:szCs w:val="20"/>
        </w:rPr>
        <w:t>FURTHER DECIDE</w:t>
      </w:r>
      <w:r w:rsidRPr="00D7335A">
        <w:rPr>
          <w:rFonts w:ascii="Arial" w:hAnsi="Arial" w:cs="Arial"/>
          <w:sz w:val="20"/>
          <w:szCs w:val="20"/>
        </w:rPr>
        <w:t xml:space="preserve"> that the IAI Work Plan Ill and the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ASEAN Connectivity 2025 to be adopted in 2016 shall be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an integral part of the ASEAN 2025: Forging Ahead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Together;</w:t>
      </w:r>
    </w:p>
    <w:p w:rsidR="00D7335A" w:rsidRDefault="00D7335A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35A">
        <w:rPr>
          <w:rFonts w:ascii="Arial" w:hAnsi="Arial" w:cs="Arial"/>
          <w:sz w:val="20"/>
          <w:szCs w:val="20"/>
        </w:rPr>
        <w:t xml:space="preserve">5. </w:t>
      </w:r>
      <w:r w:rsidRPr="00D7335A">
        <w:rPr>
          <w:rFonts w:ascii="Arial" w:hAnsi="Arial" w:cs="Arial"/>
          <w:b/>
          <w:sz w:val="20"/>
          <w:szCs w:val="20"/>
        </w:rPr>
        <w:t>RESOLVE</w:t>
      </w:r>
      <w:r w:rsidRPr="00D7335A">
        <w:rPr>
          <w:rFonts w:ascii="Arial" w:hAnsi="Arial" w:cs="Arial"/>
          <w:sz w:val="20"/>
          <w:szCs w:val="20"/>
        </w:rPr>
        <w:t xml:space="preserve"> that ASEAN Member States as well as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ASEAN Organs and Bodies shall implement the ASEAN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2025: Forging Ahead Together, in a timely and effective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manner, in accordance with the purposes and principles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of the ASEAN Charter;</w:t>
      </w:r>
    </w:p>
    <w:p w:rsidR="00D7335A" w:rsidRDefault="00D7335A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35A">
        <w:rPr>
          <w:rFonts w:ascii="Arial" w:hAnsi="Arial" w:cs="Arial"/>
          <w:sz w:val="20"/>
          <w:szCs w:val="20"/>
        </w:rPr>
        <w:t xml:space="preserve">6. </w:t>
      </w:r>
      <w:r w:rsidRPr="00D7335A">
        <w:rPr>
          <w:rFonts w:ascii="Arial" w:hAnsi="Arial" w:cs="Arial"/>
          <w:b/>
          <w:sz w:val="20"/>
          <w:szCs w:val="20"/>
        </w:rPr>
        <w:t>TASK</w:t>
      </w:r>
      <w:r w:rsidRPr="00D7335A">
        <w:rPr>
          <w:rFonts w:ascii="Arial" w:hAnsi="Arial" w:cs="Arial"/>
          <w:sz w:val="20"/>
          <w:szCs w:val="20"/>
        </w:rPr>
        <w:t xml:space="preserve"> the ASEAN Ministers, the Secretary-General of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ASEAN as well as other ASEAN Organs and Bodies to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mobilise resources from ASEAN Member States and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external sources to implement the ASEAN 2025: Forging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Ahead Together; and</w:t>
      </w:r>
    </w:p>
    <w:p w:rsidR="00C56626" w:rsidRDefault="00D7335A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  <w:sectPr w:rsidR="00C56626" w:rsidSect="00F171E3">
          <w:type w:val="continuous"/>
          <w:pgSz w:w="11900" w:h="16840"/>
          <w:pgMar w:top="1440" w:right="1440" w:bottom="1440" w:left="1440" w:header="708" w:footer="708" w:gutter="0"/>
          <w:cols w:sep="1" w:space="720"/>
          <w:titlePg/>
          <w:docGrid w:linePitch="360"/>
        </w:sectPr>
      </w:pPr>
      <w:r w:rsidRPr="00D7335A">
        <w:rPr>
          <w:rFonts w:ascii="Arial" w:hAnsi="Arial" w:cs="Arial"/>
          <w:sz w:val="20"/>
          <w:szCs w:val="20"/>
        </w:rPr>
        <w:t xml:space="preserve">7. </w:t>
      </w:r>
      <w:r w:rsidRPr="00D7335A">
        <w:rPr>
          <w:rFonts w:ascii="Arial" w:hAnsi="Arial" w:cs="Arial"/>
          <w:b/>
          <w:sz w:val="20"/>
          <w:szCs w:val="20"/>
        </w:rPr>
        <w:t>DIRECT</w:t>
      </w:r>
      <w:r w:rsidRPr="00D7335A">
        <w:rPr>
          <w:rFonts w:ascii="Arial" w:hAnsi="Arial" w:cs="Arial"/>
          <w:sz w:val="20"/>
          <w:szCs w:val="20"/>
        </w:rPr>
        <w:t xml:space="preserve"> the Secretary-General of ASEAN to monitor and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report the progress of implementation of the ASEAN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2025: Forging Ahead Together to the ASEAN Summit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annually, through the ASEAN Coordinating Council and</w:t>
      </w:r>
      <w:r>
        <w:rPr>
          <w:rFonts w:ascii="Arial" w:hAnsi="Arial" w:cs="Arial"/>
          <w:sz w:val="20"/>
          <w:szCs w:val="20"/>
        </w:rPr>
        <w:t xml:space="preserve"> </w:t>
      </w:r>
      <w:r w:rsidRPr="00D7335A">
        <w:rPr>
          <w:rFonts w:ascii="Arial" w:hAnsi="Arial" w:cs="Arial"/>
          <w:sz w:val="20"/>
          <w:szCs w:val="20"/>
        </w:rPr>
        <w:t>respective ASEAN Community Councils.</w:t>
      </w:r>
    </w:p>
    <w:p w:rsidR="00161BCE" w:rsidRDefault="00161BCE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  <w:sectPr w:rsidR="00161BCE" w:rsidSect="00C56626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D7335A" w:rsidRDefault="00D7335A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7335A" w:rsidRDefault="00D7335A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1BCE" w:rsidRDefault="00161BCE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1BCE" w:rsidRDefault="00161BCE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1BCE" w:rsidRDefault="00161BCE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1BCE" w:rsidRPr="00D7335A" w:rsidRDefault="00161BCE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7335A" w:rsidRDefault="00F171E3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D7335A" w:rsidRPr="00D7335A">
        <w:rPr>
          <w:rFonts w:ascii="Arial" w:hAnsi="Arial" w:cs="Arial"/>
          <w:b/>
          <w:sz w:val="20"/>
          <w:szCs w:val="20"/>
        </w:rPr>
        <w:lastRenderedPageBreak/>
        <w:t>DONE</w:t>
      </w:r>
      <w:r w:rsidR="00D7335A" w:rsidRPr="00D7335A">
        <w:rPr>
          <w:rFonts w:ascii="Arial" w:hAnsi="Arial" w:cs="Arial"/>
          <w:sz w:val="20"/>
          <w:szCs w:val="20"/>
        </w:rPr>
        <w:t xml:space="preserve"> at Kuala Lumpur, Malaysia this Twenty Second Day of</w:t>
      </w:r>
      <w:r w:rsidR="00D7335A">
        <w:rPr>
          <w:rFonts w:ascii="Arial" w:hAnsi="Arial" w:cs="Arial"/>
          <w:sz w:val="20"/>
          <w:szCs w:val="20"/>
        </w:rPr>
        <w:t xml:space="preserve"> </w:t>
      </w:r>
      <w:r w:rsidR="00D7335A" w:rsidRPr="00D7335A">
        <w:rPr>
          <w:rFonts w:ascii="Arial" w:hAnsi="Arial" w:cs="Arial"/>
          <w:sz w:val="20"/>
          <w:szCs w:val="20"/>
        </w:rPr>
        <w:t>November in the Year Two Thousand and Fifteen, in a single</w:t>
      </w:r>
      <w:r w:rsidR="00D7335A">
        <w:rPr>
          <w:rFonts w:ascii="Arial" w:hAnsi="Arial" w:cs="Arial"/>
          <w:sz w:val="20"/>
          <w:szCs w:val="20"/>
        </w:rPr>
        <w:t xml:space="preserve"> </w:t>
      </w:r>
      <w:r w:rsidR="00D7335A" w:rsidRPr="00D7335A">
        <w:rPr>
          <w:rFonts w:ascii="Arial" w:hAnsi="Arial" w:cs="Arial"/>
          <w:sz w:val="20"/>
          <w:szCs w:val="20"/>
        </w:rPr>
        <w:t>original copy, in the English Language.</w:t>
      </w:r>
    </w:p>
    <w:p w:rsidR="00D7335A" w:rsidRPr="00D7335A" w:rsidRDefault="00325EC4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7335A" w:rsidRPr="00D7335A">
        <w:rPr>
          <w:rFonts w:ascii="Arial" w:hAnsi="Arial" w:cs="Arial"/>
          <w:sz w:val="20"/>
          <w:szCs w:val="20"/>
        </w:rPr>
        <w:t>For Brunei Darussalam:</w:t>
      </w:r>
      <w:r w:rsidR="00D7335A">
        <w:rPr>
          <w:rFonts w:ascii="Arial" w:hAnsi="Arial" w:cs="Arial"/>
          <w:sz w:val="20"/>
          <w:szCs w:val="20"/>
        </w:rPr>
        <w:t xml:space="preserve"> </w:t>
      </w:r>
      <w:r w:rsidR="00D7335A" w:rsidRPr="00D7335A">
        <w:rPr>
          <w:rFonts w:ascii="Arial" w:hAnsi="Arial" w:cs="Arial"/>
          <w:b/>
          <w:sz w:val="20"/>
          <w:szCs w:val="20"/>
        </w:rPr>
        <w:t>HAJI HASSANAL BOLKIAH</w:t>
      </w:r>
      <w:r w:rsidR="00D7335A">
        <w:rPr>
          <w:rFonts w:ascii="Arial" w:hAnsi="Arial" w:cs="Arial"/>
          <w:sz w:val="20"/>
          <w:szCs w:val="20"/>
        </w:rPr>
        <w:t xml:space="preserve">, </w:t>
      </w:r>
      <w:r w:rsidR="00D7335A" w:rsidRPr="00D7335A">
        <w:rPr>
          <w:rFonts w:ascii="Arial" w:hAnsi="Arial" w:cs="Arial"/>
          <w:sz w:val="20"/>
          <w:szCs w:val="20"/>
        </w:rPr>
        <w:t>Sultan of Brunei Darussalam</w:t>
      </w:r>
    </w:p>
    <w:p w:rsidR="00D7335A" w:rsidRDefault="00325EC4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7335A" w:rsidRPr="00D7335A">
        <w:rPr>
          <w:rFonts w:ascii="Arial" w:hAnsi="Arial" w:cs="Arial"/>
          <w:sz w:val="20"/>
          <w:szCs w:val="20"/>
        </w:rPr>
        <w:t>For the Kingdom of Cambodia:</w:t>
      </w:r>
      <w:r w:rsidR="00D7335A">
        <w:rPr>
          <w:rFonts w:ascii="Arial" w:hAnsi="Arial" w:cs="Arial"/>
          <w:sz w:val="20"/>
          <w:szCs w:val="20"/>
        </w:rPr>
        <w:t xml:space="preserve"> </w:t>
      </w:r>
      <w:r w:rsidR="00D7335A" w:rsidRPr="00D7335A">
        <w:rPr>
          <w:rFonts w:ascii="Arial" w:hAnsi="Arial" w:cs="Arial"/>
          <w:b/>
          <w:sz w:val="20"/>
          <w:szCs w:val="20"/>
        </w:rPr>
        <w:t xml:space="preserve">SAMDECH AKKA MOHA SENA PADEI TECHO </w:t>
      </w:r>
      <w:r>
        <w:rPr>
          <w:rFonts w:ascii="Arial" w:hAnsi="Arial" w:cs="Arial"/>
          <w:b/>
          <w:sz w:val="20"/>
          <w:szCs w:val="20"/>
        </w:rPr>
        <w:tab/>
      </w:r>
      <w:r w:rsidR="00D7335A" w:rsidRPr="00D7335A">
        <w:rPr>
          <w:rFonts w:ascii="Arial" w:hAnsi="Arial" w:cs="Arial"/>
          <w:b/>
          <w:sz w:val="20"/>
          <w:szCs w:val="20"/>
        </w:rPr>
        <w:t>HUN SEN</w:t>
      </w:r>
      <w:r w:rsidR="00D7335A">
        <w:rPr>
          <w:rFonts w:ascii="Arial" w:hAnsi="Arial" w:cs="Arial"/>
          <w:sz w:val="20"/>
          <w:szCs w:val="20"/>
        </w:rPr>
        <w:t xml:space="preserve">, </w:t>
      </w:r>
      <w:r w:rsidR="00D7335A" w:rsidRPr="00D7335A">
        <w:rPr>
          <w:rFonts w:ascii="Arial" w:hAnsi="Arial" w:cs="Arial"/>
          <w:sz w:val="20"/>
          <w:szCs w:val="20"/>
        </w:rPr>
        <w:t>Prime Minister</w:t>
      </w:r>
    </w:p>
    <w:p w:rsidR="00D7335A" w:rsidRPr="00D7335A" w:rsidRDefault="00325EC4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7335A" w:rsidRPr="00D7335A">
        <w:rPr>
          <w:rFonts w:ascii="Arial" w:hAnsi="Arial" w:cs="Arial"/>
          <w:sz w:val="20"/>
          <w:szCs w:val="20"/>
        </w:rPr>
        <w:t>For the Republic of Indonesia:</w:t>
      </w:r>
      <w:r w:rsidR="00D7335A">
        <w:rPr>
          <w:rFonts w:ascii="Arial" w:hAnsi="Arial" w:cs="Arial"/>
          <w:sz w:val="20"/>
          <w:szCs w:val="20"/>
        </w:rPr>
        <w:t xml:space="preserve"> </w:t>
      </w:r>
      <w:r w:rsidR="00D7335A" w:rsidRPr="00D7335A">
        <w:rPr>
          <w:rFonts w:ascii="Arial" w:hAnsi="Arial" w:cs="Arial"/>
          <w:b/>
          <w:sz w:val="20"/>
          <w:szCs w:val="20"/>
        </w:rPr>
        <w:t>JOKO WIDODO</w:t>
      </w:r>
      <w:r w:rsidR="00D7335A">
        <w:rPr>
          <w:rFonts w:ascii="Arial" w:hAnsi="Arial" w:cs="Arial"/>
          <w:sz w:val="20"/>
          <w:szCs w:val="20"/>
        </w:rPr>
        <w:t>, Pr</w:t>
      </w:r>
      <w:r w:rsidR="00D7335A" w:rsidRPr="00D7335A">
        <w:rPr>
          <w:rFonts w:ascii="Arial" w:hAnsi="Arial" w:cs="Arial"/>
          <w:sz w:val="20"/>
          <w:szCs w:val="20"/>
        </w:rPr>
        <w:t>esident</w:t>
      </w:r>
    </w:p>
    <w:p w:rsidR="00D7335A" w:rsidRPr="00D7335A" w:rsidRDefault="00325EC4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7335A" w:rsidRPr="00D7335A">
        <w:rPr>
          <w:rFonts w:ascii="Arial" w:hAnsi="Arial" w:cs="Arial"/>
          <w:sz w:val="20"/>
          <w:szCs w:val="20"/>
        </w:rPr>
        <w:t>For the Lao People's Democratic R</w:t>
      </w:r>
      <w:r w:rsidR="00D7335A">
        <w:rPr>
          <w:rFonts w:ascii="Arial" w:hAnsi="Arial" w:cs="Arial"/>
          <w:sz w:val="20"/>
          <w:szCs w:val="20"/>
        </w:rPr>
        <w:t xml:space="preserve">epublic: </w:t>
      </w:r>
      <w:r w:rsidR="00D7335A" w:rsidRPr="00D7335A">
        <w:rPr>
          <w:rFonts w:ascii="Arial" w:hAnsi="Arial" w:cs="Arial"/>
          <w:b/>
          <w:sz w:val="20"/>
          <w:szCs w:val="20"/>
        </w:rPr>
        <w:t>THONGSING THAMMAVONG</w:t>
      </w:r>
      <w:r w:rsidR="00D7335A">
        <w:rPr>
          <w:rFonts w:ascii="Arial" w:hAnsi="Arial" w:cs="Arial"/>
          <w:sz w:val="20"/>
          <w:szCs w:val="20"/>
        </w:rPr>
        <w:t xml:space="preserve">, </w:t>
      </w:r>
      <w:r w:rsidR="00D7335A" w:rsidRPr="00D7335A">
        <w:rPr>
          <w:rFonts w:ascii="Arial" w:hAnsi="Arial" w:cs="Arial"/>
          <w:sz w:val="20"/>
          <w:szCs w:val="20"/>
        </w:rPr>
        <w:t xml:space="preserve">Prime </w:t>
      </w:r>
      <w:r>
        <w:rPr>
          <w:rFonts w:ascii="Arial" w:hAnsi="Arial" w:cs="Arial"/>
          <w:sz w:val="20"/>
          <w:szCs w:val="20"/>
        </w:rPr>
        <w:tab/>
      </w:r>
      <w:r w:rsidR="00D7335A" w:rsidRPr="00D7335A">
        <w:rPr>
          <w:rFonts w:ascii="Arial" w:hAnsi="Arial" w:cs="Arial"/>
          <w:sz w:val="20"/>
          <w:szCs w:val="20"/>
        </w:rPr>
        <w:t>Minister</w:t>
      </w:r>
    </w:p>
    <w:p w:rsidR="00D7335A" w:rsidRDefault="00325EC4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7335A" w:rsidRPr="00D7335A">
        <w:rPr>
          <w:rFonts w:ascii="Arial" w:hAnsi="Arial" w:cs="Arial"/>
          <w:sz w:val="20"/>
          <w:szCs w:val="20"/>
        </w:rPr>
        <w:t>For Malaysia:</w:t>
      </w:r>
      <w:r w:rsidR="00D7335A">
        <w:rPr>
          <w:rFonts w:ascii="Arial" w:hAnsi="Arial" w:cs="Arial"/>
          <w:sz w:val="20"/>
          <w:szCs w:val="20"/>
        </w:rPr>
        <w:t xml:space="preserve"> </w:t>
      </w:r>
      <w:r w:rsidR="00D7335A" w:rsidRPr="00D7335A">
        <w:rPr>
          <w:rFonts w:ascii="Arial" w:hAnsi="Arial" w:cs="Arial"/>
          <w:b/>
          <w:sz w:val="20"/>
          <w:szCs w:val="20"/>
        </w:rPr>
        <w:t>DATO' SRI MOHD NAJIB TUN ABDUL RAZAK</w:t>
      </w:r>
      <w:r w:rsidR="00D7335A">
        <w:rPr>
          <w:rFonts w:ascii="Arial" w:hAnsi="Arial" w:cs="Arial"/>
          <w:sz w:val="20"/>
          <w:szCs w:val="20"/>
        </w:rPr>
        <w:t>, Prime Minister</w:t>
      </w:r>
    </w:p>
    <w:p w:rsidR="00D7335A" w:rsidRPr="00D7335A" w:rsidRDefault="00325EC4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7335A" w:rsidRPr="00D7335A">
        <w:rPr>
          <w:rFonts w:ascii="Arial" w:hAnsi="Arial" w:cs="Arial"/>
          <w:sz w:val="20"/>
          <w:szCs w:val="20"/>
        </w:rPr>
        <w:t>For the Republic of the Union of Myanmar</w:t>
      </w:r>
      <w:r w:rsidR="00D7335A">
        <w:rPr>
          <w:rFonts w:ascii="Arial" w:hAnsi="Arial" w:cs="Arial"/>
          <w:sz w:val="20"/>
          <w:szCs w:val="20"/>
        </w:rPr>
        <w:t xml:space="preserve"> </w:t>
      </w:r>
      <w:r w:rsidR="00D7335A" w:rsidRPr="00D7335A">
        <w:rPr>
          <w:rFonts w:ascii="Arial" w:hAnsi="Arial" w:cs="Arial"/>
          <w:b/>
          <w:sz w:val="20"/>
          <w:szCs w:val="20"/>
        </w:rPr>
        <w:t>THEIN SEIN</w:t>
      </w:r>
      <w:r w:rsidR="00D7335A">
        <w:rPr>
          <w:rFonts w:ascii="Arial" w:hAnsi="Arial" w:cs="Arial"/>
          <w:sz w:val="20"/>
          <w:szCs w:val="20"/>
        </w:rPr>
        <w:t xml:space="preserve">, </w:t>
      </w:r>
      <w:r w:rsidR="00D7335A" w:rsidRPr="00D7335A">
        <w:rPr>
          <w:rFonts w:ascii="Arial" w:hAnsi="Arial" w:cs="Arial"/>
          <w:sz w:val="20"/>
          <w:szCs w:val="20"/>
        </w:rPr>
        <w:t>President</w:t>
      </w:r>
    </w:p>
    <w:p w:rsidR="00D7335A" w:rsidRDefault="00325EC4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7335A" w:rsidRPr="00D7335A">
        <w:rPr>
          <w:rFonts w:ascii="Arial" w:hAnsi="Arial" w:cs="Arial"/>
          <w:sz w:val="20"/>
          <w:szCs w:val="20"/>
        </w:rPr>
        <w:t>For the Republic of the Philippines</w:t>
      </w:r>
      <w:r w:rsidR="00D7335A">
        <w:rPr>
          <w:rFonts w:ascii="Arial" w:hAnsi="Arial" w:cs="Arial"/>
          <w:sz w:val="20"/>
          <w:szCs w:val="20"/>
        </w:rPr>
        <w:t xml:space="preserve">: </w:t>
      </w:r>
      <w:r w:rsidR="00D7335A" w:rsidRPr="00D7335A">
        <w:rPr>
          <w:rFonts w:ascii="Arial" w:hAnsi="Arial" w:cs="Arial"/>
          <w:b/>
          <w:sz w:val="20"/>
          <w:szCs w:val="20"/>
        </w:rPr>
        <w:t>BENIGNO S AQUINO III</w:t>
      </w:r>
      <w:r w:rsidR="00D7335A">
        <w:rPr>
          <w:rFonts w:ascii="Arial" w:hAnsi="Arial" w:cs="Arial"/>
          <w:sz w:val="20"/>
          <w:szCs w:val="20"/>
        </w:rPr>
        <w:t xml:space="preserve">, </w:t>
      </w:r>
      <w:r w:rsidR="00D7335A" w:rsidRPr="00D7335A">
        <w:rPr>
          <w:rFonts w:ascii="Arial" w:hAnsi="Arial" w:cs="Arial"/>
          <w:sz w:val="20"/>
          <w:szCs w:val="20"/>
        </w:rPr>
        <w:t>President</w:t>
      </w:r>
    </w:p>
    <w:p w:rsidR="00D7335A" w:rsidRDefault="00325EC4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7335A" w:rsidRPr="00D7335A">
        <w:rPr>
          <w:rFonts w:ascii="Arial" w:hAnsi="Arial" w:cs="Arial"/>
          <w:sz w:val="20"/>
          <w:szCs w:val="20"/>
        </w:rPr>
        <w:t>For the Republic of Singapore</w:t>
      </w:r>
      <w:r w:rsidR="00D7335A">
        <w:rPr>
          <w:rFonts w:ascii="Arial" w:hAnsi="Arial" w:cs="Arial"/>
          <w:sz w:val="20"/>
          <w:szCs w:val="20"/>
        </w:rPr>
        <w:t xml:space="preserve">: </w:t>
      </w:r>
      <w:r w:rsidR="00D7335A" w:rsidRPr="00D7335A">
        <w:rPr>
          <w:rFonts w:ascii="Arial" w:hAnsi="Arial" w:cs="Arial"/>
          <w:b/>
          <w:sz w:val="20"/>
          <w:szCs w:val="20"/>
        </w:rPr>
        <w:t>LEE HSIEN LOONG</w:t>
      </w:r>
      <w:r w:rsidR="00D7335A">
        <w:rPr>
          <w:rFonts w:ascii="Arial" w:hAnsi="Arial" w:cs="Arial"/>
          <w:sz w:val="20"/>
          <w:szCs w:val="20"/>
        </w:rPr>
        <w:t xml:space="preserve">, </w:t>
      </w:r>
      <w:r w:rsidR="00D7335A" w:rsidRPr="00D7335A">
        <w:rPr>
          <w:rFonts w:ascii="Arial" w:hAnsi="Arial" w:cs="Arial"/>
          <w:sz w:val="20"/>
          <w:szCs w:val="20"/>
        </w:rPr>
        <w:t>Prime Minister</w:t>
      </w:r>
    </w:p>
    <w:p w:rsidR="00D7335A" w:rsidRDefault="00325EC4" w:rsidP="00161BC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7335A" w:rsidRPr="00D7335A">
        <w:rPr>
          <w:rFonts w:ascii="Arial" w:hAnsi="Arial" w:cs="Arial"/>
          <w:sz w:val="20"/>
          <w:szCs w:val="20"/>
        </w:rPr>
        <w:t>For the Kingdom of Thailand:</w:t>
      </w:r>
      <w:r w:rsidR="00D7335A">
        <w:rPr>
          <w:rFonts w:ascii="Arial" w:hAnsi="Arial" w:cs="Arial"/>
          <w:sz w:val="20"/>
          <w:szCs w:val="20"/>
        </w:rPr>
        <w:t xml:space="preserve"> </w:t>
      </w:r>
      <w:r w:rsidR="00D7335A" w:rsidRPr="00D7335A">
        <w:rPr>
          <w:rFonts w:ascii="Arial" w:hAnsi="Arial" w:cs="Arial"/>
          <w:b/>
          <w:sz w:val="20"/>
          <w:szCs w:val="20"/>
        </w:rPr>
        <w:t>GENERAL PRAYUT CHAN-O-CHA (RET.)</w:t>
      </w:r>
      <w:r w:rsidR="00D7335A">
        <w:rPr>
          <w:rFonts w:ascii="Arial" w:hAnsi="Arial" w:cs="Arial"/>
          <w:sz w:val="20"/>
          <w:szCs w:val="20"/>
        </w:rPr>
        <w:t xml:space="preserve">, </w:t>
      </w:r>
      <w:r w:rsidR="00D7335A" w:rsidRPr="00D7335A">
        <w:rPr>
          <w:rFonts w:ascii="Arial" w:hAnsi="Arial" w:cs="Arial"/>
          <w:sz w:val="20"/>
          <w:szCs w:val="20"/>
        </w:rPr>
        <w:t xml:space="preserve">Prime </w:t>
      </w:r>
      <w:r>
        <w:rPr>
          <w:rFonts w:ascii="Arial" w:hAnsi="Arial" w:cs="Arial"/>
          <w:sz w:val="20"/>
          <w:szCs w:val="20"/>
        </w:rPr>
        <w:tab/>
      </w:r>
      <w:r w:rsidR="00D7335A" w:rsidRPr="00D7335A">
        <w:rPr>
          <w:rFonts w:ascii="Arial" w:hAnsi="Arial" w:cs="Arial"/>
          <w:sz w:val="20"/>
          <w:szCs w:val="20"/>
        </w:rPr>
        <w:t>Minister</w:t>
      </w:r>
    </w:p>
    <w:p w:rsidR="00D7335A" w:rsidRDefault="00325EC4" w:rsidP="00F171E3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7335A" w:rsidRPr="00D7335A">
        <w:rPr>
          <w:rFonts w:ascii="Arial" w:hAnsi="Arial" w:cs="Arial"/>
          <w:sz w:val="20"/>
          <w:szCs w:val="20"/>
        </w:rPr>
        <w:t>For the Socialist Republic of Viet</w:t>
      </w:r>
      <w:r w:rsidR="00D7335A">
        <w:rPr>
          <w:rFonts w:ascii="Arial" w:hAnsi="Arial" w:cs="Arial"/>
          <w:sz w:val="20"/>
          <w:szCs w:val="20"/>
        </w:rPr>
        <w:t xml:space="preserve"> Nam: </w:t>
      </w:r>
      <w:r w:rsidR="00D7335A" w:rsidRPr="00D7335A">
        <w:rPr>
          <w:rFonts w:ascii="Arial" w:hAnsi="Arial" w:cs="Arial"/>
          <w:b/>
          <w:sz w:val="20"/>
          <w:szCs w:val="20"/>
        </w:rPr>
        <w:t>NGUYEN TAN DUNG</w:t>
      </w:r>
      <w:r w:rsidR="00D7335A">
        <w:rPr>
          <w:rFonts w:ascii="Arial" w:hAnsi="Arial" w:cs="Arial"/>
          <w:sz w:val="20"/>
          <w:szCs w:val="20"/>
        </w:rPr>
        <w:t xml:space="preserve">, </w:t>
      </w:r>
      <w:r w:rsidR="00D7335A" w:rsidRPr="00D7335A">
        <w:rPr>
          <w:rFonts w:ascii="Arial" w:hAnsi="Arial" w:cs="Arial"/>
          <w:sz w:val="20"/>
          <w:szCs w:val="20"/>
        </w:rPr>
        <w:t>Prime Ministe</w:t>
      </w:r>
      <w:r w:rsidR="00F171E3">
        <w:rPr>
          <w:rFonts w:ascii="Arial" w:hAnsi="Arial" w:cs="Arial"/>
          <w:sz w:val="20"/>
          <w:szCs w:val="20"/>
        </w:rPr>
        <w:t>r</w:t>
      </w:r>
    </w:p>
    <w:p w:rsidR="00D7335A" w:rsidRDefault="00D7335A" w:rsidP="00D7335A">
      <w:pPr>
        <w:jc w:val="both"/>
        <w:rPr>
          <w:rFonts w:ascii="Arial" w:hAnsi="Arial" w:cs="Arial"/>
          <w:sz w:val="20"/>
          <w:szCs w:val="20"/>
        </w:rPr>
      </w:pPr>
    </w:p>
    <w:p w:rsidR="00D7335A" w:rsidRDefault="000A5C9C" w:rsidP="00D7335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lang w:val="en-SG" w:eastAsia="en-SG"/>
        </w:rPr>
        <w:drawing>
          <wp:inline distT="0" distB="0" distL="0" distR="0">
            <wp:extent cx="5391150" cy="1375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00" b="2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5A" w:rsidRDefault="000A5C9C" w:rsidP="00D7335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lang w:val="en-SG" w:eastAsia="en-SG"/>
        </w:rPr>
        <w:lastRenderedPageBreak/>
        <w:drawing>
          <wp:inline distT="0" distB="0" distL="0" distR="0">
            <wp:extent cx="4739005" cy="366585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22" b="30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5A" w:rsidRDefault="00D7335A" w:rsidP="00D7335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7335A" w:rsidRDefault="000A5C9C" w:rsidP="00D7335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lang w:val="en-SG" w:eastAsia="en-SG"/>
        </w:rPr>
        <w:drawing>
          <wp:inline distT="0" distB="0" distL="0" distR="0">
            <wp:extent cx="5295265" cy="407924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67" b="31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5A" w:rsidRDefault="000A5C9C" w:rsidP="00D7335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lang w:val="en-SG" w:eastAsia="en-SG"/>
        </w:rPr>
        <w:lastRenderedPageBreak/>
        <w:drawing>
          <wp:inline distT="0" distB="0" distL="0" distR="0">
            <wp:extent cx="5224145" cy="40316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30" b="31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5A" w:rsidRPr="00D7335A" w:rsidRDefault="000A5C9C" w:rsidP="00D7335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lang w:val="en-SG" w:eastAsia="en-SG"/>
        </w:rPr>
        <w:drawing>
          <wp:inline distT="0" distB="0" distL="0" distR="0">
            <wp:extent cx="5303520" cy="4079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5" b="31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35A" w:rsidRPr="00D7335A" w:rsidSect="00C56626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E5" w:rsidRDefault="00D86DE5" w:rsidP="00C233BE">
      <w:r>
        <w:separator/>
      </w:r>
    </w:p>
  </w:endnote>
  <w:endnote w:type="continuationSeparator" w:id="0">
    <w:p w:rsidR="00D86DE5" w:rsidRDefault="00D86DE5" w:rsidP="00C2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DA" w:rsidRPr="00F171E3" w:rsidRDefault="00E67BDA" w:rsidP="00F171E3">
    <w:pPr>
      <w:pStyle w:val="Footer"/>
      <w:pBdr>
        <w:top w:val="single" w:sz="4" w:space="1" w:color="auto"/>
      </w:pBdr>
      <w:rPr>
        <w:rFonts w:ascii="Arial" w:hAnsi="Arial" w:cs="Arial"/>
        <w:color w:val="7F7F7F"/>
        <w:sz w:val="16"/>
        <w:szCs w:val="16"/>
      </w:rPr>
    </w:pPr>
    <w:r w:rsidRPr="00F171E3">
      <w:rPr>
        <w:rFonts w:ascii="Arial" w:hAnsi="Arial"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F171E3">
        <w:rPr>
          <w:rStyle w:val="Hyperlink"/>
          <w:rFonts w:ascii="Arial" w:hAnsi="Arial" w:cs="Arial"/>
          <w:color w:val="7F7F7F"/>
          <w:sz w:val="16"/>
          <w:szCs w:val="16"/>
        </w:rPr>
        <w:t>www.cil.nus.edu.sg</w:t>
      </w:r>
    </w:hyperlink>
    <w:r w:rsidR="00F171E3">
      <w:rPr>
        <w:rFonts w:ascii="Arial" w:hAnsi="Arial" w:cs="Arial"/>
        <w:color w:val="7F7F7F"/>
        <w:sz w:val="16"/>
        <w:szCs w:val="16"/>
      </w:rPr>
      <w:t xml:space="preserve"> </w:t>
    </w:r>
    <w:r w:rsidR="00F171E3">
      <w:rPr>
        <w:rFonts w:ascii="Arial" w:hAnsi="Arial" w:cs="Arial"/>
        <w:color w:val="7F7F7F"/>
        <w:sz w:val="16"/>
        <w:szCs w:val="16"/>
      </w:rPr>
      <w:tab/>
    </w:r>
    <w:r w:rsidRPr="00F171E3">
      <w:rPr>
        <w:rFonts w:ascii="Arial" w:hAnsi="Arial" w:cs="Arial"/>
        <w:color w:val="7F7F7F"/>
        <w:sz w:val="16"/>
        <w:szCs w:val="16"/>
      </w:rPr>
      <w:t xml:space="preserve">Page </w:t>
    </w:r>
    <w:r w:rsidRPr="00F171E3">
      <w:rPr>
        <w:rFonts w:ascii="Arial" w:hAnsi="Arial" w:cs="Arial"/>
        <w:color w:val="7F7F7F"/>
        <w:sz w:val="16"/>
        <w:szCs w:val="16"/>
      </w:rPr>
      <w:fldChar w:fldCharType="begin"/>
    </w:r>
    <w:r w:rsidRPr="00F171E3">
      <w:rPr>
        <w:rFonts w:ascii="Arial" w:hAnsi="Arial" w:cs="Arial"/>
        <w:color w:val="7F7F7F"/>
        <w:sz w:val="16"/>
        <w:szCs w:val="16"/>
      </w:rPr>
      <w:instrText xml:space="preserve"> PAGE </w:instrText>
    </w:r>
    <w:r w:rsidRPr="00F171E3">
      <w:rPr>
        <w:rFonts w:ascii="Arial" w:hAnsi="Arial" w:cs="Arial"/>
        <w:color w:val="7F7F7F"/>
        <w:sz w:val="16"/>
        <w:szCs w:val="16"/>
      </w:rPr>
      <w:fldChar w:fldCharType="separate"/>
    </w:r>
    <w:r w:rsidR="000A5C9C">
      <w:rPr>
        <w:rFonts w:ascii="Arial" w:hAnsi="Arial" w:cs="Arial"/>
        <w:noProof/>
        <w:color w:val="7F7F7F"/>
        <w:sz w:val="16"/>
        <w:szCs w:val="16"/>
      </w:rPr>
      <w:t>3</w:t>
    </w:r>
    <w:r w:rsidRPr="00F171E3">
      <w:rPr>
        <w:rFonts w:ascii="Arial" w:hAnsi="Arial" w:cs="Arial"/>
        <w:color w:val="7F7F7F"/>
        <w:sz w:val="16"/>
        <w:szCs w:val="16"/>
      </w:rPr>
      <w:fldChar w:fldCharType="end"/>
    </w:r>
    <w:r w:rsidRPr="00F171E3">
      <w:rPr>
        <w:rFonts w:ascii="Arial" w:hAnsi="Arial" w:cs="Arial"/>
        <w:color w:val="7F7F7F"/>
        <w:sz w:val="16"/>
        <w:szCs w:val="16"/>
      </w:rPr>
      <w:t xml:space="preserve"> of </w:t>
    </w:r>
    <w:r w:rsidRPr="00F171E3">
      <w:rPr>
        <w:rFonts w:ascii="Arial" w:hAnsi="Arial" w:cs="Arial"/>
        <w:color w:val="7F7F7F"/>
        <w:sz w:val="16"/>
        <w:szCs w:val="16"/>
      </w:rPr>
      <w:fldChar w:fldCharType="begin"/>
    </w:r>
    <w:r w:rsidRPr="00F171E3">
      <w:rPr>
        <w:rFonts w:ascii="Arial" w:hAnsi="Arial" w:cs="Arial"/>
        <w:color w:val="7F7F7F"/>
        <w:sz w:val="16"/>
        <w:szCs w:val="16"/>
      </w:rPr>
      <w:instrText xml:space="preserve"> NUMPAGES  </w:instrText>
    </w:r>
    <w:r w:rsidRPr="00F171E3">
      <w:rPr>
        <w:rFonts w:ascii="Arial" w:hAnsi="Arial" w:cs="Arial"/>
        <w:color w:val="7F7F7F"/>
        <w:sz w:val="16"/>
        <w:szCs w:val="16"/>
      </w:rPr>
      <w:fldChar w:fldCharType="separate"/>
    </w:r>
    <w:r w:rsidR="000A5C9C">
      <w:rPr>
        <w:rFonts w:ascii="Arial" w:hAnsi="Arial" w:cs="Arial"/>
        <w:noProof/>
        <w:color w:val="7F7F7F"/>
        <w:sz w:val="16"/>
        <w:szCs w:val="16"/>
      </w:rPr>
      <w:t>5</w:t>
    </w:r>
    <w:r w:rsidRPr="00F171E3">
      <w:rPr>
        <w:rFonts w:ascii="Arial" w:hAnsi="Arial" w:cs="Arial"/>
        <w:color w:val="7F7F7F"/>
        <w:sz w:val="16"/>
        <w:szCs w:val="16"/>
      </w:rPr>
      <w:fldChar w:fldCharType="end"/>
    </w:r>
  </w:p>
  <w:p w:rsidR="00C233BE" w:rsidRDefault="00C233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BE" w:rsidRPr="00F171E3" w:rsidRDefault="00E67BDA" w:rsidP="00F171E3">
    <w:pPr>
      <w:pStyle w:val="Footer"/>
      <w:pBdr>
        <w:top w:val="single" w:sz="4" w:space="8" w:color="auto"/>
      </w:pBdr>
      <w:rPr>
        <w:rFonts w:ascii="Arial" w:hAnsi="Arial" w:cs="Arial"/>
        <w:color w:val="7F7F7F"/>
        <w:sz w:val="16"/>
        <w:szCs w:val="16"/>
      </w:rPr>
    </w:pPr>
    <w:r w:rsidRPr="00F171E3">
      <w:rPr>
        <w:rFonts w:ascii="Arial" w:hAnsi="Arial"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F171E3">
        <w:rPr>
          <w:rStyle w:val="Hyperlink"/>
          <w:rFonts w:ascii="Arial" w:hAnsi="Arial" w:cs="Arial"/>
          <w:color w:val="7F7F7F"/>
          <w:sz w:val="16"/>
          <w:szCs w:val="16"/>
        </w:rPr>
        <w:t>www.cil.nus.edu.sg</w:t>
      </w:r>
    </w:hyperlink>
    <w:r w:rsidRPr="00F171E3">
      <w:rPr>
        <w:rFonts w:ascii="Arial" w:hAnsi="Arial" w:cs="Arial"/>
        <w:color w:val="7F7F7F"/>
        <w:sz w:val="16"/>
        <w:szCs w:val="16"/>
      </w:rPr>
      <w:t xml:space="preserve">                                  </w:t>
    </w:r>
    <w:r w:rsidRPr="00F171E3"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E5" w:rsidRDefault="00D86DE5" w:rsidP="00C233BE">
      <w:r>
        <w:separator/>
      </w:r>
    </w:p>
  </w:footnote>
  <w:footnote w:type="continuationSeparator" w:id="0">
    <w:p w:rsidR="00D86DE5" w:rsidRDefault="00D86DE5" w:rsidP="00C23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BE" w:rsidRDefault="00C233BE" w:rsidP="00F91E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33BE" w:rsidRDefault="00C233BE" w:rsidP="00C233B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DA" w:rsidRPr="00F171E3" w:rsidRDefault="00E67BDA" w:rsidP="00F171E3">
    <w:pPr>
      <w:pStyle w:val="Header"/>
      <w:pBdr>
        <w:bottom w:val="single" w:sz="4" w:space="1" w:color="auto"/>
      </w:pBdr>
      <w:ind w:right="-64"/>
      <w:rPr>
        <w:rFonts w:ascii="Arial" w:hAnsi="Arial" w:cs="Arial"/>
        <w:color w:val="7F7F7F"/>
        <w:sz w:val="16"/>
        <w:szCs w:val="16"/>
      </w:rPr>
    </w:pPr>
    <w:r w:rsidRPr="00497551">
      <w:rPr>
        <w:rFonts w:ascii="Arial" w:hAnsi="Arial" w:cs="Arial"/>
        <w:color w:val="7F7F7F"/>
        <w:sz w:val="16"/>
        <w:szCs w:val="16"/>
      </w:rPr>
      <w:t>2015 KUALA LUMPUR DECLARATION ON ASEAN 2025: FORGING AHEAD TOGETHER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56"/>
    <w:rsid w:val="000A5C9C"/>
    <w:rsid w:val="000E5540"/>
    <w:rsid w:val="00161BCE"/>
    <w:rsid w:val="002E6733"/>
    <w:rsid w:val="00314B92"/>
    <w:rsid w:val="00325EC4"/>
    <w:rsid w:val="00497551"/>
    <w:rsid w:val="00715919"/>
    <w:rsid w:val="007F50CD"/>
    <w:rsid w:val="008811DD"/>
    <w:rsid w:val="008E4AE6"/>
    <w:rsid w:val="00B81556"/>
    <w:rsid w:val="00C103C5"/>
    <w:rsid w:val="00C233BE"/>
    <w:rsid w:val="00C56626"/>
    <w:rsid w:val="00D7335A"/>
    <w:rsid w:val="00D86DE5"/>
    <w:rsid w:val="00E67BDA"/>
    <w:rsid w:val="00F171E3"/>
    <w:rsid w:val="00F91E38"/>
    <w:rsid w:val="00F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A4C93A3B-E143-480C-A9F1-818E1F0B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3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33B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33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33BE"/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C233BE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C2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Links>
    <vt:vector size="12" baseType="variant">
      <vt:variant>
        <vt:i4>7667809</vt:i4>
      </vt:variant>
      <vt:variant>
        <vt:i4>11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2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waiyee</dc:creator>
  <cp:keywords/>
  <cp:lastModifiedBy>Nurul Asyiqin Bte Shaharudin</cp:lastModifiedBy>
  <cp:revision>2</cp:revision>
  <cp:lastPrinted>2016-09-19T02:27:00Z</cp:lastPrinted>
  <dcterms:created xsi:type="dcterms:W3CDTF">2018-05-22T08:46:00Z</dcterms:created>
  <dcterms:modified xsi:type="dcterms:W3CDTF">2018-05-22T08:46:00Z</dcterms:modified>
</cp:coreProperties>
</file>