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3620" w14:textId="77777777" w:rsidR="00A0086F" w:rsidRDefault="00A0086F" w:rsidP="00A0086F">
      <w:pPr>
        <w:pStyle w:val="CILTitle"/>
      </w:pPr>
      <w:r>
        <w:t xml:space="preserve">2021 </w:t>
      </w:r>
      <w:r>
        <w:t>CHAIRMAN’S STATEMENT</w:t>
      </w:r>
      <w:r>
        <w:t xml:space="preserve"> </w:t>
      </w:r>
      <w:r>
        <w:t>OF THE 4TH ASEAN-RUSSIA SUMMIT TO COMMEMORATE THE 30</w:t>
      </w:r>
      <w:r w:rsidRPr="00A0086F">
        <w:rPr>
          <w:vertAlign w:val="superscript"/>
        </w:rPr>
        <w:t>TH</w:t>
      </w:r>
      <w:r>
        <w:t xml:space="preserve"> </w:t>
      </w:r>
      <w:r>
        <w:t>ANNIVERSARY OF DIALOGUE RELATIONS</w:t>
      </w:r>
    </w:p>
    <w:p w14:paraId="63F04689" w14:textId="77777777" w:rsidR="00A0086F" w:rsidRDefault="00A0086F" w:rsidP="00A0086F">
      <w:pPr>
        <w:pStyle w:val="CILSubtitle"/>
      </w:pPr>
      <w:r>
        <w:t>Issued on 28 October 2021</w:t>
      </w:r>
    </w:p>
    <w:p w14:paraId="13CED89A" w14:textId="77777777" w:rsidR="00A0086F" w:rsidRDefault="00A0086F" w:rsidP="00A0086F">
      <w:pPr>
        <w:spacing w:before="0" w:after="0"/>
      </w:pPr>
    </w:p>
    <w:p w14:paraId="015855D4" w14:textId="77777777" w:rsidR="00A0086F" w:rsidRDefault="00A0086F" w:rsidP="00A0086F">
      <w:pPr>
        <w:pStyle w:val="ListParagraph"/>
        <w:numPr>
          <w:ilvl w:val="0"/>
          <w:numId w:val="13"/>
        </w:numPr>
        <w:spacing w:before="0" w:after="0"/>
        <w:ind w:left="426"/>
      </w:pPr>
      <w:r>
        <w:t>The 4th ASEAN-Russia Summit to Commemorate the 30th Anniversary of</w:t>
      </w:r>
      <w:r>
        <w:t xml:space="preserve"> </w:t>
      </w:r>
      <w:r>
        <w:t>Dialogue Relations was held via videoconference on 28 October 2021. The</w:t>
      </w:r>
      <w:r>
        <w:t xml:space="preserve"> </w:t>
      </w:r>
      <w:r>
        <w:t>Summit was chaired by His Majesty Sultan Haji Hassanal Bolkiah, Sultan and</w:t>
      </w:r>
      <w:r>
        <w:t xml:space="preserve"> </w:t>
      </w:r>
      <w:r>
        <w:t>Yang Di-Pertuan of Brunei Darussalam.</w:t>
      </w:r>
    </w:p>
    <w:p w14:paraId="34E15D3D" w14:textId="77777777" w:rsidR="00A0086F" w:rsidRDefault="00A0086F" w:rsidP="00A0086F">
      <w:pPr>
        <w:pStyle w:val="ListParagraph"/>
        <w:spacing w:before="0" w:after="0"/>
        <w:ind w:left="426"/>
      </w:pPr>
    </w:p>
    <w:p w14:paraId="44C2C1FB" w14:textId="77777777" w:rsidR="00A0086F" w:rsidRDefault="00A0086F" w:rsidP="00A0086F">
      <w:pPr>
        <w:pStyle w:val="ListParagraph"/>
        <w:numPr>
          <w:ilvl w:val="0"/>
          <w:numId w:val="13"/>
        </w:numPr>
        <w:spacing w:before="0" w:after="0"/>
        <w:ind w:left="426"/>
      </w:pPr>
      <w:r>
        <w:t>We were pleased with the progress made in the ASEAN-Russia Dialogue</w:t>
      </w:r>
      <w:r>
        <w:t xml:space="preserve"> </w:t>
      </w:r>
      <w:r>
        <w:t>Relations. We recognised the importance of this milestone year as it marks 25</w:t>
      </w:r>
      <w:r>
        <w:t xml:space="preserve"> </w:t>
      </w:r>
      <w:r>
        <w:t>years of ASEAN-Russia Dialogue Partnership and also 30 years of ASEAN</w:t>
      </w:r>
      <w:r>
        <w:t>-</w:t>
      </w:r>
      <w:r>
        <w:t>Russia relations.</w:t>
      </w:r>
    </w:p>
    <w:p w14:paraId="7E9890D6" w14:textId="77777777" w:rsidR="00A0086F" w:rsidRDefault="00A0086F" w:rsidP="00A0086F">
      <w:pPr>
        <w:pStyle w:val="ListParagraph"/>
        <w:spacing w:before="0" w:after="0"/>
        <w:ind w:left="426"/>
      </w:pPr>
    </w:p>
    <w:p w14:paraId="3DF95163" w14:textId="77777777" w:rsidR="00A0086F" w:rsidRDefault="00A0086F" w:rsidP="00E0326F">
      <w:pPr>
        <w:pStyle w:val="ListParagraph"/>
        <w:numPr>
          <w:ilvl w:val="0"/>
          <w:numId w:val="13"/>
        </w:numPr>
        <w:spacing w:before="0" w:after="0"/>
        <w:ind w:left="426"/>
      </w:pPr>
      <w:r>
        <w:t>We noted the progress made in the implementation in the previous</w:t>
      </w:r>
      <w:r>
        <w:t xml:space="preserve"> </w:t>
      </w:r>
      <w:r>
        <w:t>Comprehensive Plan of Action (CPA) to Promote Cooperation between the</w:t>
      </w:r>
      <w:r>
        <w:t xml:space="preserve"> </w:t>
      </w:r>
      <w:r>
        <w:t>Association of Southeast Asian Nations and the Russian Federation (2016-2020), with 99 out of 139 measures/activities successfully addressed. We</w:t>
      </w:r>
      <w:r>
        <w:t xml:space="preserve"> </w:t>
      </w:r>
      <w:r>
        <w:t>welcomed the adoption of the new CPA to Implement the Association of</w:t>
      </w:r>
      <w:r>
        <w:t xml:space="preserve"> </w:t>
      </w:r>
      <w:r>
        <w:t>Southeast Asian Nations and the Russian Federation Strategic Partnership</w:t>
      </w:r>
      <w:r>
        <w:t xml:space="preserve"> </w:t>
      </w:r>
      <w:r>
        <w:t>(2021-2025), which will guide both sides in further strengthening the ASEAN</w:t>
      </w:r>
      <w:r>
        <w:t>-</w:t>
      </w:r>
      <w:r>
        <w:t>Russia Dialogue Partnership. We also welcomed the adoption of the Joint</w:t>
      </w:r>
      <w:r>
        <w:t xml:space="preserve"> </w:t>
      </w:r>
      <w:r>
        <w:t>Statement of the 4th ASEAN-Russia Summit: Building a Peaceful, Stable and</w:t>
      </w:r>
      <w:r>
        <w:t xml:space="preserve"> </w:t>
      </w:r>
      <w:r>
        <w:t>Sustainable Region and Statement of ASEAN and the Russian Federation on</w:t>
      </w:r>
      <w:r>
        <w:t xml:space="preserve"> </w:t>
      </w:r>
      <w:r>
        <w:t>Cooperation against Illicit Drugs Trafficking.</w:t>
      </w:r>
    </w:p>
    <w:p w14:paraId="20B40F52" w14:textId="77777777" w:rsidR="00A0086F" w:rsidRDefault="00A0086F" w:rsidP="00A0086F">
      <w:pPr>
        <w:pStyle w:val="ListParagraph"/>
      </w:pPr>
    </w:p>
    <w:p w14:paraId="36BC73CA" w14:textId="77777777" w:rsidR="00A0086F" w:rsidRDefault="00A0086F" w:rsidP="00A0086F">
      <w:pPr>
        <w:pStyle w:val="ListParagraph"/>
        <w:numPr>
          <w:ilvl w:val="0"/>
          <w:numId w:val="13"/>
        </w:numPr>
        <w:spacing w:before="0" w:after="0"/>
        <w:ind w:left="426"/>
      </w:pPr>
      <w:r>
        <w:t>We appreciated Russia’s continued support for ASEAN Centrality and unity,</w:t>
      </w:r>
      <w:r>
        <w:t xml:space="preserve"> </w:t>
      </w:r>
      <w:r>
        <w:t>and its active participation in various ASEAN-led mechanisms such as the East</w:t>
      </w:r>
      <w:r>
        <w:t xml:space="preserve"> </w:t>
      </w:r>
      <w:r>
        <w:t>Asia Summit (EAS), ASEAN Regional Forum (ARF) and ASEAN Defence</w:t>
      </w:r>
      <w:r>
        <w:t xml:space="preserve"> </w:t>
      </w:r>
      <w:r>
        <w:t>Ministers’ Meeting Plus (ADMM-Plus), on various aspects of security</w:t>
      </w:r>
      <w:r>
        <w:t xml:space="preserve"> </w:t>
      </w:r>
      <w:r>
        <w:t>cooperation such as addressing traditional and non-traditional threats and</w:t>
      </w:r>
      <w:r>
        <w:t xml:space="preserve"> </w:t>
      </w:r>
      <w:r>
        <w:t>challenges, that contribute to regional peace, security and stability.</w:t>
      </w:r>
      <w:r>
        <w:t xml:space="preserve"> </w:t>
      </w:r>
    </w:p>
    <w:p w14:paraId="76B2CC4B" w14:textId="77777777" w:rsidR="00A0086F" w:rsidRDefault="00A0086F" w:rsidP="00A0086F">
      <w:pPr>
        <w:pStyle w:val="ListParagraph"/>
      </w:pPr>
    </w:p>
    <w:p w14:paraId="44545720" w14:textId="77777777" w:rsidR="00A0086F" w:rsidRDefault="00A0086F" w:rsidP="00A0086F">
      <w:pPr>
        <w:pStyle w:val="ListParagraph"/>
        <w:numPr>
          <w:ilvl w:val="0"/>
          <w:numId w:val="13"/>
        </w:numPr>
        <w:spacing w:before="0" w:after="0"/>
        <w:ind w:left="426"/>
      </w:pPr>
      <w:r>
        <w:t>We encouraged the conduct of joint ADMM-Plus exercises amongst our</w:t>
      </w:r>
      <w:r>
        <w:t xml:space="preserve"> </w:t>
      </w:r>
      <w:r>
        <w:t>militaries to build trust and confidence and to enhance our capability in</w:t>
      </w:r>
      <w:r>
        <w:t xml:space="preserve"> </w:t>
      </w:r>
      <w:r>
        <w:t>addressing common security challenges.</w:t>
      </w:r>
    </w:p>
    <w:p w14:paraId="729F4675" w14:textId="77777777" w:rsidR="00A0086F" w:rsidRDefault="00A0086F" w:rsidP="00A0086F">
      <w:pPr>
        <w:pStyle w:val="ListParagraph"/>
      </w:pPr>
    </w:p>
    <w:p w14:paraId="635EDC8E" w14:textId="77777777" w:rsidR="00A0086F" w:rsidRDefault="00A0086F" w:rsidP="00E543FF">
      <w:pPr>
        <w:pStyle w:val="ListParagraph"/>
        <w:numPr>
          <w:ilvl w:val="0"/>
          <w:numId w:val="13"/>
        </w:numPr>
        <w:spacing w:before="0" w:after="0"/>
        <w:ind w:left="426"/>
      </w:pPr>
      <w:r>
        <w:t>We welcomed the convening of the ASEAN-Russia Consultations of the High</w:t>
      </w:r>
      <w:r>
        <w:t xml:space="preserve"> </w:t>
      </w:r>
      <w:r>
        <w:t>Representatives for Security Issues on 28 June 2021, as well as the convening</w:t>
      </w:r>
      <w:r>
        <w:t xml:space="preserve"> </w:t>
      </w:r>
      <w:r>
        <w:t>of the ASEAN-Russia Dialogue on ICT Security-related Issues on 23</w:t>
      </w:r>
      <w:r>
        <w:t xml:space="preserve"> </w:t>
      </w:r>
      <w:r>
        <w:t>September 2021.</w:t>
      </w:r>
    </w:p>
    <w:p w14:paraId="49401CB6" w14:textId="77777777" w:rsidR="00A0086F" w:rsidRDefault="00A0086F" w:rsidP="00A0086F">
      <w:pPr>
        <w:pStyle w:val="ListParagraph"/>
      </w:pPr>
    </w:p>
    <w:p w14:paraId="3B9A45E3" w14:textId="77777777" w:rsidR="00A0086F" w:rsidRDefault="00A0086F" w:rsidP="00ED5A31">
      <w:pPr>
        <w:pStyle w:val="ListParagraph"/>
        <w:numPr>
          <w:ilvl w:val="0"/>
          <w:numId w:val="13"/>
        </w:numPr>
        <w:spacing w:before="0" w:after="0"/>
        <w:ind w:left="426"/>
      </w:pPr>
      <w:r>
        <w:t>We reaffirmed the shared commitment to finalise the ASEAN-Russia Work Plan</w:t>
      </w:r>
      <w:r>
        <w:t xml:space="preserve"> </w:t>
      </w:r>
      <w:r>
        <w:t>on Counter Terrorism and Transnational Crime (CTTC) 2021-2024 with a view</w:t>
      </w:r>
      <w:r>
        <w:t xml:space="preserve"> </w:t>
      </w:r>
      <w:r>
        <w:t>to deepening cooperation in addressing traditional and non-traditional security</w:t>
      </w:r>
      <w:r>
        <w:t xml:space="preserve"> </w:t>
      </w:r>
      <w:r>
        <w:t>challenges.</w:t>
      </w:r>
    </w:p>
    <w:p w14:paraId="2877F227" w14:textId="77777777" w:rsidR="00A0086F" w:rsidRDefault="00A0086F" w:rsidP="00A0086F">
      <w:pPr>
        <w:pStyle w:val="ListParagraph"/>
      </w:pPr>
    </w:p>
    <w:p w14:paraId="1C919019" w14:textId="77777777" w:rsidR="00A0086F" w:rsidRDefault="00A0086F" w:rsidP="005F3C18">
      <w:pPr>
        <w:pStyle w:val="ListParagraph"/>
        <w:numPr>
          <w:ilvl w:val="0"/>
          <w:numId w:val="13"/>
        </w:numPr>
        <w:spacing w:before="0" w:after="0"/>
        <w:ind w:left="426"/>
      </w:pPr>
      <w:r>
        <w:t>We reaffirmed our support for a free, open, fair, non-discriminatory, inclusive,</w:t>
      </w:r>
      <w:r>
        <w:t xml:space="preserve"> </w:t>
      </w:r>
      <w:r>
        <w:t>transparent, and rules-based multilateral trading system, as embodied in the</w:t>
      </w:r>
      <w:r>
        <w:t xml:space="preserve"> </w:t>
      </w:r>
      <w:r>
        <w:t>World Trade Organisation (WTO). We underscored our support for WTO reform</w:t>
      </w:r>
      <w:r>
        <w:t xml:space="preserve"> </w:t>
      </w:r>
      <w:r>
        <w:t>with the aim of making the WTO more resilient and effective in addressing</w:t>
      </w:r>
      <w:r>
        <w:t xml:space="preserve"> </w:t>
      </w:r>
      <w:r>
        <w:t>global economic challenges and its commitment to promote predictability and</w:t>
      </w:r>
      <w:r>
        <w:t xml:space="preserve"> </w:t>
      </w:r>
      <w:r>
        <w:t>stability for international trade.</w:t>
      </w:r>
    </w:p>
    <w:p w14:paraId="1751BEF7" w14:textId="77777777" w:rsidR="00A0086F" w:rsidRDefault="00A0086F" w:rsidP="00A0086F">
      <w:pPr>
        <w:pStyle w:val="ListParagraph"/>
      </w:pPr>
    </w:p>
    <w:p w14:paraId="3617BFD4" w14:textId="77777777" w:rsidR="00A0086F" w:rsidRDefault="00A0086F" w:rsidP="000451AD">
      <w:pPr>
        <w:pStyle w:val="ListParagraph"/>
        <w:numPr>
          <w:ilvl w:val="0"/>
          <w:numId w:val="13"/>
        </w:numPr>
        <w:spacing w:before="0" w:after="0"/>
        <w:ind w:left="426"/>
      </w:pPr>
      <w:r>
        <w:t>We valued Russia’s contribution in the sphere of women economic</w:t>
      </w:r>
      <w:r>
        <w:t xml:space="preserve"> </w:t>
      </w:r>
      <w:r>
        <w:t>empowerment and advancement, particularly those aimed at developing</w:t>
      </w:r>
      <w:r>
        <w:t xml:space="preserve"> </w:t>
      </w:r>
      <w:r>
        <w:t>professional and business networking towards promoting the role of women in</w:t>
      </w:r>
      <w:r>
        <w:t xml:space="preserve"> </w:t>
      </w:r>
      <w:r>
        <w:t xml:space="preserve">economic activities. We appreciated the priority attention </w:t>
      </w:r>
      <w:r>
        <w:lastRenderedPageBreak/>
        <w:t>dedicated by Russia</w:t>
      </w:r>
      <w:r>
        <w:t xml:space="preserve"> </w:t>
      </w:r>
      <w:r>
        <w:t>in concluding the project study on “Russia and ASEAN Women Entrepreneurs</w:t>
      </w:r>
      <w:r>
        <w:t xml:space="preserve"> </w:t>
      </w:r>
      <w:r>
        <w:t>Network” which informs ASEAN on the barriers and Russia with a series of</w:t>
      </w:r>
      <w:r>
        <w:t xml:space="preserve"> </w:t>
      </w:r>
      <w:r>
        <w:t>three (3) webinars conducted on 29 July, 5 August and 11 August 2021 for</w:t>
      </w:r>
      <w:r>
        <w:t xml:space="preserve"> </w:t>
      </w:r>
      <w:r>
        <w:t>exchange of best practices and experiences in the entrepreneurial</w:t>
      </w:r>
      <w:r>
        <w:t xml:space="preserve"> </w:t>
      </w:r>
      <w:r>
        <w:t>competencies of women.</w:t>
      </w:r>
    </w:p>
    <w:p w14:paraId="48270766" w14:textId="77777777" w:rsidR="00A0086F" w:rsidRDefault="00A0086F" w:rsidP="00A0086F">
      <w:pPr>
        <w:pStyle w:val="ListParagraph"/>
      </w:pPr>
    </w:p>
    <w:p w14:paraId="1C53B6AA" w14:textId="77777777" w:rsidR="00A0086F" w:rsidRDefault="00A0086F" w:rsidP="001F1E62">
      <w:pPr>
        <w:pStyle w:val="ListParagraph"/>
        <w:numPr>
          <w:ilvl w:val="0"/>
          <w:numId w:val="13"/>
        </w:numPr>
        <w:spacing w:before="0" w:after="0"/>
        <w:ind w:left="426"/>
      </w:pPr>
      <w:r>
        <w:t>We looked forward to strengthening ASEAN-Russia economic cooperation on</w:t>
      </w:r>
      <w:r>
        <w:t xml:space="preserve"> </w:t>
      </w:r>
      <w:r>
        <w:t>the basis of the ASEAN-Russia Trade and Investment Cooperation Roadmap.</w:t>
      </w:r>
      <w:r>
        <w:t xml:space="preserve"> </w:t>
      </w:r>
      <w:r>
        <w:t>In this regard, we welcomed the endorsement of the revised ASEAN-Russia</w:t>
      </w:r>
      <w:r>
        <w:t xml:space="preserve"> </w:t>
      </w:r>
      <w:r>
        <w:t>Trade and Investment Cooperation Roadmap and the ASEAN-Russia Trade</w:t>
      </w:r>
      <w:r>
        <w:t xml:space="preserve"> </w:t>
      </w:r>
      <w:r>
        <w:t>and Investment Work Programme for 2021-2025, plans that envision</w:t>
      </w:r>
      <w:r>
        <w:t xml:space="preserve"> </w:t>
      </w:r>
      <w:r>
        <w:t>development cooperation between ASEAN and Russia in three key</w:t>
      </w:r>
      <w:r>
        <w:t xml:space="preserve"> </w:t>
      </w:r>
      <w:r>
        <w:t>dimensions: trade and investment, digital economy and sustainable</w:t>
      </w:r>
      <w:r>
        <w:t xml:space="preserve"> </w:t>
      </w:r>
      <w:r>
        <w:t>development. We are confident that the implementation of the revised</w:t>
      </w:r>
      <w:r>
        <w:t xml:space="preserve"> </w:t>
      </w:r>
      <w:r>
        <w:t>Roadmap and the Work Programme 2021-2025 will provide a solid and vital</w:t>
      </w:r>
      <w:r>
        <w:t xml:space="preserve"> </w:t>
      </w:r>
      <w:r>
        <w:t>foundation for the growth of trade and investment between ASEAN and Russia</w:t>
      </w:r>
      <w:r>
        <w:t xml:space="preserve"> </w:t>
      </w:r>
      <w:r>
        <w:t>in a post-COVID-19 future.</w:t>
      </w:r>
    </w:p>
    <w:p w14:paraId="52934CBB" w14:textId="77777777" w:rsidR="00A0086F" w:rsidRDefault="00A0086F" w:rsidP="00A0086F">
      <w:pPr>
        <w:pStyle w:val="ListParagraph"/>
      </w:pPr>
    </w:p>
    <w:p w14:paraId="77F38BE1" w14:textId="77777777" w:rsidR="00A0086F" w:rsidRDefault="00A0086F" w:rsidP="0013639C">
      <w:pPr>
        <w:pStyle w:val="ListParagraph"/>
        <w:numPr>
          <w:ilvl w:val="0"/>
          <w:numId w:val="13"/>
        </w:numPr>
        <w:spacing w:before="0" w:after="0"/>
        <w:ind w:left="426"/>
      </w:pPr>
      <w:r>
        <w:t>We appreciated Russia’s engagement with the ASEAN Smart Cities Network</w:t>
      </w:r>
      <w:r>
        <w:t xml:space="preserve"> </w:t>
      </w:r>
      <w:r>
        <w:t>(ASCN) and welcomed the project of Innovations for Smart and Sustainable</w:t>
      </w:r>
      <w:r>
        <w:t xml:space="preserve"> </w:t>
      </w:r>
      <w:r>
        <w:t>Cities in ASEAN and Russia, which would further enhance ASEAN-Russia</w:t>
      </w:r>
      <w:r>
        <w:t xml:space="preserve"> </w:t>
      </w:r>
      <w:r>
        <w:t>cooperation on smart cities initiative.</w:t>
      </w:r>
      <w:r>
        <w:t xml:space="preserve"> </w:t>
      </w:r>
    </w:p>
    <w:p w14:paraId="554A30CC" w14:textId="77777777" w:rsidR="00A0086F" w:rsidRDefault="00A0086F" w:rsidP="00A0086F">
      <w:pPr>
        <w:pStyle w:val="ListParagraph"/>
      </w:pPr>
    </w:p>
    <w:p w14:paraId="1A3ED7E8" w14:textId="77777777" w:rsidR="00A0086F" w:rsidRDefault="00A0086F" w:rsidP="002267C6">
      <w:pPr>
        <w:pStyle w:val="ListParagraph"/>
        <w:numPr>
          <w:ilvl w:val="0"/>
          <w:numId w:val="13"/>
        </w:numPr>
        <w:spacing w:before="0" w:after="0"/>
        <w:ind w:left="426"/>
      </w:pPr>
      <w:r>
        <w:t>We welcomed further development of mutually beneficial cooperation</w:t>
      </w:r>
      <w:r>
        <w:t xml:space="preserve"> </w:t>
      </w:r>
      <w:r>
        <w:t>mechanisms between ASEAN and the Eurasian Economic Union (EAEU)</w:t>
      </w:r>
      <w:r>
        <w:t xml:space="preserve"> </w:t>
      </w:r>
      <w:r>
        <w:t>through the implementation of the Programme of Cooperation (PoC) under the</w:t>
      </w:r>
      <w:r>
        <w:t xml:space="preserve"> </w:t>
      </w:r>
      <w:r>
        <w:t>Memorandum of Understanding between ASEAN and the Eurasian Economic</w:t>
      </w:r>
      <w:r>
        <w:t xml:space="preserve"> </w:t>
      </w:r>
      <w:r>
        <w:t>Commission (EEC) on Economic Cooperation. To this end, we welcomed the</w:t>
      </w:r>
      <w:r>
        <w:t xml:space="preserve"> </w:t>
      </w:r>
      <w:r>
        <w:t>extension of the Cooperation Programme between ASEAN the EEC until 2025.</w:t>
      </w:r>
      <w:r>
        <w:t xml:space="preserve"> </w:t>
      </w:r>
      <w:r>
        <w:t>We looked forward to further cooperation and collaboration between ASEAN,</w:t>
      </w:r>
      <w:r>
        <w:t xml:space="preserve"> </w:t>
      </w:r>
      <w:r>
        <w:t>the Shanghai Cooperation Organisation (SCO), as well as the EAEU in</w:t>
      </w:r>
      <w:r>
        <w:t xml:space="preserve"> </w:t>
      </w:r>
      <w:r>
        <w:t>economic and financial cooperation.</w:t>
      </w:r>
    </w:p>
    <w:p w14:paraId="77ED91EE" w14:textId="77777777" w:rsidR="00A0086F" w:rsidRDefault="00A0086F" w:rsidP="00A0086F">
      <w:pPr>
        <w:pStyle w:val="ListParagraph"/>
      </w:pPr>
    </w:p>
    <w:p w14:paraId="70044F92" w14:textId="77777777" w:rsidR="00A0086F" w:rsidRDefault="00A0086F" w:rsidP="00685C63">
      <w:pPr>
        <w:pStyle w:val="ListParagraph"/>
        <w:numPr>
          <w:ilvl w:val="0"/>
          <w:numId w:val="13"/>
        </w:numPr>
        <w:spacing w:before="0" w:after="0"/>
        <w:ind w:left="426"/>
      </w:pPr>
      <w:r>
        <w:t>We appreciated Russia’s efforts to enhance regional vaccine access, supplies</w:t>
      </w:r>
      <w:r>
        <w:t xml:space="preserve"> </w:t>
      </w:r>
      <w:r>
        <w:t>of “Sputnik V” and launch of its production in interested ASEAN Member States</w:t>
      </w:r>
      <w:r>
        <w:t xml:space="preserve"> </w:t>
      </w:r>
      <w:r>
        <w:t>and looked forward to further cooperation on regional public health, and in</w:t>
      </w:r>
      <w:r>
        <w:t xml:space="preserve"> </w:t>
      </w:r>
      <w:r>
        <w:t>enhancing regional preparedness and capacity through sharing information</w:t>
      </w:r>
      <w:r>
        <w:t xml:space="preserve"> </w:t>
      </w:r>
      <w:r>
        <w:t>technology and capacity building initiatives in the prevention, detection and</w:t>
      </w:r>
      <w:r>
        <w:t xml:space="preserve"> </w:t>
      </w:r>
      <w:r>
        <w:t>response to communicable and emerging infectious diseases including regional</w:t>
      </w:r>
      <w:r>
        <w:t xml:space="preserve"> </w:t>
      </w:r>
      <w:r>
        <w:t>public health emergencies and future pandemics. We also highlighted the need</w:t>
      </w:r>
      <w:r>
        <w:t xml:space="preserve"> </w:t>
      </w:r>
      <w:r>
        <w:t>to enhance cooperation in pandemic preparedness and response, including</w:t>
      </w:r>
      <w:r>
        <w:t xml:space="preserve"> </w:t>
      </w:r>
      <w:r>
        <w:t>through scientific research for the development of test kits and vaccines, ensure</w:t>
      </w:r>
      <w:r>
        <w:t xml:space="preserve"> </w:t>
      </w:r>
      <w:r>
        <w:t>equitable, timely and affordable access to vaccines either through multilateral</w:t>
      </w:r>
      <w:r>
        <w:t xml:space="preserve"> </w:t>
      </w:r>
      <w:r>
        <w:t>mechanisms as well as through bilateral frameworks. We noted the ongoing</w:t>
      </w:r>
      <w:r>
        <w:t xml:space="preserve"> </w:t>
      </w:r>
      <w:r>
        <w:t>consultations in the EAS on the initiative of Russia to establish a regional</w:t>
      </w:r>
      <w:r>
        <w:t xml:space="preserve"> </w:t>
      </w:r>
      <w:r>
        <w:t>mechanism on emerging infectious diseases prevention and control</w:t>
      </w:r>
      <w:r>
        <w:t xml:space="preserve"> </w:t>
      </w:r>
      <w:r>
        <w:t>cooperation between relevant agencies of the EAS participating countries.</w:t>
      </w:r>
    </w:p>
    <w:p w14:paraId="706D7478" w14:textId="77777777" w:rsidR="00A0086F" w:rsidRDefault="00A0086F" w:rsidP="00A0086F">
      <w:pPr>
        <w:pStyle w:val="ListParagraph"/>
      </w:pPr>
    </w:p>
    <w:p w14:paraId="321A171B" w14:textId="77777777" w:rsidR="00A0086F" w:rsidRDefault="00A0086F" w:rsidP="00A0086F">
      <w:pPr>
        <w:pStyle w:val="ListParagraph"/>
        <w:numPr>
          <w:ilvl w:val="0"/>
          <w:numId w:val="13"/>
        </w:numPr>
        <w:spacing w:before="0" w:after="0"/>
        <w:ind w:left="426"/>
      </w:pPr>
      <w:r>
        <w:t>We reiterated the importance of the ASEAN Outlook on the Indo-Pacific (AOIP),</w:t>
      </w:r>
      <w:r>
        <w:t xml:space="preserve"> </w:t>
      </w:r>
      <w:r>
        <w:t>which is based on the principles of, among others, strengthening ASEAN</w:t>
      </w:r>
      <w:r>
        <w:t xml:space="preserve"> </w:t>
      </w:r>
      <w:r>
        <w:t>Centrality, openness, transparency, inclusivity, a rules-based framework, good</w:t>
      </w:r>
      <w:r>
        <w:t xml:space="preserve"> </w:t>
      </w:r>
      <w:r>
        <w:t>governance, respect for sovereignty, non-intervention, complementarity with</w:t>
      </w:r>
      <w:r>
        <w:t xml:space="preserve"> </w:t>
      </w:r>
      <w:r>
        <w:t>existing cooperation frameworks, equality, mutual respect, mutual trust, mutual</w:t>
      </w:r>
      <w:r>
        <w:t xml:space="preserve"> </w:t>
      </w:r>
      <w:r>
        <w:t>benefit, and respect for international law, and serves as a guide for ASEAN’s</w:t>
      </w:r>
      <w:r>
        <w:t xml:space="preserve"> </w:t>
      </w:r>
      <w:r>
        <w:t>engagement in the wider Asia-Pacific and Indian Oceans regions. ASEAN</w:t>
      </w:r>
      <w:r>
        <w:t xml:space="preserve"> </w:t>
      </w:r>
      <w:r>
        <w:t>Member States encouraged Russia to work with ASEAN on practical</w:t>
      </w:r>
      <w:r>
        <w:t xml:space="preserve"> </w:t>
      </w:r>
      <w:r>
        <w:t>cooperation in the priority areas identified in the AOIP to enhance mutual trust,</w:t>
      </w:r>
      <w:r>
        <w:t xml:space="preserve"> </w:t>
      </w:r>
      <w:r>
        <w:t>mutual respect and mutual benefit through ASEAN-led mechanisms.</w:t>
      </w:r>
    </w:p>
    <w:p w14:paraId="2DF535DC" w14:textId="77777777" w:rsidR="00A0086F" w:rsidRDefault="00A0086F" w:rsidP="00A0086F">
      <w:pPr>
        <w:pStyle w:val="ListParagraph"/>
      </w:pPr>
    </w:p>
    <w:p w14:paraId="3320049A" w14:textId="77777777" w:rsidR="00A0086F" w:rsidRDefault="00A0086F" w:rsidP="00A0086F">
      <w:pPr>
        <w:pStyle w:val="ListParagraph"/>
        <w:numPr>
          <w:ilvl w:val="0"/>
          <w:numId w:val="13"/>
        </w:numPr>
        <w:spacing w:before="0" w:after="0"/>
        <w:ind w:left="426"/>
      </w:pPr>
      <w:r>
        <w:t>We acknowledged the need to embrace and utilise new technologies to</w:t>
      </w:r>
      <w:r>
        <w:t xml:space="preserve"> </w:t>
      </w:r>
      <w:r>
        <w:t>overcome challenges and build a more resilient society, and encouraged the</w:t>
      </w:r>
      <w:r>
        <w:t xml:space="preserve"> </w:t>
      </w:r>
      <w:r>
        <w:t xml:space="preserve">strengthening of collaboration through the </w:t>
      </w:r>
      <w:r>
        <w:lastRenderedPageBreak/>
        <w:t>exchange of expertise and best</w:t>
      </w:r>
      <w:r>
        <w:t xml:space="preserve"> </w:t>
      </w:r>
      <w:r>
        <w:t>practices in innovation, science and technology to make people future-ready.</w:t>
      </w:r>
      <w:r>
        <w:t xml:space="preserve"> </w:t>
      </w:r>
      <w:r>
        <w:t>In this regard, we welcomed the proposal to designate 2022 as the ASEAN</w:t>
      </w:r>
      <w:r>
        <w:t>-</w:t>
      </w:r>
      <w:r>
        <w:t>Russia Year of Scientific and Technological Cooperation, and looked forward</w:t>
      </w:r>
      <w:r>
        <w:t xml:space="preserve"> </w:t>
      </w:r>
      <w:r>
        <w:t>to finalise the proposed activities between ASEAN and Russia. We also noted</w:t>
      </w:r>
      <w:r>
        <w:t xml:space="preserve"> </w:t>
      </w:r>
      <w:r>
        <w:t>Russia’s invitation to ASEAN to participate as a major partner in the</w:t>
      </w:r>
      <w:r>
        <w:t xml:space="preserve"> </w:t>
      </w:r>
      <w:r>
        <w:t>International Industrial Trade Fair INNOPROM to be held in Ekaterinburg in</w:t>
      </w:r>
      <w:r>
        <w:t xml:space="preserve"> </w:t>
      </w:r>
      <w:r>
        <w:t>2022.</w:t>
      </w:r>
    </w:p>
    <w:p w14:paraId="6E5D4CF4" w14:textId="77777777" w:rsidR="00A0086F" w:rsidRDefault="00A0086F" w:rsidP="00A0086F">
      <w:pPr>
        <w:pStyle w:val="ListParagraph"/>
      </w:pPr>
    </w:p>
    <w:p w14:paraId="0C5E11A6" w14:textId="77777777" w:rsidR="00A0086F" w:rsidRDefault="00A0086F" w:rsidP="009B5F93">
      <w:pPr>
        <w:pStyle w:val="ListParagraph"/>
        <w:numPr>
          <w:ilvl w:val="0"/>
          <w:numId w:val="13"/>
        </w:numPr>
        <w:spacing w:before="0" w:after="0"/>
        <w:ind w:left="426"/>
      </w:pPr>
      <w:r>
        <w:t>We recognised the continued importance of promoting people-to-people</w:t>
      </w:r>
      <w:r>
        <w:t xml:space="preserve"> </w:t>
      </w:r>
      <w:r>
        <w:t>contacts, including through organising the meetings of the Network of ASEAN</w:t>
      </w:r>
      <w:r>
        <w:t>-</w:t>
      </w:r>
      <w:r>
        <w:t>Russia Think Tanks (NARTT) and ASEAN-Russia Youth Summits.</w:t>
      </w:r>
    </w:p>
    <w:p w14:paraId="0FD7BB17" w14:textId="77777777" w:rsidR="00A0086F" w:rsidRDefault="00A0086F" w:rsidP="00A0086F">
      <w:pPr>
        <w:pStyle w:val="ListParagraph"/>
      </w:pPr>
    </w:p>
    <w:p w14:paraId="62311428" w14:textId="77777777" w:rsidR="00A0086F" w:rsidRDefault="00A0086F" w:rsidP="00E43425">
      <w:pPr>
        <w:pStyle w:val="ListParagraph"/>
        <w:numPr>
          <w:ilvl w:val="0"/>
          <w:numId w:val="13"/>
        </w:numPr>
        <w:spacing w:before="0" w:after="0"/>
        <w:ind w:left="426"/>
      </w:pPr>
      <w:r>
        <w:t>We took note of the ongoing consultation for the adoption of the ASEAN-Russia</w:t>
      </w:r>
      <w:r>
        <w:t xml:space="preserve"> </w:t>
      </w:r>
      <w:r>
        <w:t>Plan of Education 2021-2025 and emphasised the importance of continued</w:t>
      </w:r>
      <w:r>
        <w:t xml:space="preserve"> </w:t>
      </w:r>
      <w:r>
        <w:t>synergy and complementarity of this work plan to the ASEAN Workplan on</w:t>
      </w:r>
      <w:r>
        <w:t xml:space="preserve"> </w:t>
      </w:r>
      <w:r>
        <w:t>Education 2021-2025 and the Manila Plan of Action to Advance the Phnom</w:t>
      </w:r>
      <w:r>
        <w:t xml:space="preserve"> </w:t>
      </w:r>
      <w:r>
        <w:t>Penh Declaration on the East Asia Summit Development Initiative (2018-2022).</w:t>
      </w:r>
    </w:p>
    <w:p w14:paraId="0FDF2238" w14:textId="77777777" w:rsidR="00A0086F" w:rsidRDefault="00A0086F" w:rsidP="00A0086F">
      <w:pPr>
        <w:pStyle w:val="ListParagraph"/>
      </w:pPr>
    </w:p>
    <w:p w14:paraId="7E307018" w14:textId="77777777" w:rsidR="00A0086F" w:rsidRDefault="00A0086F" w:rsidP="007D6A7A">
      <w:pPr>
        <w:pStyle w:val="ListParagraph"/>
        <w:numPr>
          <w:ilvl w:val="0"/>
          <w:numId w:val="13"/>
        </w:numPr>
        <w:spacing w:before="0" w:after="0"/>
        <w:ind w:left="426"/>
      </w:pPr>
      <w:r>
        <w:t>We welcomed the signing of the Memorandum of Understanding (MoU)</w:t>
      </w:r>
      <w:r>
        <w:t xml:space="preserve"> </w:t>
      </w:r>
      <w:r>
        <w:t>between ASEAN and the Russian Federation on Cooperation in the Field of</w:t>
      </w:r>
      <w:r>
        <w:t xml:space="preserve"> </w:t>
      </w:r>
      <w:r>
        <w:t>Disaster Management on 19 February 2021 to promote and develop</w:t>
      </w:r>
      <w:r>
        <w:t xml:space="preserve"> </w:t>
      </w:r>
      <w:r>
        <w:t>engagement in the area of disaster management and looked forward to its</w:t>
      </w:r>
      <w:r>
        <w:t xml:space="preserve"> </w:t>
      </w:r>
      <w:r>
        <w:t>practical implementation. We emphasised the importance of enhancing</w:t>
      </w:r>
      <w:r>
        <w:t xml:space="preserve"> </w:t>
      </w:r>
      <w:r>
        <w:t>ASEAN's capacity to prepare for, respond to and recover from future</w:t>
      </w:r>
      <w:r>
        <w:t xml:space="preserve"> </w:t>
      </w:r>
      <w:r>
        <w:t>emergencies and disasters and in this regard, we encouraged for both ASEAN</w:t>
      </w:r>
      <w:r>
        <w:t xml:space="preserve"> </w:t>
      </w:r>
      <w:r>
        <w:t>and Russia to share best practices and lessons learned, to improve the</w:t>
      </w:r>
      <w:r>
        <w:t xml:space="preserve"> </w:t>
      </w:r>
      <w:r>
        <w:t>coordination of existing ASEAN processes and mechanisms, with a view to</w:t>
      </w:r>
      <w:r>
        <w:t xml:space="preserve"> </w:t>
      </w:r>
      <w:r>
        <w:t>facilitate the implementation of the Strategic and Holistic Initiative to Link</w:t>
      </w:r>
      <w:r>
        <w:t xml:space="preserve"> </w:t>
      </w:r>
      <w:r>
        <w:t>ASEAN Responses to Emergencies and Disasters (ASEAN SHIELD).</w:t>
      </w:r>
    </w:p>
    <w:p w14:paraId="234939F0" w14:textId="77777777" w:rsidR="00A0086F" w:rsidRDefault="00A0086F" w:rsidP="00A0086F">
      <w:pPr>
        <w:pStyle w:val="ListParagraph"/>
      </w:pPr>
    </w:p>
    <w:p w14:paraId="4B407159" w14:textId="77777777" w:rsidR="00A0086F" w:rsidRDefault="00A0086F" w:rsidP="007A4552">
      <w:pPr>
        <w:pStyle w:val="ListParagraph"/>
        <w:numPr>
          <w:ilvl w:val="0"/>
          <w:numId w:val="13"/>
        </w:numPr>
        <w:spacing w:before="0" w:after="0"/>
        <w:ind w:left="426"/>
      </w:pPr>
      <w:r>
        <w:t>We reaffirmed the importance of maintaining and promoting peace, security,</w:t>
      </w:r>
      <w:r>
        <w:t xml:space="preserve"> </w:t>
      </w:r>
      <w:r>
        <w:t>stability, prosperity, safety, and freedom of navigation in and overflight above</w:t>
      </w:r>
      <w:r>
        <w:t xml:space="preserve"> </w:t>
      </w:r>
      <w:r>
        <w:t>the South China Sea, and pursuing peaceful resolution of disputes, without</w:t>
      </w:r>
      <w:r>
        <w:t xml:space="preserve"> </w:t>
      </w:r>
      <w:r>
        <w:t xml:space="preserve">resorting to the threat or use of force, in accordance with universally </w:t>
      </w:r>
      <w:r>
        <w:t xml:space="preserve">recognized </w:t>
      </w:r>
      <w:r>
        <w:t>principles of international law, including the 1982 United Nations Convention on</w:t>
      </w:r>
      <w:r>
        <w:t xml:space="preserve"> </w:t>
      </w:r>
      <w:r>
        <w:t>the Law of the Sea (UNCLOS). We underscored the importance of the full and</w:t>
      </w:r>
      <w:r>
        <w:t xml:space="preserve"> </w:t>
      </w:r>
      <w:r>
        <w:t>effective implementation of the 2002 Declaration on the Conduct of Parties in</w:t>
      </w:r>
      <w:r>
        <w:t xml:space="preserve"> </w:t>
      </w:r>
      <w:r>
        <w:t>the South China Sea (DOC) in its entirety. We noted the positive progress in</w:t>
      </w:r>
      <w:r>
        <w:t xml:space="preserve"> </w:t>
      </w:r>
      <w:r>
        <w:t>the ongoing negotiations on the Code of Conduct in the South China Sea (COC)</w:t>
      </w:r>
      <w:r>
        <w:t xml:space="preserve"> </w:t>
      </w:r>
      <w:r>
        <w:t>and encouraged further progress towards the early conclusion of an effective</w:t>
      </w:r>
      <w:r>
        <w:t xml:space="preserve"> </w:t>
      </w:r>
      <w:r>
        <w:t>and substantive COC that is in accordance with international law, including the</w:t>
      </w:r>
      <w:r>
        <w:t xml:space="preserve"> </w:t>
      </w:r>
      <w:r>
        <w:t>1982 UNCLOS. We emphasised the need to promote an environment</w:t>
      </w:r>
      <w:r>
        <w:t xml:space="preserve"> </w:t>
      </w:r>
      <w:r>
        <w:t>conducive to the COC negotiations and thus, welcomed practical measures that</w:t>
      </w:r>
      <w:r>
        <w:t xml:space="preserve"> </w:t>
      </w:r>
      <w:r>
        <w:t>could reduce tensions and the risk of accidents, misunderstandings, and</w:t>
      </w:r>
      <w:r>
        <w:t xml:space="preserve"> </w:t>
      </w:r>
      <w:r>
        <w:t>miscalculation. We stressed the importance of undertaking confidence building</w:t>
      </w:r>
      <w:r>
        <w:t xml:space="preserve">  </w:t>
      </w:r>
      <w:r>
        <w:t>and preventive measures to enhance, among others, trust and confidence</w:t>
      </w:r>
      <w:r>
        <w:t xml:space="preserve"> </w:t>
      </w:r>
      <w:r>
        <w:t>amongst parties, and reaffirmed the importance of upholding international law,</w:t>
      </w:r>
      <w:r>
        <w:t xml:space="preserve"> </w:t>
      </w:r>
      <w:r>
        <w:t>including the 1982 UNCLOS.</w:t>
      </w:r>
    </w:p>
    <w:sectPr w:rsidR="00A0086F" w:rsidSect="00F61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939C5" w14:textId="77777777" w:rsidR="00A0086F" w:rsidRDefault="00A0086F" w:rsidP="00F61B4F">
      <w:pPr>
        <w:spacing w:before="0" w:after="0" w:line="240" w:lineRule="auto"/>
      </w:pPr>
      <w:r>
        <w:separator/>
      </w:r>
    </w:p>
  </w:endnote>
  <w:endnote w:type="continuationSeparator" w:id="0">
    <w:p w14:paraId="42B097A0" w14:textId="77777777" w:rsidR="00A0086F" w:rsidRDefault="00A0086F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FCDAF" w14:textId="77777777" w:rsidR="00BD275D" w:rsidRDefault="00BD2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16F12" w14:textId="77777777"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14:paraId="586EF21C" w14:textId="77777777"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</w:p>
  <w:p w14:paraId="334AFDA8" w14:textId="22A017D1" w:rsidR="00000000" w:rsidRDefault="00D31FE4">
    <w:pPr>
      <w:rPr>
        <w:rFonts w:cs="Arial"/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75658" w14:textId="77777777"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14:paraId="57782BEF" w14:textId="77777777"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B1262" w14:textId="77777777" w:rsidR="00A0086F" w:rsidRDefault="00A0086F" w:rsidP="00F61B4F">
      <w:pPr>
        <w:spacing w:before="0" w:after="0" w:line="240" w:lineRule="auto"/>
      </w:pPr>
      <w:r>
        <w:separator/>
      </w:r>
    </w:p>
  </w:footnote>
  <w:footnote w:type="continuationSeparator" w:id="0">
    <w:p w14:paraId="562501CA" w14:textId="77777777" w:rsidR="00A0086F" w:rsidRDefault="00A0086F" w:rsidP="00F61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65AA" w14:textId="77777777" w:rsidR="00BD275D" w:rsidRDefault="00BD2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A92A9" w14:textId="77777777" w:rsidR="00B532E2" w:rsidRPr="00CD6026" w:rsidRDefault="00A0086F" w:rsidP="00CD6026">
    <w:pPr>
      <w:pStyle w:val="Header"/>
      <w:pBdr>
        <w:bottom w:val="single" w:sz="4" w:space="1" w:color="auto"/>
      </w:pBdr>
      <w:rPr>
        <w:rFonts w:cs="Arial"/>
        <w:caps/>
        <w:color w:val="808080"/>
        <w:sz w:val="16"/>
        <w:szCs w:val="16"/>
      </w:rPr>
    </w:pPr>
    <w:r>
      <w:rPr>
        <w:rFonts w:cs="Arial"/>
        <w:caps/>
        <w:color w:val="808080"/>
        <w:sz w:val="16"/>
        <w:szCs w:val="16"/>
      </w:rPr>
      <w:t>2021 chairman’s statement of the 4</w:t>
    </w:r>
    <w:r w:rsidRPr="00A0086F">
      <w:rPr>
        <w:rFonts w:cs="Arial"/>
        <w:caps/>
        <w:color w:val="808080"/>
        <w:sz w:val="16"/>
        <w:szCs w:val="16"/>
        <w:vertAlign w:val="superscript"/>
      </w:rPr>
      <w:t>th</w:t>
    </w:r>
    <w:r>
      <w:rPr>
        <w:rFonts w:cs="Arial"/>
        <w:caps/>
        <w:color w:val="808080"/>
        <w:sz w:val="16"/>
        <w:szCs w:val="16"/>
      </w:rPr>
      <w:t xml:space="preserve"> aseAN-RUssIA summit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1D592" w14:textId="77777777" w:rsidR="00BD275D" w:rsidRDefault="00BD2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80F8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EE31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6D2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A8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72C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625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1AB9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DABA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C686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291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61F47"/>
    <w:multiLevelType w:val="hybridMultilevel"/>
    <w:tmpl w:val="33E0A9C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B03D2"/>
    <w:multiLevelType w:val="hybridMultilevel"/>
    <w:tmpl w:val="F0A8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51307"/>
    <w:multiLevelType w:val="hybridMultilevel"/>
    <w:tmpl w:val="46BAC9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6F"/>
    <w:rsid w:val="00000FB0"/>
    <w:rsid w:val="00002446"/>
    <w:rsid w:val="000043E5"/>
    <w:rsid w:val="00011723"/>
    <w:rsid w:val="00013D73"/>
    <w:rsid w:val="000173F4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C84"/>
    <w:rsid w:val="0007234F"/>
    <w:rsid w:val="000768A2"/>
    <w:rsid w:val="000771E0"/>
    <w:rsid w:val="00080879"/>
    <w:rsid w:val="00080FD6"/>
    <w:rsid w:val="00081E70"/>
    <w:rsid w:val="00082260"/>
    <w:rsid w:val="00083FFE"/>
    <w:rsid w:val="000922A6"/>
    <w:rsid w:val="0009558E"/>
    <w:rsid w:val="00097F77"/>
    <w:rsid w:val="000A329C"/>
    <w:rsid w:val="000B02EF"/>
    <w:rsid w:val="000B197F"/>
    <w:rsid w:val="000C2967"/>
    <w:rsid w:val="000C2CE8"/>
    <w:rsid w:val="000C49F6"/>
    <w:rsid w:val="000C5A1A"/>
    <w:rsid w:val="000D004B"/>
    <w:rsid w:val="000D31BC"/>
    <w:rsid w:val="000D57EE"/>
    <w:rsid w:val="000D6DF5"/>
    <w:rsid w:val="000D7512"/>
    <w:rsid w:val="000E1719"/>
    <w:rsid w:val="000E1DDB"/>
    <w:rsid w:val="000E2394"/>
    <w:rsid w:val="000E3AD0"/>
    <w:rsid w:val="000F2D66"/>
    <w:rsid w:val="001013AD"/>
    <w:rsid w:val="0010259B"/>
    <w:rsid w:val="00102B66"/>
    <w:rsid w:val="001063A1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3AB9"/>
    <w:rsid w:val="00143BCA"/>
    <w:rsid w:val="00144EA6"/>
    <w:rsid w:val="001450F7"/>
    <w:rsid w:val="00145215"/>
    <w:rsid w:val="001462AA"/>
    <w:rsid w:val="00153722"/>
    <w:rsid w:val="00155142"/>
    <w:rsid w:val="0015683A"/>
    <w:rsid w:val="001648EA"/>
    <w:rsid w:val="001669E3"/>
    <w:rsid w:val="001728AB"/>
    <w:rsid w:val="00172E71"/>
    <w:rsid w:val="00176298"/>
    <w:rsid w:val="0018065C"/>
    <w:rsid w:val="00183009"/>
    <w:rsid w:val="001837BF"/>
    <w:rsid w:val="00191FB7"/>
    <w:rsid w:val="00194639"/>
    <w:rsid w:val="0019674F"/>
    <w:rsid w:val="001A0777"/>
    <w:rsid w:val="001A31BD"/>
    <w:rsid w:val="001B572F"/>
    <w:rsid w:val="001C50F5"/>
    <w:rsid w:val="001C7B98"/>
    <w:rsid w:val="001D116B"/>
    <w:rsid w:val="001D2E66"/>
    <w:rsid w:val="001D7F95"/>
    <w:rsid w:val="001E502C"/>
    <w:rsid w:val="001E52A5"/>
    <w:rsid w:val="001F190C"/>
    <w:rsid w:val="001F1AE0"/>
    <w:rsid w:val="001F27F8"/>
    <w:rsid w:val="001F2B50"/>
    <w:rsid w:val="0020032B"/>
    <w:rsid w:val="00200AA3"/>
    <w:rsid w:val="0020147F"/>
    <w:rsid w:val="00202C8A"/>
    <w:rsid w:val="002226CD"/>
    <w:rsid w:val="002238CF"/>
    <w:rsid w:val="00224582"/>
    <w:rsid w:val="00224E12"/>
    <w:rsid w:val="002251FC"/>
    <w:rsid w:val="002423B7"/>
    <w:rsid w:val="00244645"/>
    <w:rsid w:val="00245638"/>
    <w:rsid w:val="0025204F"/>
    <w:rsid w:val="002520E2"/>
    <w:rsid w:val="00256484"/>
    <w:rsid w:val="002566AC"/>
    <w:rsid w:val="00257575"/>
    <w:rsid w:val="00260086"/>
    <w:rsid w:val="00260DE8"/>
    <w:rsid w:val="00262BEE"/>
    <w:rsid w:val="002653B1"/>
    <w:rsid w:val="00274C7A"/>
    <w:rsid w:val="002750EF"/>
    <w:rsid w:val="00275D0D"/>
    <w:rsid w:val="00284792"/>
    <w:rsid w:val="002927F7"/>
    <w:rsid w:val="00294CBA"/>
    <w:rsid w:val="002952DD"/>
    <w:rsid w:val="00297B32"/>
    <w:rsid w:val="002A32A5"/>
    <w:rsid w:val="002A4172"/>
    <w:rsid w:val="002B2294"/>
    <w:rsid w:val="002B31DE"/>
    <w:rsid w:val="002B473E"/>
    <w:rsid w:val="002B5E84"/>
    <w:rsid w:val="002B7265"/>
    <w:rsid w:val="002C506E"/>
    <w:rsid w:val="002C5925"/>
    <w:rsid w:val="002C67E0"/>
    <w:rsid w:val="002D3A06"/>
    <w:rsid w:val="002E0A92"/>
    <w:rsid w:val="002E6283"/>
    <w:rsid w:val="002F1577"/>
    <w:rsid w:val="002F7DA0"/>
    <w:rsid w:val="0030037C"/>
    <w:rsid w:val="00303079"/>
    <w:rsid w:val="003035FA"/>
    <w:rsid w:val="003071F6"/>
    <w:rsid w:val="00311F81"/>
    <w:rsid w:val="00311F88"/>
    <w:rsid w:val="00312FB5"/>
    <w:rsid w:val="003150B5"/>
    <w:rsid w:val="00315409"/>
    <w:rsid w:val="00321387"/>
    <w:rsid w:val="0032159B"/>
    <w:rsid w:val="00321890"/>
    <w:rsid w:val="00325A2D"/>
    <w:rsid w:val="00326D39"/>
    <w:rsid w:val="003316EF"/>
    <w:rsid w:val="0033544F"/>
    <w:rsid w:val="00336CA3"/>
    <w:rsid w:val="003374CC"/>
    <w:rsid w:val="00340339"/>
    <w:rsid w:val="0034084B"/>
    <w:rsid w:val="00343E97"/>
    <w:rsid w:val="003463F9"/>
    <w:rsid w:val="00351FC7"/>
    <w:rsid w:val="00355356"/>
    <w:rsid w:val="003557B3"/>
    <w:rsid w:val="00361211"/>
    <w:rsid w:val="00363CA6"/>
    <w:rsid w:val="00363E88"/>
    <w:rsid w:val="0036654E"/>
    <w:rsid w:val="003762D5"/>
    <w:rsid w:val="00382037"/>
    <w:rsid w:val="00384CCD"/>
    <w:rsid w:val="00386AC0"/>
    <w:rsid w:val="003870B6"/>
    <w:rsid w:val="0039419F"/>
    <w:rsid w:val="003A2096"/>
    <w:rsid w:val="003A2B2D"/>
    <w:rsid w:val="003A2E2D"/>
    <w:rsid w:val="003A36C1"/>
    <w:rsid w:val="003A4607"/>
    <w:rsid w:val="003A46AB"/>
    <w:rsid w:val="003A6709"/>
    <w:rsid w:val="003B1B3D"/>
    <w:rsid w:val="003B5567"/>
    <w:rsid w:val="003C3ABB"/>
    <w:rsid w:val="003C4214"/>
    <w:rsid w:val="003C47FA"/>
    <w:rsid w:val="003C48C1"/>
    <w:rsid w:val="003C696E"/>
    <w:rsid w:val="003C70F3"/>
    <w:rsid w:val="003D49AB"/>
    <w:rsid w:val="003D66C8"/>
    <w:rsid w:val="003D682E"/>
    <w:rsid w:val="003D6E5B"/>
    <w:rsid w:val="003E0C85"/>
    <w:rsid w:val="003E69D4"/>
    <w:rsid w:val="003F148C"/>
    <w:rsid w:val="003F1817"/>
    <w:rsid w:val="0040043F"/>
    <w:rsid w:val="00401F7F"/>
    <w:rsid w:val="00405210"/>
    <w:rsid w:val="00415F9F"/>
    <w:rsid w:val="0042164B"/>
    <w:rsid w:val="0042562D"/>
    <w:rsid w:val="00430AD3"/>
    <w:rsid w:val="00432B9B"/>
    <w:rsid w:val="004410EB"/>
    <w:rsid w:val="0044415C"/>
    <w:rsid w:val="00452091"/>
    <w:rsid w:val="0045262E"/>
    <w:rsid w:val="00453E7C"/>
    <w:rsid w:val="004540DD"/>
    <w:rsid w:val="00454C15"/>
    <w:rsid w:val="00457A36"/>
    <w:rsid w:val="00460285"/>
    <w:rsid w:val="00461169"/>
    <w:rsid w:val="0046281B"/>
    <w:rsid w:val="0046332F"/>
    <w:rsid w:val="00464378"/>
    <w:rsid w:val="00464582"/>
    <w:rsid w:val="004715DF"/>
    <w:rsid w:val="0049074B"/>
    <w:rsid w:val="00495B5C"/>
    <w:rsid w:val="00496452"/>
    <w:rsid w:val="00497AE1"/>
    <w:rsid w:val="004A0B2F"/>
    <w:rsid w:val="004A0D08"/>
    <w:rsid w:val="004A1834"/>
    <w:rsid w:val="004A31A0"/>
    <w:rsid w:val="004A5865"/>
    <w:rsid w:val="004A58EA"/>
    <w:rsid w:val="004B263A"/>
    <w:rsid w:val="004B3D8B"/>
    <w:rsid w:val="004B5A7D"/>
    <w:rsid w:val="004B6693"/>
    <w:rsid w:val="004B7073"/>
    <w:rsid w:val="004B71DD"/>
    <w:rsid w:val="004C2B2B"/>
    <w:rsid w:val="004C33C2"/>
    <w:rsid w:val="004C5E25"/>
    <w:rsid w:val="004D6797"/>
    <w:rsid w:val="004E0ED9"/>
    <w:rsid w:val="004E1378"/>
    <w:rsid w:val="004E1B8D"/>
    <w:rsid w:val="004E2177"/>
    <w:rsid w:val="004F129B"/>
    <w:rsid w:val="004F21D5"/>
    <w:rsid w:val="00504C42"/>
    <w:rsid w:val="00507CA6"/>
    <w:rsid w:val="0051026B"/>
    <w:rsid w:val="00510555"/>
    <w:rsid w:val="0051224B"/>
    <w:rsid w:val="005146E7"/>
    <w:rsid w:val="00516331"/>
    <w:rsid w:val="005177D3"/>
    <w:rsid w:val="00522388"/>
    <w:rsid w:val="00525B71"/>
    <w:rsid w:val="005325F9"/>
    <w:rsid w:val="00534217"/>
    <w:rsid w:val="00535BF3"/>
    <w:rsid w:val="00537A67"/>
    <w:rsid w:val="00537D81"/>
    <w:rsid w:val="00541125"/>
    <w:rsid w:val="00545288"/>
    <w:rsid w:val="005627AF"/>
    <w:rsid w:val="00564EBA"/>
    <w:rsid w:val="00565B5D"/>
    <w:rsid w:val="005701D2"/>
    <w:rsid w:val="005706A6"/>
    <w:rsid w:val="0057613A"/>
    <w:rsid w:val="005768A3"/>
    <w:rsid w:val="00581E07"/>
    <w:rsid w:val="005827A5"/>
    <w:rsid w:val="00584C90"/>
    <w:rsid w:val="005865AA"/>
    <w:rsid w:val="0058716E"/>
    <w:rsid w:val="00590C4E"/>
    <w:rsid w:val="0059630D"/>
    <w:rsid w:val="00597551"/>
    <w:rsid w:val="005A0C6D"/>
    <w:rsid w:val="005A384B"/>
    <w:rsid w:val="005A418E"/>
    <w:rsid w:val="005A67CE"/>
    <w:rsid w:val="005A6C1B"/>
    <w:rsid w:val="005B2D91"/>
    <w:rsid w:val="005C087C"/>
    <w:rsid w:val="005C18C4"/>
    <w:rsid w:val="005C46EA"/>
    <w:rsid w:val="005C6ADE"/>
    <w:rsid w:val="005D3068"/>
    <w:rsid w:val="005D5714"/>
    <w:rsid w:val="005D59E8"/>
    <w:rsid w:val="005E0D13"/>
    <w:rsid w:val="005E264A"/>
    <w:rsid w:val="005E2E8D"/>
    <w:rsid w:val="005E6807"/>
    <w:rsid w:val="005F25E1"/>
    <w:rsid w:val="005F5FD1"/>
    <w:rsid w:val="005F6D34"/>
    <w:rsid w:val="00604FC9"/>
    <w:rsid w:val="006056CA"/>
    <w:rsid w:val="006077DA"/>
    <w:rsid w:val="00615E91"/>
    <w:rsid w:val="00617785"/>
    <w:rsid w:val="00620043"/>
    <w:rsid w:val="00624B74"/>
    <w:rsid w:val="0062758C"/>
    <w:rsid w:val="00627B91"/>
    <w:rsid w:val="0064082A"/>
    <w:rsid w:val="00642035"/>
    <w:rsid w:val="0064206B"/>
    <w:rsid w:val="00646905"/>
    <w:rsid w:val="006477C3"/>
    <w:rsid w:val="006633EA"/>
    <w:rsid w:val="00666445"/>
    <w:rsid w:val="006819D0"/>
    <w:rsid w:val="006829B2"/>
    <w:rsid w:val="00686294"/>
    <w:rsid w:val="006878B4"/>
    <w:rsid w:val="00695153"/>
    <w:rsid w:val="006953EA"/>
    <w:rsid w:val="006A181F"/>
    <w:rsid w:val="006A368A"/>
    <w:rsid w:val="006A5BC7"/>
    <w:rsid w:val="006B0864"/>
    <w:rsid w:val="006B6335"/>
    <w:rsid w:val="006C2FAC"/>
    <w:rsid w:val="006C6203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4F21"/>
    <w:rsid w:val="006E6F86"/>
    <w:rsid w:val="006F231A"/>
    <w:rsid w:val="00707B16"/>
    <w:rsid w:val="00711FF8"/>
    <w:rsid w:val="00716770"/>
    <w:rsid w:val="00721C1C"/>
    <w:rsid w:val="007231B2"/>
    <w:rsid w:val="0072576B"/>
    <w:rsid w:val="007320B0"/>
    <w:rsid w:val="0073568E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76086"/>
    <w:rsid w:val="00787B08"/>
    <w:rsid w:val="007951DD"/>
    <w:rsid w:val="007A006E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4920"/>
    <w:rsid w:val="007E7C82"/>
    <w:rsid w:val="007F1538"/>
    <w:rsid w:val="007F2FCB"/>
    <w:rsid w:val="007F5026"/>
    <w:rsid w:val="008016D1"/>
    <w:rsid w:val="00803BE9"/>
    <w:rsid w:val="00812B21"/>
    <w:rsid w:val="00814493"/>
    <w:rsid w:val="008171B7"/>
    <w:rsid w:val="00820B03"/>
    <w:rsid w:val="00821388"/>
    <w:rsid w:val="00822E73"/>
    <w:rsid w:val="00824DAD"/>
    <w:rsid w:val="00824DEF"/>
    <w:rsid w:val="008262AF"/>
    <w:rsid w:val="00841728"/>
    <w:rsid w:val="008419D9"/>
    <w:rsid w:val="0084289A"/>
    <w:rsid w:val="00850873"/>
    <w:rsid w:val="0086274F"/>
    <w:rsid w:val="00863AA4"/>
    <w:rsid w:val="00871D6D"/>
    <w:rsid w:val="00875863"/>
    <w:rsid w:val="008761FC"/>
    <w:rsid w:val="008A2C17"/>
    <w:rsid w:val="008A3A39"/>
    <w:rsid w:val="008A5721"/>
    <w:rsid w:val="008B001D"/>
    <w:rsid w:val="008B0875"/>
    <w:rsid w:val="008B1645"/>
    <w:rsid w:val="008C33B3"/>
    <w:rsid w:val="008C3761"/>
    <w:rsid w:val="008C6A9C"/>
    <w:rsid w:val="008D292D"/>
    <w:rsid w:val="008D3F77"/>
    <w:rsid w:val="008E41DC"/>
    <w:rsid w:val="008E5D7B"/>
    <w:rsid w:val="008E6E93"/>
    <w:rsid w:val="008E7703"/>
    <w:rsid w:val="008F5246"/>
    <w:rsid w:val="008F5F21"/>
    <w:rsid w:val="008F7A5C"/>
    <w:rsid w:val="009052CB"/>
    <w:rsid w:val="00916941"/>
    <w:rsid w:val="009217B0"/>
    <w:rsid w:val="00921DB5"/>
    <w:rsid w:val="00923519"/>
    <w:rsid w:val="00926EA3"/>
    <w:rsid w:val="009303E7"/>
    <w:rsid w:val="00933064"/>
    <w:rsid w:val="00935B08"/>
    <w:rsid w:val="0095406B"/>
    <w:rsid w:val="00956C40"/>
    <w:rsid w:val="00957449"/>
    <w:rsid w:val="00965ACC"/>
    <w:rsid w:val="00966DC7"/>
    <w:rsid w:val="00974D05"/>
    <w:rsid w:val="0098008C"/>
    <w:rsid w:val="00982034"/>
    <w:rsid w:val="00982B34"/>
    <w:rsid w:val="009842E6"/>
    <w:rsid w:val="00991C17"/>
    <w:rsid w:val="00992233"/>
    <w:rsid w:val="009943AE"/>
    <w:rsid w:val="00996773"/>
    <w:rsid w:val="00996953"/>
    <w:rsid w:val="00997244"/>
    <w:rsid w:val="00997B54"/>
    <w:rsid w:val="009A068F"/>
    <w:rsid w:val="009A0BE7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E21A2"/>
    <w:rsid w:val="009E2828"/>
    <w:rsid w:val="009E4818"/>
    <w:rsid w:val="009E6790"/>
    <w:rsid w:val="009E6EB7"/>
    <w:rsid w:val="009E763F"/>
    <w:rsid w:val="00A0085A"/>
    <w:rsid w:val="00A0086F"/>
    <w:rsid w:val="00A03EE4"/>
    <w:rsid w:val="00A04D76"/>
    <w:rsid w:val="00A05131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21ED9"/>
    <w:rsid w:val="00A25765"/>
    <w:rsid w:val="00A27F6D"/>
    <w:rsid w:val="00A302FE"/>
    <w:rsid w:val="00A32891"/>
    <w:rsid w:val="00A3329A"/>
    <w:rsid w:val="00A359D5"/>
    <w:rsid w:val="00A36EF4"/>
    <w:rsid w:val="00A4466D"/>
    <w:rsid w:val="00A5006A"/>
    <w:rsid w:val="00A551D1"/>
    <w:rsid w:val="00A60DBB"/>
    <w:rsid w:val="00A60F35"/>
    <w:rsid w:val="00A61CFF"/>
    <w:rsid w:val="00A62871"/>
    <w:rsid w:val="00A638C5"/>
    <w:rsid w:val="00A646B8"/>
    <w:rsid w:val="00A7627E"/>
    <w:rsid w:val="00A839BE"/>
    <w:rsid w:val="00A83F8F"/>
    <w:rsid w:val="00A90E8E"/>
    <w:rsid w:val="00A94579"/>
    <w:rsid w:val="00A95818"/>
    <w:rsid w:val="00A9590E"/>
    <w:rsid w:val="00AA6452"/>
    <w:rsid w:val="00AA6802"/>
    <w:rsid w:val="00AB26B5"/>
    <w:rsid w:val="00AB38E2"/>
    <w:rsid w:val="00AB6F60"/>
    <w:rsid w:val="00AB7A69"/>
    <w:rsid w:val="00AC1691"/>
    <w:rsid w:val="00AC1CA8"/>
    <w:rsid w:val="00AC4C08"/>
    <w:rsid w:val="00AC7F91"/>
    <w:rsid w:val="00AD7A4B"/>
    <w:rsid w:val="00AE05B5"/>
    <w:rsid w:val="00AE3DEB"/>
    <w:rsid w:val="00AE6181"/>
    <w:rsid w:val="00AE64FF"/>
    <w:rsid w:val="00AF1254"/>
    <w:rsid w:val="00AF5172"/>
    <w:rsid w:val="00AF5D32"/>
    <w:rsid w:val="00B01951"/>
    <w:rsid w:val="00B05254"/>
    <w:rsid w:val="00B05F3A"/>
    <w:rsid w:val="00B0640C"/>
    <w:rsid w:val="00B14396"/>
    <w:rsid w:val="00B173B5"/>
    <w:rsid w:val="00B207F2"/>
    <w:rsid w:val="00B267DC"/>
    <w:rsid w:val="00B308F2"/>
    <w:rsid w:val="00B30DEB"/>
    <w:rsid w:val="00B34B14"/>
    <w:rsid w:val="00B420A0"/>
    <w:rsid w:val="00B456B7"/>
    <w:rsid w:val="00B45912"/>
    <w:rsid w:val="00B5211D"/>
    <w:rsid w:val="00B52EFE"/>
    <w:rsid w:val="00B532E2"/>
    <w:rsid w:val="00B54E3F"/>
    <w:rsid w:val="00B61944"/>
    <w:rsid w:val="00B62E0A"/>
    <w:rsid w:val="00B6351C"/>
    <w:rsid w:val="00B736A5"/>
    <w:rsid w:val="00B74778"/>
    <w:rsid w:val="00B74FC8"/>
    <w:rsid w:val="00B76163"/>
    <w:rsid w:val="00B8232C"/>
    <w:rsid w:val="00B8350D"/>
    <w:rsid w:val="00B85BB1"/>
    <w:rsid w:val="00B85DB0"/>
    <w:rsid w:val="00B87EA5"/>
    <w:rsid w:val="00B92C1B"/>
    <w:rsid w:val="00B96E99"/>
    <w:rsid w:val="00BA1C72"/>
    <w:rsid w:val="00BA3538"/>
    <w:rsid w:val="00BA600A"/>
    <w:rsid w:val="00BA7E2B"/>
    <w:rsid w:val="00BB09CD"/>
    <w:rsid w:val="00BB2E42"/>
    <w:rsid w:val="00BB5610"/>
    <w:rsid w:val="00BC5DE2"/>
    <w:rsid w:val="00BD1600"/>
    <w:rsid w:val="00BD275D"/>
    <w:rsid w:val="00BD2E28"/>
    <w:rsid w:val="00BD36A4"/>
    <w:rsid w:val="00BD3EF7"/>
    <w:rsid w:val="00BE0B41"/>
    <w:rsid w:val="00BE0D36"/>
    <w:rsid w:val="00BE21D1"/>
    <w:rsid w:val="00BE47F3"/>
    <w:rsid w:val="00BE4E55"/>
    <w:rsid w:val="00BF3AB0"/>
    <w:rsid w:val="00BF5BA2"/>
    <w:rsid w:val="00BF7BA5"/>
    <w:rsid w:val="00C0692C"/>
    <w:rsid w:val="00C12E92"/>
    <w:rsid w:val="00C1575D"/>
    <w:rsid w:val="00C22B66"/>
    <w:rsid w:val="00C2709D"/>
    <w:rsid w:val="00C27F88"/>
    <w:rsid w:val="00C33322"/>
    <w:rsid w:val="00C3632D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3155"/>
    <w:rsid w:val="00C86BF0"/>
    <w:rsid w:val="00C9065C"/>
    <w:rsid w:val="00C90B5B"/>
    <w:rsid w:val="00C91236"/>
    <w:rsid w:val="00C921EF"/>
    <w:rsid w:val="00C92C9D"/>
    <w:rsid w:val="00CA21A1"/>
    <w:rsid w:val="00CA449F"/>
    <w:rsid w:val="00CA540E"/>
    <w:rsid w:val="00CA5A41"/>
    <w:rsid w:val="00CB0C6C"/>
    <w:rsid w:val="00CB2E1A"/>
    <w:rsid w:val="00CB485A"/>
    <w:rsid w:val="00CC2470"/>
    <w:rsid w:val="00CC2F8C"/>
    <w:rsid w:val="00CC449C"/>
    <w:rsid w:val="00CC535D"/>
    <w:rsid w:val="00CD2BE4"/>
    <w:rsid w:val="00CD5CC1"/>
    <w:rsid w:val="00CD6026"/>
    <w:rsid w:val="00CD6EC7"/>
    <w:rsid w:val="00CE087B"/>
    <w:rsid w:val="00CE31C8"/>
    <w:rsid w:val="00CE4330"/>
    <w:rsid w:val="00CE567F"/>
    <w:rsid w:val="00CE59E6"/>
    <w:rsid w:val="00CE7679"/>
    <w:rsid w:val="00CF277F"/>
    <w:rsid w:val="00CF4CBB"/>
    <w:rsid w:val="00D00ACC"/>
    <w:rsid w:val="00D0625E"/>
    <w:rsid w:val="00D07EE1"/>
    <w:rsid w:val="00D13015"/>
    <w:rsid w:val="00D133A2"/>
    <w:rsid w:val="00D13F5C"/>
    <w:rsid w:val="00D14607"/>
    <w:rsid w:val="00D15AD4"/>
    <w:rsid w:val="00D1649F"/>
    <w:rsid w:val="00D20538"/>
    <w:rsid w:val="00D211DC"/>
    <w:rsid w:val="00D250B0"/>
    <w:rsid w:val="00D31FE4"/>
    <w:rsid w:val="00D368AA"/>
    <w:rsid w:val="00D40C72"/>
    <w:rsid w:val="00D43EA3"/>
    <w:rsid w:val="00D45FAB"/>
    <w:rsid w:val="00D472FE"/>
    <w:rsid w:val="00D51065"/>
    <w:rsid w:val="00D52236"/>
    <w:rsid w:val="00D528FE"/>
    <w:rsid w:val="00D56D91"/>
    <w:rsid w:val="00D67A09"/>
    <w:rsid w:val="00D712DE"/>
    <w:rsid w:val="00D75BF6"/>
    <w:rsid w:val="00D804A1"/>
    <w:rsid w:val="00D86B2E"/>
    <w:rsid w:val="00D901BD"/>
    <w:rsid w:val="00D91710"/>
    <w:rsid w:val="00D92975"/>
    <w:rsid w:val="00DA4CF4"/>
    <w:rsid w:val="00DB3B2A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7A7D"/>
    <w:rsid w:val="00DE4868"/>
    <w:rsid w:val="00DE4917"/>
    <w:rsid w:val="00DE57D4"/>
    <w:rsid w:val="00DE62F5"/>
    <w:rsid w:val="00DE7A48"/>
    <w:rsid w:val="00DF288A"/>
    <w:rsid w:val="00DF3DF6"/>
    <w:rsid w:val="00DF4E11"/>
    <w:rsid w:val="00DF57B8"/>
    <w:rsid w:val="00DF64FF"/>
    <w:rsid w:val="00DF72C5"/>
    <w:rsid w:val="00E005B9"/>
    <w:rsid w:val="00E00DD3"/>
    <w:rsid w:val="00E029E2"/>
    <w:rsid w:val="00E13279"/>
    <w:rsid w:val="00E15214"/>
    <w:rsid w:val="00E22F62"/>
    <w:rsid w:val="00E23211"/>
    <w:rsid w:val="00E23830"/>
    <w:rsid w:val="00E2703D"/>
    <w:rsid w:val="00E36432"/>
    <w:rsid w:val="00E41649"/>
    <w:rsid w:val="00E423E4"/>
    <w:rsid w:val="00E42A9B"/>
    <w:rsid w:val="00E46A83"/>
    <w:rsid w:val="00E47C45"/>
    <w:rsid w:val="00E501FD"/>
    <w:rsid w:val="00E53F2E"/>
    <w:rsid w:val="00E71017"/>
    <w:rsid w:val="00E71A6F"/>
    <w:rsid w:val="00E71AEC"/>
    <w:rsid w:val="00E759C9"/>
    <w:rsid w:val="00E80D04"/>
    <w:rsid w:val="00E82ED4"/>
    <w:rsid w:val="00E853A3"/>
    <w:rsid w:val="00E854D8"/>
    <w:rsid w:val="00E87AA3"/>
    <w:rsid w:val="00E925D7"/>
    <w:rsid w:val="00E9353A"/>
    <w:rsid w:val="00E94458"/>
    <w:rsid w:val="00EA1963"/>
    <w:rsid w:val="00EA422B"/>
    <w:rsid w:val="00EA44D0"/>
    <w:rsid w:val="00EA6B9C"/>
    <w:rsid w:val="00EB4089"/>
    <w:rsid w:val="00EB542E"/>
    <w:rsid w:val="00EC2FAE"/>
    <w:rsid w:val="00EC57B1"/>
    <w:rsid w:val="00ED01F1"/>
    <w:rsid w:val="00ED1D3B"/>
    <w:rsid w:val="00ED61BD"/>
    <w:rsid w:val="00ED6DF2"/>
    <w:rsid w:val="00EE207B"/>
    <w:rsid w:val="00EE5D61"/>
    <w:rsid w:val="00EF63CD"/>
    <w:rsid w:val="00F01D85"/>
    <w:rsid w:val="00F05438"/>
    <w:rsid w:val="00F1258E"/>
    <w:rsid w:val="00F13B8E"/>
    <w:rsid w:val="00F2602E"/>
    <w:rsid w:val="00F30635"/>
    <w:rsid w:val="00F306A7"/>
    <w:rsid w:val="00F30761"/>
    <w:rsid w:val="00F31524"/>
    <w:rsid w:val="00F4092C"/>
    <w:rsid w:val="00F41173"/>
    <w:rsid w:val="00F41BB1"/>
    <w:rsid w:val="00F521E0"/>
    <w:rsid w:val="00F53E6A"/>
    <w:rsid w:val="00F57A3C"/>
    <w:rsid w:val="00F61B4F"/>
    <w:rsid w:val="00F63201"/>
    <w:rsid w:val="00F64335"/>
    <w:rsid w:val="00F645C0"/>
    <w:rsid w:val="00F6608A"/>
    <w:rsid w:val="00F701DD"/>
    <w:rsid w:val="00F71AE4"/>
    <w:rsid w:val="00F82FDC"/>
    <w:rsid w:val="00F8564E"/>
    <w:rsid w:val="00F86908"/>
    <w:rsid w:val="00F8738F"/>
    <w:rsid w:val="00F87BC0"/>
    <w:rsid w:val="00FA048B"/>
    <w:rsid w:val="00FA08BD"/>
    <w:rsid w:val="00FA0BDA"/>
    <w:rsid w:val="00FA1EB2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56BE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0E762"/>
  <w15:docId w15:val="{95AA6B8B-2D17-4801-9970-1FF7561D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043F"/>
    <w:pPr>
      <w:keepNext/>
      <w:keepLines/>
      <w:spacing w:after="6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6773"/>
    <w:pPr>
      <w:jc w:val="center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45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2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51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51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51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51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40043F"/>
    <w:rPr>
      <w:rFonts w:ascii="Arial" w:eastAsia="Times New Roman" w:hAnsi="Arial"/>
      <w:b/>
      <w:bCs/>
      <w:caps/>
      <w:sz w:val="28"/>
      <w:szCs w:val="28"/>
      <w:lang w:val="en-US" w:eastAsia="en-US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996773"/>
    <w:rPr>
      <w:rFonts w:ascii="Arial" w:hAnsi="Arial"/>
      <w:b/>
      <w:bCs/>
      <w:caps/>
      <w:szCs w:val="26"/>
      <w:lang w:val="en-US" w:eastAsia="en-US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jc w:val="left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720"/>
      <w:jc w:val="left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960"/>
      <w:jc w:val="left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200"/>
      <w:jc w:val="left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440"/>
      <w:jc w:val="left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680"/>
      <w:jc w:val="left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920"/>
      <w:jc w:val="left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  <w:style w:type="paragraph" w:styleId="FootnoteText">
    <w:name w:val="footnote text"/>
    <w:basedOn w:val="Normal"/>
    <w:link w:val="FootnoteTextChar"/>
    <w:uiPriority w:val="99"/>
    <w:semiHidden/>
    <w:unhideWhenUsed/>
    <w:rsid w:val="00FA048B"/>
  </w:style>
  <w:style w:type="character" w:customStyle="1" w:styleId="FootnoteTextChar">
    <w:name w:val="Footnote Text Char"/>
    <w:link w:val="FootnoteText"/>
    <w:uiPriority w:val="99"/>
    <w:semiHidden/>
    <w:rsid w:val="00FA048B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FA048B"/>
    <w:rPr>
      <w:vertAlign w:val="superscript"/>
    </w:rPr>
  </w:style>
  <w:style w:type="paragraph" w:styleId="ListParagraph">
    <w:name w:val="List Paragraph"/>
    <w:basedOn w:val="Normal"/>
    <w:uiPriority w:val="1"/>
    <w:qFormat/>
    <w:rsid w:val="00974D0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146E7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146E7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215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215"/>
    <w:rPr>
      <w:rFonts w:asciiTheme="majorHAnsi" w:eastAsiaTheme="majorEastAsia" w:hAnsiTheme="majorHAnsi" w:cstheme="majorBidi"/>
      <w:color w:val="2E74B5" w:themeColor="accent1" w:themeShade="BF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42"/>
    <w:rPr>
      <w:rFonts w:ascii="Segoe UI" w:hAnsi="Segoe UI" w:cs="Segoe UI"/>
      <w:sz w:val="18"/>
      <w:szCs w:val="18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5142"/>
  </w:style>
  <w:style w:type="paragraph" w:styleId="BlockText">
    <w:name w:val="Block Text"/>
    <w:basedOn w:val="Normal"/>
    <w:uiPriority w:val="99"/>
    <w:semiHidden/>
    <w:unhideWhenUsed/>
    <w:rsid w:val="00155142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514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5142"/>
    <w:rPr>
      <w:rFonts w:ascii="Arial" w:hAnsi="Arial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514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5142"/>
    <w:pPr>
      <w:widowControl/>
      <w:autoSpaceDE/>
      <w:autoSpaceDN/>
      <w:spacing w:before="240" w:after="120" w:line="276" w:lineRule="auto"/>
      <w:ind w:firstLine="360"/>
    </w:pPr>
    <w:rPr>
      <w:rFonts w:ascii="Arial" w:eastAsia="Calibri" w:hAnsi="Arial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5142"/>
    <w:rPr>
      <w:rFonts w:ascii="Arial" w:eastAsia="Times New Roman" w:hAnsi="Arial"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514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5142"/>
    <w:rPr>
      <w:rFonts w:ascii="Arial" w:hAnsi="Arial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5142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5142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5142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5142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5142"/>
    <w:rPr>
      <w:rFonts w:ascii="Arial" w:hAnsi="Arial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14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14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142"/>
    <w:rPr>
      <w:rFonts w:ascii="Arial" w:hAnsi="Arial"/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5142"/>
  </w:style>
  <w:style w:type="character" w:customStyle="1" w:styleId="DateChar">
    <w:name w:val="Date Char"/>
    <w:basedOn w:val="DefaultParagraphFont"/>
    <w:link w:val="Date"/>
    <w:uiPriority w:val="99"/>
    <w:semiHidden/>
    <w:rsid w:val="00155142"/>
    <w:rPr>
      <w:rFonts w:ascii="Arial" w:hAnsi="Arial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5142"/>
    <w:rPr>
      <w:rFonts w:ascii="Segoe UI" w:hAnsi="Segoe UI" w:cs="Segoe UI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5142"/>
    <w:rPr>
      <w:rFonts w:ascii="Arial" w:hAnsi="Arial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5142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55142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5142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5142"/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142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514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51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5142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5142"/>
    <w:rPr>
      <w:rFonts w:ascii="Arial" w:hAnsi="Arial"/>
      <w:i/>
      <w:i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5142"/>
    <w:rPr>
      <w:rFonts w:ascii="Consolas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514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51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5142"/>
    <w:rPr>
      <w:rFonts w:ascii="Arial" w:hAnsi="Arial"/>
      <w:i/>
      <w:iCs/>
      <w:color w:val="5B9BD5" w:themeColor="accent1"/>
      <w:lang w:val="en-US" w:eastAsia="en-US"/>
    </w:rPr>
  </w:style>
  <w:style w:type="paragraph" w:styleId="List">
    <w:name w:val="List"/>
    <w:basedOn w:val="Normal"/>
    <w:uiPriority w:val="99"/>
    <w:semiHidden/>
    <w:unhideWhenUsed/>
    <w:rsid w:val="0015514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514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514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514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514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514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514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514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514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514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5142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5142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5142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5142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5142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514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514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514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514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5142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551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line="276" w:lineRule="auto"/>
      <w:jc w:val="both"/>
    </w:pPr>
    <w:rPr>
      <w:rFonts w:ascii="Consolas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5142"/>
    <w:rPr>
      <w:rFonts w:ascii="Consolas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51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514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55142"/>
    <w:pPr>
      <w:jc w:val="both"/>
    </w:pPr>
    <w:rPr>
      <w:rFonts w:ascii="Arial" w:hAnsi="Arial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5514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514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5142"/>
    <w:rPr>
      <w:rFonts w:ascii="Arial" w:hAnsi="Arial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142"/>
    <w:rPr>
      <w:rFonts w:ascii="Consolas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551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5142"/>
    <w:rPr>
      <w:rFonts w:ascii="Arial" w:hAnsi="Arial"/>
      <w:i/>
      <w:iCs/>
      <w:color w:val="404040" w:themeColor="text1" w:themeTint="BF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51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5142"/>
    <w:rPr>
      <w:rFonts w:ascii="Arial" w:hAnsi="Arial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5142"/>
    <w:rPr>
      <w:rFonts w:ascii="Arial" w:hAnsi="Arial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5142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514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551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lcsw\OneDrive%20-%20National%20University%20of%20Singapore\Desktop\CIL%20DB%20Formatting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A9D329B328C4BBE0DFCEE619434D8" ma:contentTypeVersion="14" ma:contentTypeDescription="Create a new document." ma:contentTypeScope="" ma:versionID="c8d30b5e5ced799ff6e2c143902e55fb">
  <xsd:schema xmlns:xsd="http://www.w3.org/2001/XMLSchema" xmlns:xs="http://www.w3.org/2001/XMLSchema" xmlns:p="http://schemas.microsoft.com/office/2006/metadata/properties" xmlns:ns3="0dc3e94b-94e4-4e05-983e-659540d929e0" xmlns:ns4="d0dea29b-97e7-479c-b803-7fedf1230a1e" targetNamespace="http://schemas.microsoft.com/office/2006/metadata/properties" ma:root="true" ma:fieldsID="8860cf8f0c30ad796f5adb7c0a6cc9cb" ns3:_="" ns4:_="">
    <xsd:import namespace="0dc3e94b-94e4-4e05-983e-659540d929e0"/>
    <xsd:import namespace="d0dea29b-97e7-479c-b803-7fedf1230a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3e94b-94e4-4e05-983e-659540d92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ea29b-97e7-479c-b803-7fedf1230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c3e94b-94e4-4e05-983e-659540d929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A58EA-4EDC-4F77-9A00-4AD3A23AC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3e94b-94e4-4e05-983e-659540d929e0"/>
    <ds:schemaRef ds:uri="d0dea29b-97e7-479c-b803-7fedf1230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2EE2A-A1A2-43C9-BAEF-0BA95D5EF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A4AF9-18A8-4CDD-BE3A-818EC3F58E8F}">
  <ds:schemaRefs>
    <ds:schemaRef ds:uri="d0dea29b-97e7-479c-b803-7fedf1230a1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www.w3.org/XML/1998/namespace"/>
    <ds:schemaRef ds:uri="0dc3e94b-94e4-4e05-983e-659540d929e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84F7E77-7007-46B5-93BC-E48CB2B4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CIL DB Formatting Template (1)</Template>
  <TotalTime>11</TotalTime>
  <Pages>3</Pages>
  <Words>1490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Links>
    <vt:vector size="222" baseType="variant"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_Toc473030836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_Toc473030835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_Toc473030834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_Toc473030833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_Toc473030832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_Toc473030831</vt:lpwstr>
      </vt:variant>
      <vt:variant>
        <vt:i4>1245244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_Toc473030830</vt:lpwstr>
      </vt:variant>
      <vt:variant>
        <vt:i4>1179708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_Toc473030829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_Toc473030828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_Toc473030827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_Toc473030826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_Toc473030825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_Toc473030824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_Toc473030823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_Toc473030822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_Toc473030821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_Toc473030820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_Toc473030819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_Toc473030818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_Toc473030817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_Toc473030816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_Toc473030815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_Toc473030814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_Toc473030813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_Toc473030812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_Toc473030811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_Toc473030810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_Toc473030809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_Toc473030808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_Toc473030807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_Toc473030806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_Toc473030805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_Toc473030804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_Toc473030803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_Toc473030802</vt:lpwstr>
      </vt:variant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Sze Wei</dc:creator>
  <cp:keywords/>
  <dc:description/>
  <cp:lastModifiedBy>Chan Sze Wei</cp:lastModifiedBy>
  <cp:revision>2</cp:revision>
  <cp:lastPrinted>2019-01-29T09:08:00Z</cp:lastPrinted>
  <dcterms:created xsi:type="dcterms:W3CDTF">2023-05-11T05:37:00Z</dcterms:created>
  <dcterms:modified xsi:type="dcterms:W3CDTF">2023-05-11T05:48:00Z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0x0101006F9A9D329B328C4BBE0DFCEE619434D8</vt:lpwstr>
  </property>
</Properties>
</file>