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C06E" w14:textId="77777777" w:rsidR="00932546" w:rsidRDefault="00932546" w:rsidP="00932546">
      <w:pPr>
        <w:pStyle w:val="CILTitle"/>
      </w:pPr>
      <w:r>
        <w:t>2022 Joint Statement of the 8</w:t>
      </w:r>
      <w:r w:rsidRPr="00E479C9">
        <w:rPr>
          <w:vertAlign w:val="superscript"/>
        </w:rPr>
        <w:t>th</w:t>
      </w:r>
      <w:r>
        <w:t xml:space="preserve"> ASEAN Finance Ministers’ and Central Bank Governors’ Meeting</w:t>
      </w:r>
    </w:p>
    <w:p w14:paraId="2CD302FF" w14:textId="77777777" w:rsidR="00932546" w:rsidRDefault="00932546" w:rsidP="00932546">
      <w:pPr>
        <w:pStyle w:val="CILSubtitle"/>
      </w:pPr>
      <w:r>
        <w:t>Issued on 8 April 2022</w:t>
      </w:r>
    </w:p>
    <w:sdt>
      <w:sdtPr>
        <w:rPr>
          <w:rFonts w:ascii="Arial" w:eastAsia="Calibri" w:hAnsi="Arial"/>
          <w:color w:val="auto"/>
          <w:sz w:val="20"/>
          <w:szCs w:val="20"/>
        </w:rPr>
        <w:id w:val="7771505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F6F63F" w14:textId="2EA619AD" w:rsidR="005D50BC" w:rsidRPr="00932546" w:rsidRDefault="005D50BC">
          <w:pPr>
            <w:pStyle w:val="TOCHeading"/>
            <w:rPr>
              <w:sz w:val="12"/>
            </w:rPr>
          </w:pPr>
        </w:p>
        <w:p w14:paraId="602A8C50" w14:textId="4E8C87E8" w:rsidR="000909F4" w:rsidRDefault="005D50BC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410750" w:history="1">
            <w:r w:rsidR="000909F4" w:rsidRPr="00BC6DB3">
              <w:rPr>
                <w:rStyle w:val="Hyperlink"/>
                <w:noProof/>
              </w:rPr>
              <w:t>ASEAN Chair 2022 Priorities</w:t>
            </w:r>
            <w:r w:rsidR="000909F4">
              <w:rPr>
                <w:noProof/>
                <w:webHidden/>
              </w:rPr>
              <w:tab/>
            </w:r>
            <w:r w:rsidR="000909F4">
              <w:rPr>
                <w:noProof/>
                <w:webHidden/>
              </w:rPr>
              <w:fldChar w:fldCharType="begin"/>
            </w:r>
            <w:r w:rsidR="000909F4">
              <w:rPr>
                <w:noProof/>
                <w:webHidden/>
              </w:rPr>
              <w:instrText xml:space="preserve"> PAGEREF _Toc107410750 \h </w:instrText>
            </w:r>
            <w:r w:rsidR="000909F4">
              <w:rPr>
                <w:noProof/>
                <w:webHidden/>
              </w:rPr>
            </w:r>
            <w:r w:rsidR="000909F4">
              <w:rPr>
                <w:noProof/>
                <w:webHidden/>
              </w:rPr>
              <w:fldChar w:fldCharType="separate"/>
            </w:r>
            <w:r w:rsidR="000909F4">
              <w:rPr>
                <w:noProof/>
                <w:webHidden/>
              </w:rPr>
              <w:t>2</w:t>
            </w:r>
            <w:r w:rsidR="000909F4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5B55C58F" w14:textId="5A19400B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1" w:history="1">
            <w:r w:rsidRPr="00BC6DB3">
              <w:rPr>
                <w:rStyle w:val="Hyperlink"/>
                <w:noProof/>
              </w:rPr>
              <w:t>Economic Update and Policy Challenges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8D964" w14:textId="4EA823D0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2" w:history="1">
            <w:r w:rsidRPr="00BC6DB3">
              <w:rPr>
                <w:rStyle w:val="Hyperlink"/>
                <w:noProof/>
              </w:rPr>
              <w:t>Financial Integration and Liberalisation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88E06" w14:textId="4241C0A5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3" w:history="1">
            <w:r w:rsidRPr="00BC6DB3">
              <w:rPr>
                <w:rStyle w:val="Hyperlink"/>
                <w:noProof/>
              </w:rPr>
              <w:t>Trade and Investment Facilitation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D349B" w14:textId="3C901045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4" w:history="1">
            <w:r w:rsidRPr="00BC6DB3">
              <w:rPr>
                <w:rStyle w:val="Hyperlink"/>
                <w:noProof/>
              </w:rPr>
              <w:t>Financing, Payment and Service Connectivity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7C92C" w14:textId="349A0AD2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5" w:history="1">
            <w:r w:rsidRPr="00BC6DB3">
              <w:rPr>
                <w:rStyle w:val="Hyperlink"/>
                <w:noProof/>
              </w:rPr>
              <w:t>Infrastructure 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D4C91" w14:textId="5F73D731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6" w:history="1">
            <w:r w:rsidRPr="00BC6DB3">
              <w:rPr>
                <w:rStyle w:val="Hyperlink"/>
                <w:noProof/>
              </w:rPr>
              <w:t>Sustainable Finance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F1743" w14:textId="00C1BC30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7" w:history="1">
            <w:r w:rsidRPr="00BC6DB3">
              <w:rPr>
                <w:rStyle w:val="Hyperlink"/>
                <w:noProof/>
              </w:rPr>
              <w:t>Financial Inclusion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C5535" w14:textId="5345AAC9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8" w:history="1">
            <w:r w:rsidRPr="00BC6DB3">
              <w:rPr>
                <w:rStyle w:val="Hyperlink"/>
                <w:noProof/>
              </w:rPr>
              <w:t>Disaster Risk 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DB370" w14:textId="018F887A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59" w:history="1">
            <w:r w:rsidRPr="00BC6DB3">
              <w:rPr>
                <w:rStyle w:val="Hyperlink"/>
                <w:noProof/>
              </w:rPr>
              <w:t>Cyber Resilience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999B7" w14:textId="0999939A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60" w:history="1">
            <w:r w:rsidRPr="00BC6DB3">
              <w:rPr>
                <w:rStyle w:val="Hyperlink"/>
                <w:noProof/>
              </w:rPr>
              <w:t>Digital Asset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AED01" w14:textId="6D12B894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61" w:history="1">
            <w:r w:rsidRPr="00BC6DB3">
              <w:rPr>
                <w:rStyle w:val="Hyperlink"/>
                <w:noProof/>
              </w:rPr>
              <w:t>Dialogue with the Business Councils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30BF0" w14:textId="688FE1D3" w:rsidR="000909F4" w:rsidRDefault="000909F4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en-SG"/>
            </w:rPr>
          </w:pPr>
          <w:hyperlink w:anchor="_Toc107410762" w:history="1">
            <w:r w:rsidRPr="00BC6DB3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18309" w14:textId="0C7E3100" w:rsidR="005D50BC" w:rsidRDefault="005D50BC">
          <w:r>
            <w:rPr>
              <w:b/>
              <w:bCs/>
              <w:noProof/>
            </w:rPr>
            <w:fldChar w:fldCharType="end"/>
          </w:r>
        </w:p>
      </w:sdtContent>
    </w:sdt>
    <w:p w14:paraId="432CC35D" w14:textId="77777777" w:rsidR="002953BE" w:rsidRDefault="002953BE" w:rsidP="00E479C9">
      <w:pPr>
        <w:pStyle w:val="CILTitle"/>
      </w:pPr>
    </w:p>
    <w:p w14:paraId="001ECC0E" w14:textId="77777777" w:rsidR="002953BE" w:rsidRDefault="002953BE" w:rsidP="00E479C9">
      <w:pPr>
        <w:pStyle w:val="CILTitle"/>
      </w:pPr>
    </w:p>
    <w:p w14:paraId="2C7A7822" w14:textId="77777777" w:rsidR="002953BE" w:rsidRDefault="002953BE" w:rsidP="00E479C9">
      <w:pPr>
        <w:pStyle w:val="CILTitle"/>
      </w:pPr>
    </w:p>
    <w:p w14:paraId="74B91FD9" w14:textId="77777777" w:rsidR="002953BE" w:rsidRDefault="002953BE" w:rsidP="00E479C9">
      <w:pPr>
        <w:pStyle w:val="CILTitle"/>
      </w:pPr>
    </w:p>
    <w:p w14:paraId="2BAC3462" w14:textId="77777777" w:rsidR="002953BE" w:rsidRDefault="002953BE" w:rsidP="00E479C9">
      <w:pPr>
        <w:pStyle w:val="CILTitle"/>
      </w:pPr>
    </w:p>
    <w:p w14:paraId="4266A139" w14:textId="77777777" w:rsidR="002953BE" w:rsidRDefault="002953BE" w:rsidP="00E479C9">
      <w:pPr>
        <w:pStyle w:val="CILTitle"/>
      </w:pPr>
    </w:p>
    <w:p w14:paraId="26727B0C" w14:textId="77777777" w:rsidR="002953BE" w:rsidRDefault="002953BE" w:rsidP="00E479C9">
      <w:pPr>
        <w:pStyle w:val="CILTitle"/>
      </w:pPr>
    </w:p>
    <w:p w14:paraId="1582D9CA" w14:textId="77777777" w:rsidR="002953BE" w:rsidRDefault="002953BE" w:rsidP="00E479C9">
      <w:pPr>
        <w:pStyle w:val="CILTitle"/>
      </w:pPr>
    </w:p>
    <w:p w14:paraId="4054798B" w14:textId="77777777" w:rsidR="002953BE" w:rsidRDefault="002953BE" w:rsidP="00E479C9">
      <w:pPr>
        <w:pStyle w:val="CILTitle"/>
      </w:pPr>
    </w:p>
    <w:p w14:paraId="19C40F18" w14:textId="77777777" w:rsidR="002953BE" w:rsidRDefault="002953BE" w:rsidP="00E479C9">
      <w:pPr>
        <w:pStyle w:val="CILTitle"/>
      </w:pPr>
    </w:p>
    <w:p w14:paraId="077B6522" w14:textId="77777777" w:rsidR="002953BE" w:rsidRDefault="002953BE" w:rsidP="00E479C9">
      <w:pPr>
        <w:pStyle w:val="CILTitle"/>
      </w:pPr>
    </w:p>
    <w:p w14:paraId="66EE3D11" w14:textId="77777777" w:rsidR="002953BE" w:rsidRDefault="002953BE" w:rsidP="00E479C9">
      <w:pPr>
        <w:pStyle w:val="CILTitle"/>
      </w:pPr>
    </w:p>
    <w:p w14:paraId="77709610" w14:textId="2E3D960D" w:rsidR="00E479C9" w:rsidRDefault="00932546" w:rsidP="00E479C9">
      <w:pPr>
        <w:pStyle w:val="CILTitle"/>
      </w:pPr>
      <w:r>
        <w:lastRenderedPageBreak/>
        <w:t xml:space="preserve">2022 </w:t>
      </w:r>
      <w:r w:rsidR="003C2DC3">
        <w:t>Joint Statement of the 8</w:t>
      </w:r>
      <w:r w:rsidR="003C2DC3" w:rsidRPr="00E479C9">
        <w:rPr>
          <w:vertAlign w:val="superscript"/>
        </w:rPr>
        <w:t>th</w:t>
      </w:r>
      <w:r w:rsidR="00E479C9">
        <w:t xml:space="preserve"> </w:t>
      </w:r>
      <w:r w:rsidR="003C2DC3">
        <w:t>ASEAN Finance Ministers’ and</w:t>
      </w:r>
      <w:r w:rsidR="00E479C9">
        <w:t xml:space="preserve"> </w:t>
      </w:r>
      <w:r w:rsidR="003C2DC3">
        <w:t>Central Bank Governors’ Meeting</w:t>
      </w:r>
    </w:p>
    <w:p w14:paraId="594583FB" w14:textId="750FB792" w:rsidR="00E479C9" w:rsidRDefault="00E479C9" w:rsidP="00E479C9">
      <w:pPr>
        <w:pStyle w:val="CILSubtitle"/>
      </w:pPr>
      <w:r>
        <w:t>Issued on 8 April 2022</w:t>
      </w:r>
    </w:p>
    <w:p w14:paraId="0B7DE781" w14:textId="5B48C736" w:rsidR="003C2DC3" w:rsidRDefault="003C2DC3" w:rsidP="00E479C9">
      <w:pPr>
        <w:pStyle w:val="ListParagraph"/>
        <w:numPr>
          <w:ilvl w:val="0"/>
          <w:numId w:val="13"/>
        </w:numPr>
      </w:pPr>
      <w:r>
        <w:t>The 8</w:t>
      </w:r>
      <w:r w:rsidRPr="00E479C9">
        <w:rPr>
          <w:vertAlign w:val="superscript"/>
        </w:rPr>
        <w:t>th</w:t>
      </w:r>
      <w:r w:rsidR="00E479C9">
        <w:t xml:space="preserve"> </w:t>
      </w:r>
      <w:r>
        <w:t>Joint Meeting of the ASEAN Finance Ministers and Central Bank Governors</w:t>
      </w:r>
      <w:r w:rsidR="00E479C9">
        <w:t xml:space="preserve"> </w:t>
      </w:r>
      <w:r>
        <w:t xml:space="preserve">(AFMGM) was convened under the co-chairmanship of H.E. Dr. </w:t>
      </w:r>
      <w:proofErr w:type="spellStart"/>
      <w:r>
        <w:t>Aun</w:t>
      </w:r>
      <w:proofErr w:type="spellEnd"/>
      <w:r>
        <w:t xml:space="preserve"> </w:t>
      </w:r>
      <w:proofErr w:type="spellStart"/>
      <w:r>
        <w:t>Pornmoniroth</w:t>
      </w:r>
      <w:proofErr w:type="spellEnd"/>
      <w:r>
        <w:t>,</w:t>
      </w:r>
      <w:r w:rsidR="00E479C9">
        <w:t xml:space="preserve"> </w:t>
      </w:r>
      <w:r>
        <w:t>Deputy Prime Minister, Minister of</w:t>
      </w:r>
      <w:r w:rsidR="00E479C9">
        <w:t xml:space="preserve"> </w:t>
      </w:r>
      <w:r>
        <w:t xml:space="preserve">Economy and Finance, and Honorable </w:t>
      </w:r>
      <w:proofErr w:type="spellStart"/>
      <w:r>
        <w:t>Chea</w:t>
      </w:r>
      <w:proofErr w:type="spellEnd"/>
      <w:r w:rsidR="00E479C9">
        <w:t xml:space="preserve"> </w:t>
      </w:r>
      <w:proofErr w:type="spellStart"/>
      <w:r>
        <w:t>Chanto</w:t>
      </w:r>
      <w:proofErr w:type="spellEnd"/>
      <w:r>
        <w:t>, Governor of the National Bank of Cambodia (NBC). For the third</w:t>
      </w:r>
      <w:r w:rsidR="00E479C9">
        <w:t xml:space="preserve"> </w:t>
      </w:r>
      <w:r>
        <w:t xml:space="preserve">consecutive year, the Meeting was held virtually due to the </w:t>
      </w:r>
      <w:r w:rsidR="00DD51FF">
        <w:br/>
      </w:r>
      <w:r>
        <w:t>COVID-19 Pandemic.</w:t>
      </w:r>
    </w:p>
    <w:p w14:paraId="7826F97B" w14:textId="77777777" w:rsidR="003C2DC3" w:rsidRDefault="003C2DC3" w:rsidP="00B77E98">
      <w:pPr>
        <w:pStyle w:val="Heading2"/>
      </w:pPr>
      <w:bookmarkStart w:id="1" w:name="_Toc107410750"/>
      <w:r>
        <w:t>ASEAN Chair 2022 Priorities</w:t>
      </w:r>
      <w:bookmarkEnd w:id="1"/>
    </w:p>
    <w:p w14:paraId="55393EAE" w14:textId="30969E52" w:rsidR="003C2DC3" w:rsidRDefault="003C2DC3" w:rsidP="005C22AD">
      <w:pPr>
        <w:pStyle w:val="ListParagraph"/>
        <w:numPr>
          <w:ilvl w:val="0"/>
          <w:numId w:val="13"/>
        </w:numPr>
      </w:pPr>
      <w:r>
        <w:t xml:space="preserve">The Meeting welcomed Cambodia’s theme of </w:t>
      </w:r>
      <w:r w:rsidRPr="005C22AD">
        <w:rPr>
          <w:b/>
          <w:bCs/>
        </w:rPr>
        <w:t>‘ASEAN A.C.T.: Addressing</w:t>
      </w:r>
      <w:r w:rsidR="00D43205" w:rsidRPr="005C22AD">
        <w:rPr>
          <w:b/>
          <w:bCs/>
        </w:rPr>
        <w:t xml:space="preserve"> </w:t>
      </w:r>
      <w:r w:rsidRPr="005C22AD">
        <w:rPr>
          <w:b/>
          <w:bCs/>
        </w:rPr>
        <w:t>Challenges Together’</w:t>
      </w:r>
      <w:r>
        <w:t xml:space="preserve"> for its Chairmanship of ASEAN in 2022. The Meeting</w:t>
      </w:r>
      <w:r w:rsidR="00D43205">
        <w:t xml:space="preserve"> </w:t>
      </w:r>
      <w:r>
        <w:t>commended the timeliness of the Chair’s theme that were anchored on four (4)</w:t>
      </w:r>
      <w:r w:rsidR="00D43205">
        <w:t xml:space="preserve"> </w:t>
      </w:r>
      <w:r>
        <w:t>key Strategic Thrust for the ASEAN Economic Community. These include (</w:t>
      </w:r>
      <w:proofErr w:type="spellStart"/>
      <w:r>
        <w:t>i</w:t>
      </w:r>
      <w:proofErr w:type="spellEnd"/>
      <w:r>
        <w:t>)</w:t>
      </w:r>
      <w:r w:rsidR="00D43205">
        <w:t xml:space="preserve"> </w:t>
      </w:r>
      <w:r>
        <w:t>Enhancing Digital Connectivity, Science and Technology, (ii) Narrowing the</w:t>
      </w:r>
      <w:r w:rsidR="00D43205">
        <w:t xml:space="preserve"> </w:t>
      </w:r>
      <w:r>
        <w:t>Development Gap for ASEAN’s Competitiveness, (iii) Promoting a more Integrated,</w:t>
      </w:r>
      <w:r w:rsidR="00D43205">
        <w:t xml:space="preserve"> </w:t>
      </w:r>
      <w:r>
        <w:t>Inclusive, Resilient and Competitive ASEAN, and (iv) Promoting Global ASEAN for</w:t>
      </w:r>
      <w:r w:rsidR="00D43205">
        <w:t xml:space="preserve"> </w:t>
      </w:r>
      <w:r>
        <w:t>Growth and Development. In this spirit, the Meeting remains steadfast in our</w:t>
      </w:r>
      <w:r w:rsidR="00D43205">
        <w:t xml:space="preserve"> </w:t>
      </w:r>
      <w:r>
        <w:t>commitment to promote financial stability and integration in the ASEAN region,</w:t>
      </w:r>
      <w:r w:rsidR="00D43205">
        <w:t xml:space="preserve"> </w:t>
      </w:r>
      <w:r>
        <w:t>amidst the uncertainties, which may hinder regional economic growth, including</w:t>
      </w:r>
      <w:r w:rsidR="00D43205">
        <w:t xml:space="preserve"> </w:t>
      </w:r>
      <w:r>
        <w:t>the COVID-19 pandemic, climate change, and other traditional and non-traditional</w:t>
      </w:r>
      <w:r w:rsidR="00D43205">
        <w:t xml:space="preserve"> </w:t>
      </w:r>
      <w:r>
        <w:t>security threats.</w:t>
      </w:r>
    </w:p>
    <w:p w14:paraId="10266FC2" w14:textId="77777777" w:rsidR="003C2DC3" w:rsidRDefault="003C2DC3" w:rsidP="00B77E98">
      <w:pPr>
        <w:pStyle w:val="Heading2"/>
      </w:pPr>
      <w:bookmarkStart w:id="2" w:name="_Toc107410751"/>
      <w:r>
        <w:t>Economic Update and Policy Challenges</w:t>
      </w:r>
      <w:bookmarkEnd w:id="2"/>
    </w:p>
    <w:p w14:paraId="5CD39D04" w14:textId="77777777" w:rsidR="005C22AD" w:rsidRDefault="003C2DC3" w:rsidP="003C2DC3">
      <w:pPr>
        <w:pStyle w:val="ListParagraph"/>
        <w:numPr>
          <w:ilvl w:val="0"/>
          <w:numId w:val="13"/>
        </w:numPr>
      </w:pPr>
      <w:r>
        <w:t>The Meeting exchanged views with the Asian Development Bank (ADB), Asian</w:t>
      </w:r>
      <w:r w:rsidR="005C22AD">
        <w:t xml:space="preserve"> </w:t>
      </w:r>
      <w:r>
        <w:t>Infrastructure Investment Bank (AIIB), ASEAN+3 Macroeconomic Research Office</w:t>
      </w:r>
      <w:r w:rsidR="005C22AD">
        <w:t xml:space="preserve"> </w:t>
      </w:r>
      <w:r>
        <w:t>(AMRO), the World Bank (WB), and the International Monetary Fund (IMF), on the</w:t>
      </w:r>
      <w:r w:rsidR="005C22AD">
        <w:t xml:space="preserve"> </w:t>
      </w:r>
      <w:r>
        <w:t>outlook for global and regional economies, the risks and opportunities, policy</w:t>
      </w:r>
      <w:r w:rsidR="005C22AD">
        <w:t xml:space="preserve"> </w:t>
      </w:r>
      <w:r>
        <w:t>challenges amidst the lingering effects of the COVID-19 pandemic particularly from</w:t>
      </w:r>
      <w:r w:rsidR="005C22AD">
        <w:t xml:space="preserve"> </w:t>
      </w:r>
      <w:r>
        <w:t>the new wave of Omicron variant, and the effects of the geopolitical developments</w:t>
      </w:r>
      <w:r w:rsidR="005C22AD">
        <w:t xml:space="preserve"> </w:t>
      </w:r>
      <w:r>
        <w:t>in Europe that caused a surge in oil and other commodity prices and its impact to</w:t>
      </w:r>
      <w:r w:rsidR="005C22AD">
        <w:t xml:space="preserve"> </w:t>
      </w:r>
      <w:r>
        <w:t>the regional post-pandemic recovery.</w:t>
      </w:r>
    </w:p>
    <w:p w14:paraId="3140F6B5" w14:textId="77777777" w:rsidR="005C22AD" w:rsidRDefault="005C22AD" w:rsidP="005C22AD">
      <w:pPr>
        <w:pStyle w:val="ListParagraph"/>
        <w:ind w:left="360"/>
      </w:pPr>
    </w:p>
    <w:p w14:paraId="105F746B" w14:textId="3D3B9146" w:rsidR="005C22AD" w:rsidRDefault="003C2DC3" w:rsidP="003C2DC3">
      <w:pPr>
        <w:pStyle w:val="ListParagraph"/>
        <w:numPr>
          <w:ilvl w:val="0"/>
          <w:numId w:val="13"/>
        </w:numPr>
      </w:pPr>
      <w:r>
        <w:t>The Meeting noted the green shoots of recovery in the region with the positive</w:t>
      </w:r>
      <w:r w:rsidR="005C22AD">
        <w:t xml:space="preserve"> </w:t>
      </w:r>
      <w:r>
        <w:t>growth of ASEAN’s Gross Domestic Product (GDP), picking up from 3% in 2021 to</w:t>
      </w:r>
      <w:r w:rsidR="005C22AD">
        <w:t xml:space="preserve"> </w:t>
      </w:r>
      <w:r>
        <w:t>4.9% projected this year, underpinned by the gradual reopening and recovery of</w:t>
      </w:r>
      <w:r w:rsidR="005C22AD">
        <w:t xml:space="preserve"> </w:t>
      </w:r>
      <w:r>
        <w:t>ASEAN Member States’ (AMS). Nevertheless, the emergence of new wave of</w:t>
      </w:r>
      <w:r w:rsidR="005C22AD">
        <w:t xml:space="preserve"> </w:t>
      </w:r>
      <w:r>
        <w:t>COVID-19 cases and the effect of escalating geopolitical tensions in Europe has</w:t>
      </w:r>
      <w:r w:rsidR="005C22AD">
        <w:t xml:space="preserve"> </w:t>
      </w:r>
      <w:r>
        <w:t>continued to pose uncertainty to the pace of recovery, accompanied by increasing</w:t>
      </w:r>
      <w:r w:rsidR="005C22AD">
        <w:t xml:space="preserve"> </w:t>
      </w:r>
      <w:r>
        <w:t>financial market uncertainty.</w:t>
      </w:r>
    </w:p>
    <w:p w14:paraId="1C3FF745" w14:textId="77777777" w:rsidR="005C22AD" w:rsidRDefault="005C22AD" w:rsidP="005C22AD">
      <w:pPr>
        <w:pStyle w:val="ListParagraph"/>
        <w:ind w:left="360"/>
      </w:pPr>
    </w:p>
    <w:p w14:paraId="1963A046" w14:textId="579229EC" w:rsidR="003C2DC3" w:rsidRDefault="003C2DC3" w:rsidP="005C22AD">
      <w:pPr>
        <w:pStyle w:val="ListParagraph"/>
        <w:numPr>
          <w:ilvl w:val="0"/>
          <w:numId w:val="13"/>
        </w:numPr>
      </w:pPr>
      <w:r>
        <w:t>The Meeting commended the efforts of the AMS and the importance of their</w:t>
      </w:r>
      <w:r w:rsidR="005C22AD">
        <w:t xml:space="preserve"> </w:t>
      </w:r>
      <w:r>
        <w:t>targeted and comprehensive policies that were critical in managing over the</w:t>
      </w:r>
      <w:r w:rsidR="005C22AD">
        <w:t xml:space="preserve"> </w:t>
      </w:r>
      <w:r>
        <w:t xml:space="preserve">adverse effects of the health and economic crises. As ASEAN moves to seize the momentum of recovery, the Meeting </w:t>
      </w:r>
      <w:proofErr w:type="spellStart"/>
      <w:r>
        <w:t>recognised</w:t>
      </w:r>
      <w:proofErr w:type="spellEnd"/>
      <w:r>
        <w:t xml:space="preserve"> that the roll-out of vaccination</w:t>
      </w:r>
      <w:r w:rsidR="005C22AD">
        <w:t xml:space="preserve"> </w:t>
      </w:r>
      <w:r>
        <w:t>remains one of the top priorities, while timely fiscal and monetary policy response</w:t>
      </w:r>
      <w:r w:rsidR="005C22AD">
        <w:t xml:space="preserve"> </w:t>
      </w:r>
      <w:r>
        <w:t>are still necessary to strengthen our fragile economic recovery. The Meeting</w:t>
      </w:r>
      <w:r w:rsidR="005C22AD">
        <w:t xml:space="preserve"> </w:t>
      </w:r>
      <w:r>
        <w:t>reaffirmed its commitment to strengthen cooperation to overcome the threats and</w:t>
      </w:r>
      <w:r w:rsidR="005C22AD">
        <w:t xml:space="preserve"> </w:t>
      </w:r>
      <w:r>
        <w:t>pressing challenges to growth and inflation, including from COVID-19 pandemic,</w:t>
      </w:r>
      <w:r w:rsidR="005C22AD">
        <w:t xml:space="preserve"> </w:t>
      </w:r>
      <w:r>
        <w:t xml:space="preserve">climate change, </w:t>
      </w:r>
      <w:r w:rsidR="00013030">
        <w:br/>
      </w:r>
      <w:r>
        <w:t>geo-political tensions and digital transformation.</w:t>
      </w:r>
    </w:p>
    <w:p w14:paraId="43A54AC3" w14:textId="15A690E9" w:rsidR="005C22AD" w:rsidRDefault="005C22AD" w:rsidP="005C22AD">
      <w:pPr>
        <w:pStyle w:val="ListParagraph"/>
        <w:ind w:left="360"/>
      </w:pPr>
    </w:p>
    <w:p w14:paraId="3211FDC8" w14:textId="77777777" w:rsidR="00581F2F" w:rsidRDefault="00581F2F" w:rsidP="005C22AD">
      <w:pPr>
        <w:pStyle w:val="ListParagraph"/>
        <w:ind w:left="360"/>
      </w:pPr>
    </w:p>
    <w:p w14:paraId="3807DDA7" w14:textId="77777777" w:rsidR="005C22AD" w:rsidRDefault="003C2DC3" w:rsidP="003C2DC3">
      <w:pPr>
        <w:pStyle w:val="ListParagraph"/>
        <w:numPr>
          <w:ilvl w:val="0"/>
          <w:numId w:val="13"/>
        </w:numPr>
      </w:pPr>
      <w:r>
        <w:lastRenderedPageBreak/>
        <w:t>At the same time, the Meeting remains vigilant in monitoring the downside risks</w:t>
      </w:r>
      <w:r w:rsidR="005C22AD">
        <w:t xml:space="preserve"> </w:t>
      </w:r>
      <w:r>
        <w:t>and will be ready to use all the available policy tools and a wide range of measures</w:t>
      </w:r>
      <w:r w:rsidR="005C22AD">
        <w:t xml:space="preserve"> </w:t>
      </w:r>
      <w:r>
        <w:t>to ensure an inclusive, sustainable, and resilient recovery and maintain financial</w:t>
      </w:r>
      <w:r w:rsidR="005C22AD">
        <w:t xml:space="preserve"> </w:t>
      </w:r>
      <w:r>
        <w:t xml:space="preserve">stability in the region. The Meeting will cautiously and gradually </w:t>
      </w:r>
      <w:proofErr w:type="spellStart"/>
      <w:r>
        <w:t>normalise</w:t>
      </w:r>
      <w:proofErr w:type="spellEnd"/>
      <w:r>
        <w:t xml:space="preserve"> the</w:t>
      </w:r>
      <w:r w:rsidR="005C22AD">
        <w:t xml:space="preserve"> </w:t>
      </w:r>
      <w:r>
        <w:t>expansionary policy measures, while mitigating the risks to safeguard the recovery</w:t>
      </w:r>
      <w:r w:rsidR="005C22AD">
        <w:t xml:space="preserve"> </w:t>
      </w:r>
      <w:r>
        <w:t>process.</w:t>
      </w:r>
    </w:p>
    <w:p w14:paraId="20CF3160" w14:textId="77777777" w:rsidR="005C22AD" w:rsidRDefault="005C22AD" w:rsidP="005C22AD">
      <w:pPr>
        <w:pStyle w:val="ListParagraph"/>
      </w:pPr>
    </w:p>
    <w:p w14:paraId="74333F36" w14:textId="7AA7BC17" w:rsidR="003C2DC3" w:rsidRDefault="003C2DC3" w:rsidP="0076771A">
      <w:pPr>
        <w:pStyle w:val="ListParagraph"/>
        <w:numPr>
          <w:ilvl w:val="0"/>
          <w:numId w:val="13"/>
        </w:numPr>
      </w:pPr>
      <w:r>
        <w:t>The Meeting continues to deepen our collaboration with AMRO in regional</w:t>
      </w:r>
      <w:r w:rsidR="005C22AD">
        <w:t xml:space="preserve"> </w:t>
      </w:r>
      <w:r>
        <w:t>economic and financial research and surveillance, capacity building and data and</w:t>
      </w:r>
      <w:r w:rsidR="005C22AD">
        <w:t xml:space="preserve"> </w:t>
      </w:r>
      <w:r>
        <w:t>information sharing through our forthcoming ASEAN Secretariat-AMRO</w:t>
      </w:r>
      <w:r w:rsidR="005C22AD">
        <w:t xml:space="preserve"> </w:t>
      </w:r>
      <w:r>
        <w:t>Cooperation on Financial Integration.</w:t>
      </w:r>
    </w:p>
    <w:p w14:paraId="6D0CF0B4" w14:textId="77777777" w:rsidR="003C2DC3" w:rsidRDefault="003C2DC3" w:rsidP="00B77E98">
      <w:pPr>
        <w:pStyle w:val="Heading2"/>
      </w:pPr>
      <w:bookmarkStart w:id="3" w:name="_Toc107410752"/>
      <w:r>
        <w:t>Financial Integration and Liberalisation</w:t>
      </w:r>
      <w:bookmarkEnd w:id="3"/>
    </w:p>
    <w:p w14:paraId="2012DD81" w14:textId="080023CD" w:rsidR="00E42AAA" w:rsidRDefault="003C2DC3" w:rsidP="00BC78F2">
      <w:pPr>
        <w:pStyle w:val="ListParagraph"/>
        <w:numPr>
          <w:ilvl w:val="0"/>
          <w:numId w:val="13"/>
        </w:numPr>
      </w:pPr>
      <w:r>
        <w:t xml:space="preserve">The Meeting welcomed the notable progress in financial services </w:t>
      </w:r>
      <w:r w:rsidR="00C92593">
        <w:t xml:space="preserve">liberalization </w:t>
      </w:r>
      <w:r>
        <w:t>initiatives, including the ongoing negotiations on the upgrade of the Annex on</w:t>
      </w:r>
      <w:r w:rsidR="00C92593">
        <w:t xml:space="preserve"> </w:t>
      </w:r>
      <w:r>
        <w:t xml:space="preserve">Financial Services of the </w:t>
      </w:r>
      <w:r w:rsidR="00B359BE">
        <w:br/>
      </w:r>
      <w:r>
        <w:t>ASEAN-Australia-New Zealand Free Trade Agreement</w:t>
      </w:r>
      <w:r w:rsidR="00C92593">
        <w:t xml:space="preserve"> </w:t>
      </w:r>
      <w:r>
        <w:t xml:space="preserve">(AANZFTA). The Meeting </w:t>
      </w:r>
      <w:proofErr w:type="spellStart"/>
      <w:r>
        <w:t>recognises</w:t>
      </w:r>
      <w:proofErr w:type="spellEnd"/>
      <w:r>
        <w:t xml:space="preserve"> the potential contribution of the AANZFTA not</w:t>
      </w:r>
      <w:r w:rsidR="00C92593">
        <w:t xml:space="preserve"> </w:t>
      </w:r>
      <w:r>
        <w:t>only to our regional integration, but more significantly to our post-pandemic</w:t>
      </w:r>
      <w:r w:rsidR="00C92593">
        <w:t xml:space="preserve"> </w:t>
      </w:r>
      <w:r>
        <w:t>recovery.</w:t>
      </w:r>
    </w:p>
    <w:p w14:paraId="3ABF1069" w14:textId="77777777" w:rsidR="00E42AAA" w:rsidRDefault="00E42AAA" w:rsidP="00E42AAA">
      <w:pPr>
        <w:pStyle w:val="ListParagraph"/>
        <w:ind w:left="360"/>
      </w:pPr>
    </w:p>
    <w:p w14:paraId="3EB861F1" w14:textId="18FDD3CE" w:rsidR="00E42AAA" w:rsidRDefault="00E42AAA" w:rsidP="003C2DC3">
      <w:pPr>
        <w:pStyle w:val="ListParagraph"/>
        <w:numPr>
          <w:ilvl w:val="0"/>
          <w:numId w:val="13"/>
        </w:numPr>
      </w:pPr>
      <w:r>
        <w:t>T</w:t>
      </w:r>
      <w:r w:rsidR="003C2DC3">
        <w:t>he Meeting encouraged our finance officials to expedite efforts to foster financial</w:t>
      </w:r>
      <w:r>
        <w:t xml:space="preserve"> </w:t>
      </w:r>
      <w:r w:rsidR="003C2DC3">
        <w:t xml:space="preserve">services </w:t>
      </w:r>
      <w:proofErr w:type="spellStart"/>
      <w:r w:rsidR="003C2DC3">
        <w:t>liberalisation</w:t>
      </w:r>
      <w:proofErr w:type="spellEnd"/>
      <w:r w:rsidR="003C2DC3">
        <w:t xml:space="preserve"> in the region, particularly in (a) completing the signing of</w:t>
      </w:r>
      <w:r>
        <w:t xml:space="preserve"> </w:t>
      </w:r>
      <w:r w:rsidR="003C2DC3">
        <w:t>ASEAN Framework Agreement on Services (AFAS) Package 9 Protocol at an</w:t>
      </w:r>
      <w:r>
        <w:t xml:space="preserve"> </w:t>
      </w:r>
      <w:r w:rsidR="003C2DC3">
        <w:t>appropriate time; (b) transitioning from the AFAS to ASEAN Trade in Services</w:t>
      </w:r>
      <w:r>
        <w:t xml:space="preserve"> </w:t>
      </w:r>
      <w:r w:rsidR="003C2DC3">
        <w:t>Agreement (ATISA) Non-Conforming Measures (NCMs) with the agreed workplan;</w:t>
      </w:r>
      <w:r>
        <w:t xml:space="preserve"> </w:t>
      </w:r>
      <w:r w:rsidR="003C2DC3">
        <w:t xml:space="preserve">(c) commencing the financial services negotiations on the </w:t>
      </w:r>
      <w:r w:rsidR="00590C61">
        <w:br/>
      </w:r>
      <w:r w:rsidR="003C2DC3">
        <w:t>ASEAN-Canada FTA as</w:t>
      </w:r>
      <w:r>
        <w:t xml:space="preserve"> </w:t>
      </w:r>
      <w:r w:rsidR="003C2DC3">
        <w:t>well as (d) upgrading the AANZFTA, including incorporating elements that would</w:t>
      </w:r>
      <w:r>
        <w:t xml:space="preserve"> </w:t>
      </w:r>
      <w:r w:rsidR="003C2DC3">
        <w:t xml:space="preserve">help ensure the resilience of financial stability, promote </w:t>
      </w:r>
      <w:proofErr w:type="spellStart"/>
      <w:r w:rsidR="003C2DC3">
        <w:t>digitalisation</w:t>
      </w:r>
      <w:proofErr w:type="spellEnd"/>
      <w:r w:rsidR="003C2DC3">
        <w:t>, and</w:t>
      </w:r>
      <w:r>
        <w:t xml:space="preserve"> </w:t>
      </w:r>
      <w:r w:rsidR="003C2DC3">
        <w:t>generate new and financially meaningful opportunities to the financial sector.</w:t>
      </w:r>
    </w:p>
    <w:p w14:paraId="42921DE9" w14:textId="77777777" w:rsidR="00E42AAA" w:rsidRDefault="00E42AAA" w:rsidP="00E42AAA">
      <w:pPr>
        <w:pStyle w:val="ListParagraph"/>
      </w:pPr>
    </w:p>
    <w:p w14:paraId="31918F34" w14:textId="77777777" w:rsidR="00E42AAA" w:rsidRDefault="003C2DC3" w:rsidP="00841FF6">
      <w:pPr>
        <w:pStyle w:val="ListParagraph"/>
        <w:numPr>
          <w:ilvl w:val="0"/>
          <w:numId w:val="13"/>
        </w:numPr>
      </w:pPr>
      <w:r>
        <w:t>The Meeting also acknowledged the two capacity building activities to support the</w:t>
      </w:r>
      <w:r w:rsidR="00E42AAA">
        <w:t xml:space="preserve"> </w:t>
      </w:r>
      <w:r>
        <w:t xml:space="preserve">work under the Working Committee on Financial Services </w:t>
      </w:r>
      <w:proofErr w:type="spellStart"/>
      <w:r>
        <w:t>Liberalisation</w:t>
      </w:r>
      <w:proofErr w:type="spellEnd"/>
      <w:r>
        <w:t xml:space="preserve"> (WC-FSL)</w:t>
      </w:r>
      <w:r w:rsidR="00E42AAA">
        <w:t xml:space="preserve"> </w:t>
      </w:r>
      <w:r>
        <w:t>namely (</w:t>
      </w:r>
      <w:proofErr w:type="spellStart"/>
      <w:r>
        <w:t>i</w:t>
      </w:r>
      <w:proofErr w:type="spellEnd"/>
      <w:r>
        <w:t>) Investor State Dispute Settlement on Financial Services (ISDS-FS); and</w:t>
      </w:r>
      <w:r w:rsidR="00E42AAA">
        <w:t xml:space="preserve"> </w:t>
      </w:r>
      <w:r>
        <w:t>(ii) Marine, Aviation and Goods in Transport (MAT) Insurance to further strengthen</w:t>
      </w:r>
      <w:r w:rsidR="00E42AAA">
        <w:t xml:space="preserve"> </w:t>
      </w:r>
      <w:r>
        <w:t>our competencies in engaging with our Dialogue Partners.</w:t>
      </w:r>
    </w:p>
    <w:p w14:paraId="382F8825" w14:textId="77777777" w:rsidR="00E42AAA" w:rsidRDefault="00E42AAA" w:rsidP="00E42AAA">
      <w:pPr>
        <w:pStyle w:val="ListParagraph"/>
      </w:pPr>
    </w:p>
    <w:p w14:paraId="63D6638A" w14:textId="77777777" w:rsidR="00E42AAA" w:rsidRDefault="003C2DC3" w:rsidP="003C2DC3">
      <w:pPr>
        <w:pStyle w:val="ListParagraph"/>
        <w:numPr>
          <w:ilvl w:val="0"/>
          <w:numId w:val="13"/>
        </w:numPr>
      </w:pPr>
      <w:r>
        <w:t>The Meeting welcomed the completion of the study on AMS’ Financial Landscape</w:t>
      </w:r>
      <w:r w:rsidR="00E42AAA">
        <w:t xml:space="preserve"> </w:t>
      </w:r>
      <w:r>
        <w:t>Toward Furthering ASEAN Banking Integration in the Digital Era which provides</w:t>
      </w:r>
      <w:r w:rsidR="00E42AAA">
        <w:t xml:space="preserve"> </w:t>
      </w:r>
      <w:r>
        <w:t>recommendations to the Working Committee on ASEAN Banking Integration</w:t>
      </w:r>
      <w:r w:rsidR="00E42AAA">
        <w:t xml:space="preserve"> </w:t>
      </w:r>
      <w:r>
        <w:t xml:space="preserve">Framework (WC-ABIF) to </w:t>
      </w:r>
      <w:proofErr w:type="spellStart"/>
      <w:r>
        <w:t>maximise</w:t>
      </w:r>
      <w:proofErr w:type="spellEnd"/>
      <w:r>
        <w:t xml:space="preserve"> benefits of financial </w:t>
      </w:r>
      <w:proofErr w:type="spellStart"/>
      <w:r>
        <w:t>digitalisation</w:t>
      </w:r>
      <w:proofErr w:type="spellEnd"/>
      <w:r>
        <w:t xml:space="preserve"> while </w:t>
      </w:r>
      <w:proofErr w:type="spellStart"/>
      <w:r>
        <w:t>minimising</w:t>
      </w:r>
      <w:proofErr w:type="spellEnd"/>
      <w:r>
        <w:t xml:space="preserve"> associated risks by further assessing the impact of </w:t>
      </w:r>
      <w:proofErr w:type="spellStart"/>
      <w:r>
        <w:t>digitalisation</w:t>
      </w:r>
      <w:proofErr w:type="spellEnd"/>
      <w:r>
        <w:t xml:space="preserve"> on the</w:t>
      </w:r>
      <w:r w:rsidR="00E42AAA">
        <w:t xml:space="preserve"> </w:t>
      </w:r>
      <w:r>
        <w:t>financial sector and how the current ABIF Guidelines and related frameworks can</w:t>
      </w:r>
      <w:r w:rsidR="00E42AAA">
        <w:t xml:space="preserve"> </w:t>
      </w:r>
      <w:r>
        <w:t>adapt to the new landscape.</w:t>
      </w:r>
    </w:p>
    <w:p w14:paraId="32B597D9" w14:textId="77777777" w:rsidR="00E42AAA" w:rsidRDefault="00E42AAA" w:rsidP="00E42AAA">
      <w:pPr>
        <w:pStyle w:val="ListParagraph"/>
      </w:pPr>
    </w:p>
    <w:p w14:paraId="4692AB5A" w14:textId="60DA71D1" w:rsidR="003C2DC3" w:rsidRDefault="003C2DC3" w:rsidP="003C2DC3">
      <w:pPr>
        <w:pStyle w:val="ListParagraph"/>
        <w:numPr>
          <w:ilvl w:val="0"/>
          <w:numId w:val="13"/>
        </w:numPr>
      </w:pPr>
      <w:r>
        <w:t>The Meeting acknowledged the significant progress of the ASEAN Capital Market</w:t>
      </w:r>
      <w:r w:rsidR="00E42AAA">
        <w:t xml:space="preserve"> </w:t>
      </w:r>
      <w:r>
        <w:t>Forum’s (ACMF) implementation of its ACMF Action Plan 2021-2025, particularly</w:t>
      </w:r>
      <w:r w:rsidR="00E42AAA">
        <w:t xml:space="preserve"> </w:t>
      </w:r>
      <w:r>
        <w:t xml:space="preserve">on its Phase 2 Action Plan </w:t>
      </w:r>
      <w:r w:rsidR="00EC299E">
        <w:br/>
      </w:r>
      <w:r>
        <w:t>2021-2025 that includes: (</w:t>
      </w:r>
      <w:proofErr w:type="spellStart"/>
      <w:r>
        <w:t>i</w:t>
      </w:r>
      <w:proofErr w:type="spellEnd"/>
      <w:r>
        <w:t>) driving higher levels of</w:t>
      </w:r>
      <w:r w:rsidR="00E42AAA">
        <w:t xml:space="preserve"> </w:t>
      </w:r>
      <w:r>
        <w:t>transparency and disclosure, (ii). Continuing with regulatory harmonization, (iii).</w:t>
      </w:r>
      <w:r w:rsidR="00E42AAA">
        <w:t xml:space="preserve"> </w:t>
      </w:r>
      <w:r>
        <w:t>Intensifying capacity building, (iv). Amplifying communication and building</w:t>
      </w:r>
      <w:r w:rsidR="00E42AAA">
        <w:t xml:space="preserve"> </w:t>
      </w:r>
      <w:r>
        <w:t>awareness (v). Strengthening cooperation and coordination. The Meeting</w:t>
      </w:r>
      <w:r w:rsidR="00E42AAA">
        <w:t xml:space="preserve"> </w:t>
      </w:r>
      <w:r>
        <w:t>welcomed the effort of ACMF to develop the ASEAN Collective Investment Scheme</w:t>
      </w:r>
      <w:r w:rsidR="00E42AAA">
        <w:t xml:space="preserve"> </w:t>
      </w:r>
      <w:r>
        <w:t>(ASEAN CIS) Digital Repository which will become a platform to promote and</w:t>
      </w:r>
      <w:r w:rsidR="00E42AAA">
        <w:t xml:space="preserve"> </w:t>
      </w:r>
      <w:r>
        <w:t>publicize cross-border offerings of funds in ASEAN. The Meeting also noted the</w:t>
      </w:r>
      <w:r w:rsidR="00E42AAA">
        <w:t xml:space="preserve"> </w:t>
      </w:r>
      <w:r>
        <w:t>continued development of the ASEAN Corporate Governance Scorecard and look</w:t>
      </w:r>
      <w:r w:rsidR="00E42AAA">
        <w:t xml:space="preserve"> </w:t>
      </w:r>
      <w:r>
        <w:t>forward to the ASEAN Corporate Governance Awarding Ceremony in September</w:t>
      </w:r>
      <w:r w:rsidR="00E42AAA">
        <w:t xml:space="preserve"> </w:t>
      </w:r>
      <w:r>
        <w:t>2022.</w:t>
      </w:r>
    </w:p>
    <w:p w14:paraId="290EA2CC" w14:textId="77777777" w:rsidR="00DE583D" w:rsidRDefault="00DE583D" w:rsidP="00DE583D">
      <w:pPr>
        <w:pStyle w:val="ListParagraph"/>
      </w:pPr>
    </w:p>
    <w:p w14:paraId="374D3C4A" w14:textId="77777777" w:rsidR="00DE583D" w:rsidRDefault="00DE583D" w:rsidP="00DE583D">
      <w:pPr>
        <w:pStyle w:val="ListParagraph"/>
        <w:ind w:left="360"/>
      </w:pPr>
    </w:p>
    <w:p w14:paraId="03C485DF" w14:textId="77777777" w:rsidR="003C2DC3" w:rsidRDefault="003C2DC3" w:rsidP="00B77E98">
      <w:pPr>
        <w:pStyle w:val="Heading2"/>
      </w:pPr>
      <w:bookmarkStart w:id="4" w:name="_Toc107410753"/>
      <w:r>
        <w:lastRenderedPageBreak/>
        <w:t>Trade and Investment Facilitation</w:t>
      </w:r>
      <w:bookmarkEnd w:id="4"/>
    </w:p>
    <w:p w14:paraId="252E37B7" w14:textId="77777777" w:rsidR="00F15CA3" w:rsidRDefault="003C2DC3" w:rsidP="003C2DC3">
      <w:pPr>
        <w:pStyle w:val="ListParagraph"/>
        <w:numPr>
          <w:ilvl w:val="0"/>
          <w:numId w:val="13"/>
        </w:numPr>
      </w:pPr>
      <w:r>
        <w:t xml:space="preserve">The Meeting commended the Working Committee on Capital Account </w:t>
      </w:r>
      <w:proofErr w:type="spellStart"/>
      <w:r>
        <w:t>Liberalisation</w:t>
      </w:r>
      <w:proofErr w:type="spellEnd"/>
      <w:r w:rsidR="00E42AAA">
        <w:t xml:space="preserve"> </w:t>
      </w:r>
      <w:r>
        <w:t>(WC-CAL) for the good progress in strengthening policy dialogue and information</w:t>
      </w:r>
      <w:r w:rsidR="00E42AAA">
        <w:t xml:space="preserve"> </w:t>
      </w:r>
      <w:r>
        <w:t>exchange mechanism on capital flows statistics and measures among AMS. The</w:t>
      </w:r>
      <w:r w:rsidR="00E42AAA">
        <w:t xml:space="preserve"> </w:t>
      </w:r>
      <w:r>
        <w:t>Meeting also noted the completion of the ASEAN WC-CAL Policy Note on Capital</w:t>
      </w:r>
      <w:r w:rsidR="00E42AAA">
        <w:t xml:space="preserve"> </w:t>
      </w:r>
      <w:r>
        <w:t>Account Safeguard Measures Recent Experiences, which was conveyed to the IMF</w:t>
      </w:r>
      <w:r w:rsidR="00E42AAA">
        <w:t xml:space="preserve"> </w:t>
      </w:r>
      <w:r>
        <w:t>as input to its ongoing work on the Integrated Policy Framework (IPF). Additionally,</w:t>
      </w:r>
      <w:r w:rsidR="00E42AAA">
        <w:t xml:space="preserve"> </w:t>
      </w:r>
      <w:r>
        <w:t xml:space="preserve">the Meeting looks forward to the </w:t>
      </w:r>
      <w:proofErr w:type="spellStart"/>
      <w:r>
        <w:t>stocktake</w:t>
      </w:r>
      <w:proofErr w:type="spellEnd"/>
      <w:r>
        <w:t xml:space="preserve"> of AMS’ sustainable finance</w:t>
      </w:r>
      <w:r w:rsidR="00E42AAA">
        <w:t xml:space="preserve"> </w:t>
      </w:r>
      <w:r>
        <w:t>development policies and initiatives to promote capital flows and investments for</w:t>
      </w:r>
      <w:r w:rsidR="00E42AAA">
        <w:t xml:space="preserve"> </w:t>
      </w:r>
      <w:r>
        <w:t>sustainable finance-related activities domestically and within ASEAN.</w:t>
      </w:r>
    </w:p>
    <w:p w14:paraId="47512E85" w14:textId="77777777" w:rsidR="00F15CA3" w:rsidRDefault="00F15CA3" w:rsidP="00F15CA3">
      <w:pPr>
        <w:pStyle w:val="ListParagraph"/>
        <w:ind w:left="360"/>
      </w:pPr>
    </w:p>
    <w:p w14:paraId="18D50AFF" w14:textId="77777777" w:rsidR="00F15CA3" w:rsidRDefault="003C2DC3" w:rsidP="003C2DC3">
      <w:pPr>
        <w:pStyle w:val="ListParagraph"/>
        <w:numPr>
          <w:ilvl w:val="0"/>
          <w:numId w:val="13"/>
        </w:numPr>
      </w:pPr>
      <w:r>
        <w:t>The Meeting welcomed the progress of the ASEAN Forum on Taxation (AFT)’s</w:t>
      </w:r>
      <w:r w:rsidR="00E42AAA">
        <w:t xml:space="preserve"> </w:t>
      </w:r>
      <w:r>
        <w:t>initiative on the network of bilateral avoidance of double taxation agreements</w:t>
      </w:r>
      <w:r w:rsidR="00E42AAA">
        <w:t xml:space="preserve"> </w:t>
      </w:r>
      <w:r>
        <w:t>(DTAs) with an additional signing between Brunei Darussalam and Philippines, as</w:t>
      </w:r>
      <w:r w:rsidR="00E42AAA">
        <w:t xml:space="preserve"> </w:t>
      </w:r>
      <w:r>
        <w:t>well as ratification of two (2) DTAs between Cambodia and Malaysia, and</w:t>
      </w:r>
      <w:r w:rsidR="00E42AAA">
        <w:t xml:space="preserve"> </w:t>
      </w:r>
      <w:r>
        <w:t>Cambodia and Indonesia, bringing the signed and ratified DTAs to 72. The Meeting</w:t>
      </w:r>
      <w:r w:rsidR="00E42AAA">
        <w:t xml:space="preserve"> </w:t>
      </w:r>
      <w:r>
        <w:t>also commended Malaysia for completing all the DTAs with AMS. The Meeting</w:t>
      </w:r>
      <w:r w:rsidR="00E42AAA">
        <w:t xml:space="preserve"> </w:t>
      </w:r>
      <w:r>
        <w:t>encourages the AFT to work towards the completion and improvement of the</w:t>
      </w:r>
      <w:r w:rsidR="00E42AAA">
        <w:t xml:space="preserve"> </w:t>
      </w:r>
      <w:r>
        <w:t>bilateral DTA networks among AMS, under the Strategic Action Plan 2016-2025 for</w:t>
      </w:r>
      <w:r w:rsidR="00E42AAA">
        <w:t xml:space="preserve"> </w:t>
      </w:r>
      <w:r>
        <w:t>taxation cooperation. In addition, the Meeting encourages the remaining AMS to</w:t>
      </w:r>
      <w:r w:rsidR="00E42AAA">
        <w:t xml:space="preserve"> </w:t>
      </w:r>
      <w:r>
        <w:t>consider joining the Global Forum on Transparency and Exchange of Information</w:t>
      </w:r>
      <w:r w:rsidR="00E42AAA">
        <w:t xml:space="preserve"> </w:t>
      </w:r>
      <w:r>
        <w:t>for Tax Purposes and the Inclusive Framework on Base Erosion and Profit shifting,</w:t>
      </w:r>
      <w:r w:rsidR="00E42AAA">
        <w:t xml:space="preserve"> </w:t>
      </w:r>
      <w:r>
        <w:t>and implement the internationally agreed standards. The Meeting also encourage</w:t>
      </w:r>
      <w:r w:rsidR="00E42AAA">
        <w:t xml:space="preserve"> </w:t>
      </w:r>
      <w:r>
        <w:t xml:space="preserve">the AFT to study the </w:t>
      </w:r>
      <w:proofErr w:type="spellStart"/>
      <w:r>
        <w:t>utilisation</w:t>
      </w:r>
      <w:proofErr w:type="spellEnd"/>
      <w:r>
        <w:t xml:space="preserve"> of </w:t>
      </w:r>
      <w:proofErr w:type="spellStart"/>
      <w:r>
        <w:t>digitalisation</w:t>
      </w:r>
      <w:proofErr w:type="spellEnd"/>
      <w:r>
        <w:t xml:space="preserve"> as a means to increase the</w:t>
      </w:r>
      <w:r w:rsidR="00E42AAA">
        <w:t xml:space="preserve"> </w:t>
      </w:r>
      <w:r>
        <w:t>efficiency of revenue collection.</w:t>
      </w:r>
    </w:p>
    <w:p w14:paraId="401396E7" w14:textId="77777777" w:rsidR="00F15CA3" w:rsidRDefault="00F15CA3" w:rsidP="00F15CA3">
      <w:pPr>
        <w:pStyle w:val="ListParagraph"/>
      </w:pPr>
    </w:p>
    <w:p w14:paraId="1B06F1F0" w14:textId="047F8F98" w:rsidR="002702D2" w:rsidRDefault="003C2DC3" w:rsidP="00DE1826">
      <w:pPr>
        <w:pStyle w:val="ListParagraph"/>
        <w:numPr>
          <w:ilvl w:val="0"/>
          <w:numId w:val="13"/>
        </w:numPr>
      </w:pPr>
      <w:r>
        <w:t>The Meeting took note of the ASEAN Withholding Tax (WHT) Study’s</w:t>
      </w:r>
      <w:r w:rsidR="00E42AAA">
        <w:t xml:space="preserve"> </w:t>
      </w:r>
      <w:r>
        <w:t>recommendation to make WHT information and documentation available to</w:t>
      </w:r>
      <w:r w:rsidR="00E42AAA">
        <w:t xml:space="preserve"> </w:t>
      </w:r>
      <w:r>
        <w:t>taxpayers in electronic format accessible from a single portal, and the ASEAN</w:t>
      </w:r>
      <w:r w:rsidR="00E42AAA">
        <w:t xml:space="preserve"> </w:t>
      </w:r>
      <w:r>
        <w:t xml:space="preserve">initiative for such information, alongside the </w:t>
      </w:r>
      <w:proofErr w:type="spellStart"/>
      <w:r>
        <w:t>Standardised</w:t>
      </w:r>
      <w:proofErr w:type="spellEnd"/>
      <w:r>
        <w:t xml:space="preserve"> Certificate of Residence (</w:t>
      </w:r>
      <w:proofErr w:type="spellStart"/>
      <w:r>
        <w:t>CoR</w:t>
      </w:r>
      <w:proofErr w:type="spellEnd"/>
      <w:r>
        <w:t xml:space="preserve">) in ASEAN to be available in a </w:t>
      </w:r>
      <w:proofErr w:type="spellStart"/>
      <w:r>
        <w:t>centralised</w:t>
      </w:r>
      <w:proofErr w:type="spellEnd"/>
      <w:r>
        <w:t xml:space="preserve"> portal on the ASEAN Finance</w:t>
      </w:r>
      <w:r w:rsidR="00E42AAA">
        <w:t xml:space="preserve"> </w:t>
      </w:r>
      <w:r>
        <w:t>Cooperation Web Portal (AFCWP). The Meeting encouraged the AFT to further</w:t>
      </w:r>
      <w:r w:rsidR="00E42AAA">
        <w:t xml:space="preserve"> </w:t>
      </w:r>
      <w:r>
        <w:t xml:space="preserve">enhance these </w:t>
      </w:r>
      <w:proofErr w:type="spellStart"/>
      <w:r>
        <w:t>informations</w:t>
      </w:r>
      <w:proofErr w:type="spellEnd"/>
      <w:r>
        <w:t xml:space="preserve"> in the portal where appropriate to further facilitate the</w:t>
      </w:r>
      <w:r w:rsidR="00E42AAA">
        <w:t xml:space="preserve"> </w:t>
      </w:r>
      <w:r>
        <w:t xml:space="preserve">administrative efficiency of </w:t>
      </w:r>
      <w:r w:rsidR="00861804">
        <w:br/>
      </w:r>
      <w:r>
        <w:t>cross-border transactions, as well as promoting</w:t>
      </w:r>
      <w:r w:rsidR="00E42AAA">
        <w:t xml:space="preserve"> </w:t>
      </w:r>
      <w:r>
        <w:t>regional competitiveness in ASEAN. The Meeting looks forward to the AFT further</w:t>
      </w:r>
      <w:r w:rsidR="00E42AAA">
        <w:t xml:space="preserve"> </w:t>
      </w:r>
      <w:r>
        <w:t>discussing and developing an Action Plan on the other recommendations of the</w:t>
      </w:r>
      <w:r w:rsidR="00E42AAA">
        <w:t xml:space="preserve"> </w:t>
      </w:r>
      <w:r>
        <w:t>ASEAN WHT Study.</w:t>
      </w:r>
    </w:p>
    <w:p w14:paraId="747C466C" w14:textId="77777777" w:rsidR="002702D2" w:rsidRDefault="002702D2" w:rsidP="002702D2">
      <w:pPr>
        <w:pStyle w:val="ListParagraph"/>
      </w:pPr>
    </w:p>
    <w:p w14:paraId="65568035" w14:textId="6306A6D2" w:rsidR="002702D2" w:rsidRDefault="003C2DC3" w:rsidP="003C2DC3">
      <w:pPr>
        <w:pStyle w:val="ListParagraph"/>
        <w:numPr>
          <w:ilvl w:val="0"/>
          <w:numId w:val="13"/>
        </w:numPr>
      </w:pPr>
      <w:r>
        <w:t>The Meeting is also pleased with the ASEAN Customs continued progress in their</w:t>
      </w:r>
      <w:r w:rsidR="00F15CA3">
        <w:t xml:space="preserve"> </w:t>
      </w:r>
      <w:r>
        <w:t xml:space="preserve">implementation of the Strategic Plans of Customs Development (SPCDs) 2021-2025 </w:t>
      </w:r>
      <w:proofErr w:type="spellStart"/>
      <w:r>
        <w:t>programme</w:t>
      </w:r>
      <w:proofErr w:type="spellEnd"/>
      <w:r>
        <w:t xml:space="preserve"> and initiatives particularly towards the </w:t>
      </w:r>
      <w:proofErr w:type="spellStart"/>
      <w:r>
        <w:t>realisation</w:t>
      </w:r>
      <w:proofErr w:type="spellEnd"/>
      <w:r>
        <w:t xml:space="preserve"> of the first</w:t>
      </w:r>
      <w:r w:rsidR="00F15CA3">
        <w:t xml:space="preserve"> </w:t>
      </w:r>
      <w:r>
        <w:t>characteristic identified in ASEAN Economic Community Blueprint 2025 that</w:t>
      </w:r>
      <w:r w:rsidR="00F15CA3">
        <w:t xml:space="preserve"> </w:t>
      </w:r>
      <w:r>
        <w:t>includes the (</w:t>
      </w:r>
      <w:proofErr w:type="spellStart"/>
      <w:r>
        <w:t>i</w:t>
      </w:r>
      <w:proofErr w:type="spellEnd"/>
      <w:r>
        <w:t>) Implementation of the Authorized Economic Operator (AEO) and</w:t>
      </w:r>
      <w:r w:rsidR="00F15CA3">
        <w:t xml:space="preserve"> </w:t>
      </w:r>
      <w:r>
        <w:t>the ASEAN AEO Mutual Recognition Arrangement (AAMRA) where seven (7) AMS</w:t>
      </w:r>
      <w:r w:rsidR="00F15CA3">
        <w:t xml:space="preserve"> </w:t>
      </w:r>
      <w:r>
        <w:t xml:space="preserve">have already implemented their national AEO </w:t>
      </w:r>
      <w:proofErr w:type="spellStart"/>
      <w:r>
        <w:t>programmes</w:t>
      </w:r>
      <w:proofErr w:type="spellEnd"/>
      <w:r>
        <w:t>, (ii) ASEAN Customs</w:t>
      </w:r>
      <w:r w:rsidR="00F15CA3">
        <w:t xml:space="preserve"> </w:t>
      </w:r>
      <w:r>
        <w:t>Transit System (ACTS) full live operations in six (6) Participating Member Countries</w:t>
      </w:r>
      <w:r w:rsidR="00F15CA3">
        <w:t xml:space="preserve"> </w:t>
      </w:r>
      <w:r>
        <w:t>(PMC), and</w:t>
      </w:r>
      <w:r w:rsidR="003F5AC2">
        <w:t xml:space="preserve"> </w:t>
      </w:r>
      <w:r w:rsidR="003F5AC2">
        <w:br/>
      </w:r>
      <w:r>
        <w:t>(iii) continuing cooperation with Dialogue Partners to exchange</w:t>
      </w:r>
      <w:r w:rsidR="00F15CA3">
        <w:t xml:space="preserve"> </w:t>
      </w:r>
      <w:r>
        <w:t>intelligence information in a timely manner and leveraging technology to fight</w:t>
      </w:r>
      <w:r w:rsidR="00F15CA3">
        <w:t xml:space="preserve"> </w:t>
      </w:r>
      <w:r>
        <w:t>illicit trade. The Meeting looks forward to the adoption of the Joint Action Plan on</w:t>
      </w:r>
      <w:r w:rsidR="00F15CA3">
        <w:t xml:space="preserve"> </w:t>
      </w:r>
      <w:r>
        <w:t>the AAMRA at the ASEAN Customs Director-Generals Meeting in Singapore in June</w:t>
      </w:r>
      <w:r w:rsidR="00F15CA3">
        <w:t xml:space="preserve"> </w:t>
      </w:r>
      <w:r>
        <w:t>2022.</w:t>
      </w:r>
    </w:p>
    <w:p w14:paraId="42815895" w14:textId="77777777" w:rsidR="002702D2" w:rsidRDefault="002702D2" w:rsidP="002702D2">
      <w:pPr>
        <w:pStyle w:val="ListParagraph"/>
      </w:pPr>
    </w:p>
    <w:p w14:paraId="5436EB45" w14:textId="113AB962" w:rsidR="003C2DC3" w:rsidRDefault="003C2DC3" w:rsidP="003C2DC3">
      <w:pPr>
        <w:pStyle w:val="ListParagraph"/>
        <w:numPr>
          <w:ilvl w:val="0"/>
          <w:numId w:val="13"/>
        </w:numPr>
      </w:pPr>
      <w:r>
        <w:t>The Meeting also commended the progress of the ASEAN Single Window (ASW),</w:t>
      </w:r>
      <w:r w:rsidR="00F15CA3">
        <w:t xml:space="preserve"> </w:t>
      </w:r>
      <w:r>
        <w:t>particularly in the implementation of the ASEAN Customs Declaration Document</w:t>
      </w:r>
      <w:r w:rsidR="00F15CA3">
        <w:t xml:space="preserve"> </w:t>
      </w:r>
      <w:r>
        <w:t>(ACDD) with six (6) AMS having exchanged ACDDs since 2020. The Mee</w:t>
      </w:r>
      <w:r w:rsidR="00F15CA3">
        <w:t xml:space="preserve">ting </w:t>
      </w:r>
      <w:r>
        <w:t>encourages the remaining AMS to join the implementation of the ACDD in 2022.</w:t>
      </w:r>
    </w:p>
    <w:p w14:paraId="6D6508EF" w14:textId="77777777" w:rsidR="003F5AC2" w:rsidRDefault="003F5AC2" w:rsidP="003F5AC2">
      <w:pPr>
        <w:pStyle w:val="ListParagraph"/>
      </w:pPr>
    </w:p>
    <w:p w14:paraId="14E69815" w14:textId="7E69AA90" w:rsidR="003F5AC2" w:rsidRDefault="003F5AC2" w:rsidP="003F5AC2">
      <w:pPr>
        <w:pStyle w:val="ListParagraph"/>
        <w:ind w:left="360"/>
      </w:pPr>
    </w:p>
    <w:p w14:paraId="36C14BA7" w14:textId="77777777" w:rsidR="003F5AC2" w:rsidRDefault="003F5AC2" w:rsidP="003F5AC2">
      <w:pPr>
        <w:pStyle w:val="ListParagraph"/>
        <w:ind w:left="360"/>
      </w:pPr>
    </w:p>
    <w:p w14:paraId="59EC90CE" w14:textId="77777777" w:rsidR="003C2DC3" w:rsidRDefault="003C2DC3" w:rsidP="00B77E98">
      <w:pPr>
        <w:pStyle w:val="Heading2"/>
      </w:pPr>
      <w:bookmarkStart w:id="5" w:name="_Toc107410754"/>
      <w:r>
        <w:lastRenderedPageBreak/>
        <w:t>Financing, Payment and Service Connectivity</w:t>
      </w:r>
      <w:bookmarkEnd w:id="5"/>
    </w:p>
    <w:p w14:paraId="1F52EFC2" w14:textId="2FA9CFCA" w:rsidR="004953CE" w:rsidRDefault="003C2DC3" w:rsidP="007D4065">
      <w:pPr>
        <w:pStyle w:val="ListParagraph"/>
        <w:numPr>
          <w:ilvl w:val="0"/>
          <w:numId w:val="13"/>
        </w:numPr>
      </w:pPr>
      <w:r>
        <w:t>The Meeting welcomed the launch of the linkage of the Real-Time Retail Payment</w:t>
      </w:r>
      <w:r w:rsidR="004953CE">
        <w:t xml:space="preserve"> </w:t>
      </w:r>
      <w:r>
        <w:t xml:space="preserve">Systems </w:t>
      </w:r>
      <w:r w:rsidR="006A5B38">
        <w:br/>
      </w:r>
      <w:r>
        <w:t>(RT-RPS) of Singapore and Thailand in 2021, the world’s first cross-border</w:t>
      </w:r>
      <w:r w:rsidR="004953CE">
        <w:t xml:space="preserve"> </w:t>
      </w:r>
      <w:r>
        <w:t>RT-RPS linkage implemented, which facilitates faster, cheaper, more inclusive, and</w:t>
      </w:r>
      <w:r w:rsidR="004953CE">
        <w:t xml:space="preserve"> </w:t>
      </w:r>
      <w:r>
        <w:t>more transparent cross-border payment transfers.</w:t>
      </w:r>
    </w:p>
    <w:p w14:paraId="52B07D58" w14:textId="77777777" w:rsidR="004953CE" w:rsidRDefault="004953CE" w:rsidP="004953CE">
      <w:pPr>
        <w:pStyle w:val="ListParagraph"/>
        <w:ind w:left="360"/>
      </w:pPr>
    </w:p>
    <w:p w14:paraId="3EE6D034" w14:textId="77777777" w:rsidR="008C1EEA" w:rsidRDefault="003C2DC3" w:rsidP="00CD6081">
      <w:pPr>
        <w:pStyle w:val="ListParagraph"/>
        <w:numPr>
          <w:ilvl w:val="0"/>
          <w:numId w:val="13"/>
        </w:numPr>
      </w:pPr>
      <w:r>
        <w:t>The Meeting is also pleased with the launches of bilateral cross-border QR code</w:t>
      </w:r>
      <w:r w:rsidR="004953CE">
        <w:t xml:space="preserve"> </w:t>
      </w:r>
      <w:r>
        <w:t>payment linkages between Indonesia and Thailand, Indonesia and Malaysia,</w:t>
      </w:r>
      <w:r w:rsidR="004953CE">
        <w:t xml:space="preserve"> </w:t>
      </w:r>
      <w:r>
        <w:t>Malaysia and Thailand, Singapore and Thailand, Thailand and Vietnam, and</w:t>
      </w:r>
      <w:r w:rsidR="004953CE">
        <w:t xml:space="preserve"> </w:t>
      </w:r>
      <w:r>
        <w:t>Cambodia and Thailand, as well as the upcoming linkages between Malaysia and</w:t>
      </w:r>
      <w:r w:rsidR="004953CE">
        <w:t xml:space="preserve"> </w:t>
      </w:r>
      <w:r>
        <w:t>Singapore, and the Philippines and Singapore. These linkages will enable users to</w:t>
      </w:r>
      <w:r w:rsidR="004953CE">
        <w:t xml:space="preserve"> </w:t>
      </w:r>
      <w:r>
        <w:t>make cross-border payments by using QR codes, and will contribute to the</w:t>
      </w:r>
      <w:r w:rsidR="004953CE">
        <w:t xml:space="preserve"> </w:t>
      </w:r>
      <w:r>
        <w:t>development of a regional cross-border payments network within ASEAN.</w:t>
      </w:r>
    </w:p>
    <w:p w14:paraId="37CE406B" w14:textId="77777777" w:rsidR="008C1EEA" w:rsidRDefault="008C1EEA" w:rsidP="008C1EEA">
      <w:pPr>
        <w:pStyle w:val="ListParagraph"/>
      </w:pPr>
    </w:p>
    <w:p w14:paraId="04412C6D" w14:textId="77777777" w:rsidR="008C1EEA" w:rsidRDefault="003C2DC3" w:rsidP="003C2DC3">
      <w:pPr>
        <w:pStyle w:val="ListParagraph"/>
        <w:numPr>
          <w:ilvl w:val="0"/>
          <w:numId w:val="13"/>
        </w:numPr>
      </w:pPr>
      <w:r>
        <w:t>The Meeting looks forward to the expansion of the RT-RPS and QR code payment</w:t>
      </w:r>
      <w:r w:rsidR="004953CE">
        <w:t xml:space="preserve"> </w:t>
      </w:r>
      <w:r>
        <w:t>linkages into an interconnected network across the region, furthering ASEAN’s</w:t>
      </w:r>
      <w:r w:rsidR="004953CE">
        <w:t xml:space="preserve"> </w:t>
      </w:r>
      <w:r>
        <w:t>digitalization drive and enabling financial inclusion. This will position ASEAN</w:t>
      </w:r>
      <w:r w:rsidR="004953CE">
        <w:t xml:space="preserve"> </w:t>
      </w:r>
      <w:r>
        <w:t>globally at the forefront of retail payments connectivity.</w:t>
      </w:r>
    </w:p>
    <w:p w14:paraId="535213FC" w14:textId="77777777" w:rsidR="008C1EEA" w:rsidRDefault="008C1EEA" w:rsidP="008C1EEA">
      <w:pPr>
        <w:pStyle w:val="ListParagraph"/>
      </w:pPr>
    </w:p>
    <w:p w14:paraId="0C622198" w14:textId="0CC8891F" w:rsidR="003C2DC3" w:rsidRDefault="003C2DC3" w:rsidP="003C2DC3">
      <w:pPr>
        <w:pStyle w:val="ListParagraph"/>
        <w:numPr>
          <w:ilvl w:val="0"/>
          <w:numId w:val="13"/>
        </w:numPr>
      </w:pPr>
      <w:r>
        <w:t>In addition, the Meeting noted that the Working Committee on Payment and</w:t>
      </w:r>
      <w:r w:rsidR="004953CE">
        <w:t xml:space="preserve"> </w:t>
      </w:r>
      <w:r>
        <w:t>Settlement Systems’ (WC-PSS) is developing an approach to monitor AMS’ progress</w:t>
      </w:r>
      <w:r w:rsidR="004953CE">
        <w:t xml:space="preserve"> </w:t>
      </w:r>
      <w:r>
        <w:t>in meeting the G20/FSB targets for cross-border payments on cost, speed,</w:t>
      </w:r>
      <w:r w:rsidR="004953CE">
        <w:t xml:space="preserve"> </w:t>
      </w:r>
      <w:r>
        <w:t>transparency, and access.</w:t>
      </w:r>
    </w:p>
    <w:p w14:paraId="2BAF7034" w14:textId="77777777" w:rsidR="003C2DC3" w:rsidRDefault="003C2DC3" w:rsidP="00B77E98">
      <w:pPr>
        <w:pStyle w:val="Heading2"/>
      </w:pPr>
      <w:bookmarkStart w:id="6" w:name="_Toc107410755"/>
      <w:r>
        <w:t>Infrastructure Financing</w:t>
      </w:r>
      <w:bookmarkEnd w:id="6"/>
    </w:p>
    <w:p w14:paraId="082FF4E0" w14:textId="77777777" w:rsidR="0018562E" w:rsidRDefault="003C2DC3" w:rsidP="003C2DC3">
      <w:pPr>
        <w:pStyle w:val="ListParagraph"/>
        <w:numPr>
          <w:ilvl w:val="0"/>
          <w:numId w:val="13"/>
        </w:numPr>
      </w:pPr>
      <w:r>
        <w:t>The Meeting expressed appreciation for the ASEAN Infrastructure Fund’s (AIF’s)</w:t>
      </w:r>
      <w:r w:rsidR="00610948">
        <w:t xml:space="preserve"> </w:t>
      </w:r>
      <w:r>
        <w:t>efforts in mainstreaming the Green and Inclusive Infrastructure Window (GIIW)</w:t>
      </w:r>
      <w:r w:rsidR="00610948">
        <w:t xml:space="preserve"> </w:t>
      </w:r>
      <w:r>
        <w:t>into the permanent ASEAN Catalytic Green Finance Facility (ACGF) to sustain</w:t>
      </w:r>
      <w:r w:rsidR="00610948">
        <w:t xml:space="preserve"> </w:t>
      </w:r>
      <w:r>
        <w:t xml:space="preserve">momentum from its pilot </w:t>
      </w:r>
      <w:proofErr w:type="spellStart"/>
      <w:r>
        <w:t>programme</w:t>
      </w:r>
      <w:proofErr w:type="spellEnd"/>
      <w:r>
        <w:t xml:space="preserve"> to further meet long-term objectives,</w:t>
      </w:r>
      <w:r w:rsidR="00610948">
        <w:t xml:space="preserve"> </w:t>
      </w:r>
      <w:r>
        <w:t>including robust demand for ACGF financing and technical support and its</w:t>
      </w:r>
      <w:r w:rsidR="00610948">
        <w:t xml:space="preserve"> </w:t>
      </w:r>
      <w:r>
        <w:t>contribution to the region’s green recovery under the post-pandemic scenario.</w:t>
      </w:r>
    </w:p>
    <w:p w14:paraId="388B9421" w14:textId="77777777" w:rsidR="0018562E" w:rsidRDefault="0018562E" w:rsidP="0018562E">
      <w:pPr>
        <w:pStyle w:val="ListParagraph"/>
        <w:ind w:left="360"/>
      </w:pPr>
    </w:p>
    <w:p w14:paraId="6E4240C5" w14:textId="45D77C03" w:rsidR="003C2DC3" w:rsidRDefault="003C2DC3" w:rsidP="003C2DC3">
      <w:pPr>
        <w:pStyle w:val="ListParagraph"/>
        <w:numPr>
          <w:ilvl w:val="0"/>
          <w:numId w:val="13"/>
        </w:numPr>
      </w:pPr>
      <w:r>
        <w:t>The Meeting noted the progress of the Working Committee on Capital Market</w:t>
      </w:r>
      <w:r w:rsidR="00610948">
        <w:t xml:space="preserve"> </w:t>
      </w:r>
      <w:r>
        <w:t xml:space="preserve">Development </w:t>
      </w:r>
      <w:r w:rsidR="002B2363">
        <w:br/>
      </w:r>
      <w:r>
        <w:t>(WC-CMD) and the ASEAN Capital Market Forum (ACMF) on</w:t>
      </w:r>
      <w:r w:rsidR="00610948">
        <w:t xml:space="preserve"> </w:t>
      </w:r>
      <w:r>
        <w:t>Infrastructure Financing, particularly on the WC-CMD Infrastructure Finance</w:t>
      </w:r>
      <w:r w:rsidR="00610948">
        <w:t xml:space="preserve"> </w:t>
      </w:r>
      <w:r>
        <w:t>Working Group (IFWG)’s development of a Conversation Pack as part of the</w:t>
      </w:r>
      <w:r w:rsidR="00610948">
        <w:t xml:space="preserve"> </w:t>
      </w:r>
      <w:r>
        <w:t>“Sustainable Finance First for Sustainable Projects” Initiative. This aims to kick</w:t>
      </w:r>
      <w:r w:rsidR="00610948">
        <w:t xml:space="preserve"> </w:t>
      </w:r>
      <w:r>
        <w:t>start discussions with the relevant ministries, government agencies, project owners</w:t>
      </w:r>
      <w:r w:rsidR="0018562E">
        <w:t xml:space="preserve"> </w:t>
      </w:r>
      <w:r>
        <w:t>and promoters to consider using sustainable finance as the first choice for financing</w:t>
      </w:r>
      <w:r w:rsidR="0018562E">
        <w:t xml:space="preserve"> </w:t>
      </w:r>
      <w:r>
        <w:t>for sustainable projects. The Meeting welcomes the publication of the Conversation</w:t>
      </w:r>
      <w:r w:rsidR="0018562E">
        <w:t xml:space="preserve"> </w:t>
      </w:r>
      <w:r>
        <w:t>Pack on the ASEAN Finance Cooperation Web Portal (AFCWP) and look forward to</w:t>
      </w:r>
      <w:r w:rsidR="0018562E">
        <w:t xml:space="preserve"> </w:t>
      </w:r>
      <w:r>
        <w:t xml:space="preserve">its </w:t>
      </w:r>
      <w:proofErr w:type="spellStart"/>
      <w:r>
        <w:t>socialisation</w:t>
      </w:r>
      <w:proofErr w:type="spellEnd"/>
      <w:r>
        <w:t xml:space="preserve"> program this year. The Meeting also acknowledged the discussions</w:t>
      </w:r>
      <w:r w:rsidR="0018562E">
        <w:t xml:space="preserve"> </w:t>
      </w:r>
      <w:r>
        <w:t xml:space="preserve">on the </w:t>
      </w:r>
      <w:proofErr w:type="spellStart"/>
      <w:r>
        <w:t>Standardised</w:t>
      </w:r>
      <w:proofErr w:type="spellEnd"/>
      <w:r>
        <w:t xml:space="preserve"> Core Project Finance Loan Documents, made available online</w:t>
      </w:r>
      <w:r w:rsidR="0018562E">
        <w:t xml:space="preserve"> </w:t>
      </w:r>
      <w:r>
        <w:t>by Infrastructure Asia, with the support of the Asia-Pacific Loan Market Association.</w:t>
      </w:r>
    </w:p>
    <w:p w14:paraId="7EBBB2A9" w14:textId="77777777" w:rsidR="003C2DC3" w:rsidRDefault="003C2DC3" w:rsidP="00B77E98">
      <w:pPr>
        <w:pStyle w:val="Heading2"/>
      </w:pPr>
      <w:bookmarkStart w:id="7" w:name="_Toc107410756"/>
      <w:r>
        <w:t>Sustainable Finance</w:t>
      </w:r>
      <w:bookmarkEnd w:id="7"/>
    </w:p>
    <w:p w14:paraId="6E8DCB06" w14:textId="5AA431B3" w:rsidR="00011B68" w:rsidRDefault="003C2DC3" w:rsidP="000D6239">
      <w:pPr>
        <w:pStyle w:val="ListParagraph"/>
        <w:numPr>
          <w:ilvl w:val="0"/>
          <w:numId w:val="13"/>
        </w:numPr>
      </w:pPr>
      <w:r>
        <w:t>The Meeting commended the progress made by the ASEAN Taxonomy Board (ATB)</w:t>
      </w:r>
      <w:r w:rsidR="00EC15F0">
        <w:t xml:space="preserve"> </w:t>
      </w:r>
      <w:r>
        <w:t>on the issuance of Version 1 of the Key Components of the ASEAN Taxonomy for</w:t>
      </w:r>
      <w:r w:rsidR="00EC15F0">
        <w:t xml:space="preserve"> </w:t>
      </w:r>
      <w:r>
        <w:t>Sustainable Finance (Version 1) on 10 November 2021, which encapsulates the</w:t>
      </w:r>
      <w:r w:rsidR="00EC15F0">
        <w:t xml:space="preserve"> </w:t>
      </w:r>
      <w:r>
        <w:t>key components of a sustainable finance taxonomy catered to the needs of AMS.</w:t>
      </w:r>
      <w:r w:rsidR="00EC15F0">
        <w:t xml:space="preserve"> </w:t>
      </w:r>
      <w:r>
        <w:t>The principles-based Foundation Framework will allow AMS to pursue the region’s</w:t>
      </w:r>
      <w:r w:rsidR="00EC15F0">
        <w:t xml:space="preserve"> </w:t>
      </w:r>
      <w:r>
        <w:t>sustainability agenda in a way that reflects their individual circumstances, while</w:t>
      </w:r>
      <w:r w:rsidR="00EC15F0">
        <w:t xml:space="preserve"> </w:t>
      </w:r>
      <w:r>
        <w:t>the Plus Standard will set out science-based metrics and thre</w:t>
      </w:r>
      <w:r w:rsidR="00B53B09">
        <w:t>s</w:t>
      </w:r>
      <w:r>
        <w:t>holds for the</w:t>
      </w:r>
      <w:r w:rsidR="00EC15F0">
        <w:t xml:space="preserve"> </w:t>
      </w:r>
      <w:r>
        <w:t>classification of economic activities that contribute to Paris Agreement-aligned</w:t>
      </w:r>
      <w:r w:rsidR="00EC15F0">
        <w:t xml:space="preserve"> </w:t>
      </w:r>
      <w:r>
        <w:t>pathways. The Meeting welcomed the approach of the ASEAN Taxonomy that is</w:t>
      </w:r>
      <w:r w:rsidR="00EC15F0">
        <w:t xml:space="preserve"> </w:t>
      </w:r>
      <w:r>
        <w:t>inclusive, transparent, practical and facilitative while providing rigorous pathways</w:t>
      </w:r>
      <w:r w:rsidR="00EC15F0">
        <w:t xml:space="preserve"> </w:t>
      </w:r>
      <w:r>
        <w:t>that are consistent with regional and global sustainability ambitions.</w:t>
      </w:r>
    </w:p>
    <w:p w14:paraId="11F8B059" w14:textId="77777777" w:rsidR="00011B68" w:rsidRDefault="003C2DC3" w:rsidP="003C2DC3">
      <w:pPr>
        <w:pStyle w:val="ListParagraph"/>
        <w:numPr>
          <w:ilvl w:val="0"/>
          <w:numId w:val="13"/>
        </w:numPr>
      </w:pPr>
      <w:r>
        <w:lastRenderedPageBreak/>
        <w:t>The Meeting noted that the ATB will be commencing stakeholder consultations on</w:t>
      </w:r>
      <w:r w:rsidR="00EC15F0">
        <w:t xml:space="preserve"> </w:t>
      </w:r>
      <w:r>
        <w:t>Version 1 and received inputs will be used in developing the next version of the</w:t>
      </w:r>
      <w:r w:rsidR="00EC15F0">
        <w:t xml:space="preserve"> </w:t>
      </w:r>
      <w:r>
        <w:t>ASEAN Taxonomy</w:t>
      </w:r>
      <w:r w:rsidR="00011B68">
        <w:t>.</w:t>
      </w:r>
    </w:p>
    <w:p w14:paraId="0C91FE62" w14:textId="77777777" w:rsidR="00011B68" w:rsidRDefault="00011B68" w:rsidP="00011B68">
      <w:pPr>
        <w:pStyle w:val="ListParagraph"/>
      </w:pPr>
    </w:p>
    <w:p w14:paraId="020B7EE9" w14:textId="77777777" w:rsidR="00011B68" w:rsidRDefault="003C2DC3" w:rsidP="003C2DC3">
      <w:pPr>
        <w:pStyle w:val="ListParagraph"/>
        <w:numPr>
          <w:ilvl w:val="0"/>
          <w:numId w:val="13"/>
        </w:numPr>
      </w:pPr>
      <w:r>
        <w:t>The Meeting took note of the significant progress of the recommendations under</w:t>
      </w:r>
      <w:r w:rsidR="00EC15F0">
        <w:t xml:space="preserve"> </w:t>
      </w:r>
      <w:r>
        <w:t>ACMF Roadmap for ASEAN Sustainable Capital Markets. The Meeting is pleased</w:t>
      </w:r>
      <w:r w:rsidR="00EC15F0">
        <w:t xml:space="preserve"> </w:t>
      </w:r>
      <w:r>
        <w:t>with the issuance by the ACMF of the</w:t>
      </w:r>
      <w:r w:rsidR="00EC15F0">
        <w:t xml:space="preserve"> </w:t>
      </w:r>
      <w:r>
        <w:t>ASEAN SDG Bond Toolkit to provide preliminary guidance on the key principles and processes for issuing bonds that</w:t>
      </w:r>
      <w:r w:rsidR="00EC15F0">
        <w:t xml:space="preserve"> </w:t>
      </w:r>
      <w:r>
        <w:t>are aligned with the United Nations Sustainable Development Goals (SDGs)</w:t>
      </w:r>
      <w:r w:rsidR="00011B68">
        <w:t xml:space="preserve"> </w:t>
      </w:r>
      <w:r>
        <w:t>in</w:t>
      </w:r>
      <w:r w:rsidR="00EC15F0">
        <w:t xml:space="preserve"> </w:t>
      </w:r>
      <w:r>
        <w:t>order to mobilize more private capital to finance SDG investments that yield</w:t>
      </w:r>
      <w:r w:rsidR="00EC15F0">
        <w:t xml:space="preserve"> </w:t>
      </w:r>
      <w:r>
        <w:t>sustainable development outcomes and accelerate the economic recovery from the</w:t>
      </w:r>
      <w:r w:rsidR="00EC15F0">
        <w:t xml:space="preserve"> </w:t>
      </w:r>
      <w:r>
        <w:t>impact of the COVID-19 pandemic.</w:t>
      </w:r>
    </w:p>
    <w:p w14:paraId="0E106745" w14:textId="77777777" w:rsidR="00011B68" w:rsidRDefault="00011B68" w:rsidP="00011B68">
      <w:pPr>
        <w:pStyle w:val="ListParagraph"/>
      </w:pPr>
    </w:p>
    <w:p w14:paraId="55813B77" w14:textId="77777777" w:rsidR="00011B68" w:rsidRDefault="003C2DC3" w:rsidP="003C2DC3">
      <w:pPr>
        <w:pStyle w:val="ListParagraph"/>
        <w:numPr>
          <w:ilvl w:val="0"/>
          <w:numId w:val="13"/>
        </w:numPr>
      </w:pPr>
      <w:r>
        <w:t>The Meeting also acknowledged the progress by the ACMF in the development of</w:t>
      </w:r>
      <w:r w:rsidR="00EC15F0">
        <w:t xml:space="preserve"> </w:t>
      </w:r>
      <w:r>
        <w:t>the ASEAN Sustainability-Linked Bond Standards to facilitate issuances of bonds</w:t>
      </w:r>
      <w:r w:rsidR="00EC15F0">
        <w:t xml:space="preserve"> </w:t>
      </w:r>
      <w:r>
        <w:t>with sustainability-linked goals and targets, to complement the existing suite of</w:t>
      </w:r>
      <w:r w:rsidR="00EC15F0">
        <w:t xml:space="preserve"> </w:t>
      </w:r>
      <w:r>
        <w:t>bond standards that the ACMF has already introduced for green, social and</w:t>
      </w:r>
      <w:r w:rsidR="00EC15F0">
        <w:t xml:space="preserve"> </w:t>
      </w:r>
      <w:r>
        <w:t>sustainability bonds, and encourage more ASEAN companies to tap sustainable</w:t>
      </w:r>
      <w:r w:rsidR="00EC15F0">
        <w:t xml:space="preserve"> </w:t>
      </w:r>
      <w:r>
        <w:t>finance for their transition to sustainable business practices. The Meeting looks</w:t>
      </w:r>
      <w:r w:rsidR="00EC15F0">
        <w:t xml:space="preserve"> </w:t>
      </w:r>
      <w:r>
        <w:t>forward to this standard being endorsed by the ACMF Chairs’ meeting at the end</w:t>
      </w:r>
      <w:r w:rsidR="00EC15F0">
        <w:t xml:space="preserve"> </w:t>
      </w:r>
      <w:r>
        <w:t>of this year. The Meeting also supports the ACMF’s initiative on the development</w:t>
      </w:r>
      <w:r w:rsidR="00EC15F0">
        <w:t xml:space="preserve"> </w:t>
      </w:r>
      <w:r>
        <w:t>of ASEAN Sustainable and Responsible Fund Standards and the introduction of a</w:t>
      </w:r>
      <w:r w:rsidR="00EC15F0">
        <w:t xml:space="preserve"> </w:t>
      </w:r>
      <w:r>
        <w:t>“Green Lane” to facilitate cross-border offerings of ASEAN Sustainable and</w:t>
      </w:r>
      <w:r w:rsidR="00EC15F0">
        <w:t xml:space="preserve"> </w:t>
      </w:r>
      <w:r>
        <w:t>Responsible Fund in supporting the Roadmap on ASEAN Sustainable Capital</w:t>
      </w:r>
      <w:r w:rsidR="00EC15F0">
        <w:t xml:space="preserve"> </w:t>
      </w:r>
      <w:r>
        <w:t>Markets.</w:t>
      </w:r>
    </w:p>
    <w:p w14:paraId="59D3305A" w14:textId="77777777" w:rsidR="00011B68" w:rsidRDefault="00011B68" w:rsidP="00011B68">
      <w:pPr>
        <w:pStyle w:val="ListParagraph"/>
      </w:pPr>
    </w:p>
    <w:p w14:paraId="3AB74C4E" w14:textId="77777777" w:rsidR="00011B68" w:rsidRDefault="003C2DC3" w:rsidP="003C2DC3">
      <w:pPr>
        <w:pStyle w:val="ListParagraph"/>
        <w:numPr>
          <w:ilvl w:val="0"/>
          <w:numId w:val="13"/>
        </w:numPr>
      </w:pPr>
      <w:r>
        <w:t xml:space="preserve">The Meeting </w:t>
      </w:r>
      <w:proofErr w:type="spellStart"/>
      <w:r>
        <w:t>recognised</w:t>
      </w:r>
      <w:proofErr w:type="spellEnd"/>
      <w:r>
        <w:t xml:space="preserve"> the ACMF’s and WC-CMD’s efforts in deepening industry</w:t>
      </w:r>
      <w:r w:rsidR="00EC15F0">
        <w:t xml:space="preserve"> </w:t>
      </w:r>
      <w:r>
        <w:t>engagement through the Joint Sustainable Finance Working Group (JSFWG)</w:t>
      </w:r>
      <w:r w:rsidR="00EC15F0">
        <w:t xml:space="preserve"> </w:t>
      </w:r>
      <w:r>
        <w:t>Industry Advisory Panel (IAP) in the priority areas of taxonomy; transition</w:t>
      </w:r>
      <w:r w:rsidR="00EC15F0">
        <w:t xml:space="preserve"> </w:t>
      </w:r>
      <w:r>
        <w:t>standards; disclosures; and strengthening demand and supply. The Meeting looks</w:t>
      </w:r>
      <w:r w:rsidR="00EC15F0">
        <w:t xml:space="preserve"> </w:t>
      </w:r>
      <w:r>
        <w:t>forward to the publication of the IAP whitepapers in the coming months.</w:t>
      </w:r>
    </w:p>
    <w:p w14:paraId="24F717B7" w14:textId="77777777" w:rsidR="00011B68" w:rsidRDefault="00011B68" w:rsidP="00011B68">
      <w:pPr>
        <w:pStyle w:val="ListParagraph"/>
      </w:pPr>
    </w:p>
    <w:p w14:paraId="24AC65C2" w14:textId="77777777" w:rsidR="00011B68" w:rsidRDefault="003C2DC3" w:rsidP="003C2DC3">
      <w:pPr>
        <w:pStyle w:val="ListParagraph"/>
        <w:numPr>
          <w:ilvl w:val="0"/>
          <w:numId w:val="13"/>
        </w:numPr>
      </w:pPr>
      <w:r>
        <w:t>The Meeting supported the workplan for sustainable insurance that the ASEAN</w:t>
      </w:r>
      <w:r w:rsidR="00EC15F0">
        <w:t xml:space="preserve"> </w:t>
      </w:r>
      <w:r>
        <w:t>Insurance Regulators Meeting (AIRM) has developed. This includes the launch of</w:t>
      </w:r>
      <w:r w:rsidR="00EC15F0">
        <w:t xml:space="preserve"> </w:t>
      </w:r>
      <w:r>
        <w:t>a biannual newsletter to update AIRM members on developments and available</w:t>
      </w:r>
      <w:r w:rsidR="00EC15F0">
        <w:t xml:space="preserve"> </w:t>
      </w:r>
      <w:r>
        <w:t xml:space="preserve">capacity building </w:t>
      </w:r>
      <w:proofErr w:type="spellStart"/>
      <w:r>
        <w:t>programmes</w:t>
      </w:r>
      <w:proofErr w:type="spellEnd"/>
      <w:r>
        <w:t xml:space="preserve"> on sustainable finance, and the identification of</w:t>
      </w:r>
      <w:r w:rsidR="00EC15F0">
        <w:t xml:space="preserve"> </w:t>
      </w:r>
      <w:r>
        <w:t xml:space="preserve">sustainability/climate risk as a priority area for capacity building </w:t>
      </w:r>
      <w:proofErr w:type="spellStart"/>
      <w:r>
        <w:t>programmes</w:t>
      </w:r>
      <w:proofErr w:type="spellEnd"/>
      <w:r>
        <w:t xml:space="preserve"> by</w:t>
      </w:r>
      <w:r w:rsidR="00EC15F0">
        <w:t xml:space="preserve"> </w:t>
      </w:r>
      <w:r>
        <w:t>the ASEAN Insurance Training and Research Institute (AITRI).</w:t>
      </w:r>
    </w:p>
    <w:p w14:paraId="04C880FF" w14:textId="77777777" w:rsidR="00011B68" w:rsidRDefault="00011B68" w:rsidP="00011B68">
      <w:pPr>
        <w:pStyle w:val="ListParagraph"/>
      </w:pPr>
    </w:p>
    <w:p w14:paraId="4979F540" w14:textId="1BB12913" w:rsidR="003C2DC3" w:rsidRDefault="003C2DC3" w:rsidP="003C2DC3">
      <w:pPr>
        <w:pStyle w:val="ListParagraph"/>
        <w:numPr>
          <w:ilvl w:val="0"/>
          <w:numId w:val="13"/>
        </w:numPr>
      </w:pPr>
      <w:r>
        <w:t>The Meeting acknowledged the significant progress made by the ASEAN Central</w:t>
      </w:r>
      <w:r w:rsidR="00EC15F0">
        <w:t xml:space="preserve"> </w:t>
      </w:r>
      <w:r>
        <w:t>Banks in promoting the sustainable finance agenda. The Meeting welcomed the</w:t>
      </w:r>
      <w:r w:rsidR="00EC15F0">
        <w:t xml:space="preserve"> </w:t>
      </w:r>
      <w:r>
        <w:t>establishment of the two workstreams under the Senior Level Committee Task</w:t>
      </w:r>
      <w:r w:rsidR="00EC15F0">
        <w:t xml:space="preserve"> </w:t>
      </w:r>
      <w:r>
        <w:t>Force (SLC-TF) to follow-up on the priority areas of capacity building for</w:t>
      </w:r>
      <w:r w:rsidR="00EC15F0">
        <w:t xml:space="preserve"> </w:t>
      </w:r>
      <w:r>
        <w:t>sustainable finance and the development of an ASEAN Green Map. The Meeting</w:t>
      </w:r>
      <w:r w:rsidR="00EC15F0">
        <w:t xml:space="preserve"> </w:t>
      </w:r>
      <w:r>
        <w:t>welcomed the efforts of the SLC-TF, with technical support from Southeast Asian</w:t>
      </w:r>
      <w:r w:rsidR="00EC15F0">
        <w:t xml:space="preserve"> </w:t>
      </w:r>
      <w:r>
        <w:t>Central Banks (SEACEN) Centre in developing an ASEAN Learning Roadmap and</w:t>
      </w:r>
      <w:r w:rsidR="00EC15F0">
        <w:t xml:space="preserve"> </w:t>
      </w:r>
      <w:r>
        <w:t>Learning Curriculum on Sustainable Finance that will provide ASEAN Central Banks</w:t>
      </w:r>
      <w:r w:rsidR="00EC15F0">
        <w:t xml:space="preserve"> </w:t>
      </w:r>
      <w:r>
        <w:t>and regulators with insights into the tools and approaches to assess and</w:t>
      </w:r>
      <w:r w:rsidR="00EC15F0">
        <w:t xml:space="preserve"> </w:t>
      </w:r>
      <w:r>
        <w:t>monitor</w:t>
      </w:r>
      <w:r w:rsidR="00EC15F0">
        <w:t xml:space="preserve"> </w:t>
      </w:r>
      <w:r>
        <w:t>environmental risk; design appropriate mitigation measures; and support the</w:t>
      </w:r>
      <w:r w:rsidR="00EC15F0">
        <w:t xml:space="preserve"> </w:t>
      </w:r>
      <w:r>
        <w:t>scaling up of sustainable finance. The Meeting also commends the initiative to</w:t>
      </w:r>
      <w:r w:rsidR="00EC15F0">
        <w:t xml:space="preserve"> </w:t>
      </w:r>
      <w:r>
        <w:t>develop an ASEAN Green Map to promote a comprehensive and coordinated</w:t>
      </w:r>
      <w:r w:rsidR="00EC15F0">
        <w:t xml:space="preserve"> </w:t>
      </w:r>
      <w:r>
        <w:t>development of sustainable finance in the region across banking, insurance, capital</w:t>
      </w:r>
      <w:r w:rsidR="00EC15F0">
        <w:t xml:space="preserve"> </w:t>
      </w:r>
      <w:r>
        <w:t>market, and ancillary services sector that support sustainable financing. The</w:t>
      </w:r>
      <w:r w:rsidR="00EC15F0">
        <w:t xml:space="preserve"> </w:t>
      </w:r>
      <w:r>
        <w:t>Meeting supports the initiative to conduct a stock-take on AMS’ progress on</w:t>
      </w:r>
      <w:r w:rsidR="00EC15F0">
        <w:t xml:space="preserve"> </w:t>
      </w:r>
      <w:r>
        <w:t>sustainable banking.</w:t>
      </w:r>
    </w:p>
    <w:p w14:paraId="76818348" w14:textId="0CFB2702" w:rsidR="008F0684" w:rsidRDefault="008F0684" w:rsidP="008F0684"/>
    <w:p w14:paraId="1A141CF8" w14:textId="338B2D17" w:rsidR="008F0684" w:rsidRDefault="008F0684" w:rsidP="008F0684"/>
    <w:p w14:paraId="7D4DA80A" w14:textId="77777777" w:rsidR="008F0684" w:rsidRDefault="008F0684" w:rsidP="008F0684"/>
    <w:p w14:paraId="141185F4" w14:textId="77777777" w:rsidR="003C2DC3" w:rsidRDefault="003C2DC3" w:rsidP="00B77E98">
      <w:pPr>
        <w:pStyle w:val="Heading2"/>
      </w:pPr>
      <w:bookmarkStart w:id="8" w:name="_Toc107410757"/>
      <w:r>
        <w:lastRenderedPageBreak/>
        <w:t>Financial Inclusion</w:t>
      </w:r>
      <w:bookmarkEnd w:id="8"/>
    </w:p>
    <w:p w14:paraId="5E59D4E3" w14:textId="77777777" w:rsidR="0036384F" w:rsidRDefault="003C2DC3" w:rsidP="00915299">
      <w:pPr>
        <w:pStyle w:val="ListParagraph"/>
        <w:numPr>
          <w:ilvl w:val="0"/>
          <w:numId w:val="13"/>
        </w:numPr>
      </w:pPr>
      <w:r>
        <w:t>The Meeting will continue to advance financial inclusion in ASEAN by increasing</w:t>
      </w:r>
      <w:r w:rsidR="0036384F">
        <w:t xml:space="preserve"> </w:t>
      </w:r>
      <w:r>
        <w:t>financial access, usage and quality of financial services for the peoples in ASEAN.</w:t>
      </w:r>
      <w:r w:rsidR="0036384F">
        <w:t xml:space="preserve"> </w:t>
      </w:r>
      <w:r>
        <w:t>The Meeting is pleased to note that the average level of ASEAN financial exclusion,</w:t>
      </w:r>
      <w:r w:rsidR="0036384F">
        <w:t xml:space="preserve"> </w:t>
      </w:r>
      <w:r>
        <w:t>based on AMS’ national data is now at 27.92 percent, already surpassing the 2025</w:t>
      </w:r>
      <w:r w:rsidR="0036384F">
        <w:t xml:space="preserve"> </w:t>
      </w:r>
      <w:r>
        <w:t>target of 30 percent in the Strategic Action Plans (SAP) for Financial Integration.</w:t>
      </w:r>
      <w:r w:rsidR="0036384F">
        <w:t xml:space="preserve"> </w:t>
      </w:r>
      <w:r>
        <w:t>The Meeting noted that all AMS have now established a national financial inclusion</w:t>
      </w:r>
      <w:r w:rsidR="0036384F">
        <w:t xml:space="preserve"> </w:t>
      </w:r>
      <w:r>
        <w:t>or financial education strategy / blueprint in supporting their national financial</w:t>
      </w:r>
      <w:r w:rsidR="0036384F">
        <w:t xml:space="preserve"> </w:t>
      </w:r>
      <w:r>
        <w:t>inclusion strategy and implementation plans. The Meeting welcomed the</w:t>
      </w:r>
      <w:r w:rsidR="0036384F">
        <w:t xml:space="preserve"> </w:t>
      </w:r>
      <w:r>
        <w:t>publication of the works of the Working Committee on Financial Inclusion (WCFINC)</w:t>
      </w:r>
      <w:r w:rsidR="0036384F">
        <w:t xml:space="preserve"> </w:t>
      </w:r>
      <w:r>
        <w:t>namely the “Policy Note on Digital Financial Literacy” and “Measuring</w:t>
      </w:r>
      <w:r w:rsidR="0036384F">
        <w:t xml:space="preserve"> </w:t>
      </w:r>
      <w:r>
        <w:t>Progress 2021: Financial Inclusion in Selected ASEAN countries” in supporting</w:t>
      </w:r>
      <w:r w:rsidR="0036384F">
        <w:t xml:space="preserve"> </w:t>
      </w:r>
      <w:r>
        <w:t>greater financial inclusivity in the region and integrating financial inclusion effort</w:t>
      </w:r>
      <w:r w:rsidR="0036384F">
        <w:t xml:space="preserve"> </w:t>
      </w:r>
      <w:r>
        <w:t>with economic inclusion outcome.</w:t>
      </w:r>
    </w:p>
    <w:p w14:paraId="04CABD3B" w14:textId="77777777" w:rsidR="0036384F" w:rsidRDefault="0036384F" w:rsidP="0036384F">
      <w:pPr>
        <w:pStyle w:val="ListParagraph"/>
        <w:ind w:left="360"/>
      </w:pPr>
    </w:p>
    <w:p w14:paraId="103D9EDD" w14:textId="3748F423" w:rsidR="003C2DC3" w:rsidRDefault="003C2DC3" w:rsidP="00915299">
      <w:pPr>
        <w:pStyle w:val="ListParagraph"/>
        <w:numPr>
          <w:ilvl w:val="0"/>
          <w:numId w:val="13"/>
        </w:numPr>
      </w:pPr>
      <w:r>
        <w:t>The Meeting take note of the considerable progress in insurance penetration in</w:t>
      </w:r>
      <w:r w:rsidR="0036384F">
        <w:t xml:space="preserve"> </w:t>
      </w:r>
      <w:r>
        <w:t>ASEAN, despite the pandemic and economic contraction in the region. This was</w:t>
      </w:r>
      <w:r w:rsidR="0036384F">
        <w:t xml:space="preserve"> </w:t>
      </w:r>
      <w:r>
        <w:t xml:space="preserve">facilitated by the accelerated deployment of </w:t>
      </w:r>
      <w:proofErr w:type="spellStart"/>
      <w:r>
        <w:t>digitalisation</w:t>
      </w:r>
      <w:proofErr w:type="spellEnd"/>
      <w:r>
        <w:t xml:space="preserve"> initiatives and</w:t>
      </w:r>
      <w:r w:rsidR="0036384F">
        <w:t xml:space="preserve"> </w:t>
      </w:r>
      <w:r>
        <w:t>amendments to regulations to enable insurance business to seamlessly adapt to</w:t>
      </w:r>
      <w:r w:rsidR="0036384F">
        <w:t xml:space="preserve"> </w:t>
      </w:r>
      <w:r>
        <w:t>the new operating environment brought on by the pandemic. The Meeting</w:t>
      </w:r>
      <w:r w:rsidR="0036384F">
        <w:t xml:space="preserve"> </w:t>
      </w:r>
      <w:r>
        <w:t>welcomed AIRM’s initiative to develop a COVID-19 Insurance Data Terminal that</w:t>
      </w:r>
      <w:r w:rsidR="0036384F">
        <w:t xml:space="preserve"> </w:t>
      </w:r>
      <w:r>
        <w:t>consolidates the entry and travel insurance requirements of each AMS.</w:t>
      </w:r>
    </w:p>
    <w:p w14:paraId="270448D9" w14:textId="77777777" w:rsidR="003C2DC3" w:rsidRDefault="003C2DC3" w:rsidP="00B77E98">
      <w:pPr>
        <w:pStyle w:val="Heading2"/>
      </w:pPr>
      <w:bookmarkStart w:id="9" w:name="_Toc107410758"/>
      <w:r>
        <w:t>Disaster Risk Financing</w:t>
      </w:r>
      <w:bookmarkEnd w:id="9"/>
    </w:p>
    <w:p w14:paraId="33FE5932" w14:textId="7E4D3751" w:rsidR="003C2DC3" w:rsidRDefault="003C2DC3" w:rsidP="007F484E">
      <w:pPr>
        <w:pStyle w:val="ListParagraph"/>
        <w:numPr>
          <w:ilvl w:val="0"/>
          <w:numId w:val="13"/>
        </w:numPr>
      </w:pPr>
      <w:r>
        <w:t>The Meeting is pleased with the progress made by the ASEAN Disaster Risk</w:t>
      </w:r>
      <w:r w:rsidR="007F484E">
        <w:t xml:space="preserve"> </w:t>
      </w:r>
      <w:r>
        <w:t xml:space="preserve">Financing and Insurance (ADRFI) Phase 2 </w:t>
      </w:r>
      <w:proofErr w:type="spellStart"/>
      <w:r>
        <w:t>Programme</w:t>
      </w:r>
      <w:proofErr w:type="spellEnd"/>
      <w:r>
        <w:t xml:space="preserve"> Offices run in parallel by</w:t>
      </w:r>
      <w:r w:rsidR="007F484E">
        <w:t xml:space="preserve"> </w:t>
      </w:r>
      <w:r>
        <w:t>the ICRM-NTU and the ASEAN Secretariat. On Risk Assessment, the Meeting noted</w:t>
      </w:r>
      <w:r w:rsidR="007F484E">
        <w:t xml:space="preserve"> </w:t>
      </w:r>
      <w:r>
        <w:t>the completion of the Economic Exposure Data (EED) and Economic Loss Data</w:t>
      </w:r>
      <w:r w:rsidR="007F484E">
        <w:t xml:space="preserve"> </w:t>
      </w:r>
      <w:r>
        <w:t>(ELD) report for the three AMS last year and ongoing work for three more AMS</w:t>
      </w:r>
      <w:r w:rsidR="007F484E">
        <w:t xml:space="preserve"> </w:t>
      </w:r>
      <w:r>
        <w:t>this year. The data exchange and analytics prototype-portal which uses 2-D and</w:t>
      </w:r>
      <w:r w:rsidR="007F484E">
        <w:t xml:space="preserve"> </w:t>
      </w:r>
      <w:r>
        <w:t>3-D dashboards for risk financing analysis to facilitate AMS’ risk assessment and</w:t>
      </w:r>
      <w:r w:rsidR="007F484E">
        <w:t xml:space="preserve"> </w:t>
      </w:r>
      <w:r>
        <w:t>advisory work, was also completed ahead of schedule. On the capacity building</w:t>
      </w:r>
      <w:r w:rsidR="007F484E">
        <w:t xml:space="preserve"> </w:t>
      </w:r>
      <w:proofErr w:type="spellStart"/>
      <w:r>
        <w:t>programme</w:t>
      </w:r>
      <w:proofErr w:type="spellEnd"/>
      <w:r>
        <w:t>, the Meeting also welcomed the good progress made with the roll-out</w:t>
      </w:r>
      <w:r w:rsidR="007F484E">
        <w:t xml:space="preserve"> </w:t>
      </w:r>
      <w:r>
        <w:t>of three capacity building activities in collaboration with various International</w:t>
      </w:r>
      <w:r w:rsidR="007F484E">
        <w:t xml:space="preserve"> </w:t>
      </w:r>
      <w:proofErr w:type="spellStart"/>
      <w:r>
        <w:t>Organisations</w:t>
      </w:r>
      <w:proofErr w:type="spellEnd"/>
      <w:r>
        <w:t xml:space="preserve"> to support the enhancement of the disaster finance resiliency and</w:t>
      </w:r>
      <w:r w:rsidR="007F484E">
        <w:t xml:space="preserve"> </w:t>
      </w:r>
      <w:r>
        <w:t>address the climate risk in the region. The Meeting also took note of the ongoing</w:t>
      </w:r>
      <w:r w:rsidR="007F484E">
        <w:t xml:space="preserve"> </w:t>
      </w:r>
      <w:r>
        <w:t>discussion on possible expansion of the scope for the ASEAN Cross-Sectoral</w:t>
      </w:r>
      <w:r w:rsidR="007F484E">
        <w:t xml:space="preserve"> </w:t>
      </w:r>
      <w:r>
        <w:t xml:space="preserve">Coordination Committee </w:t>
      </w:r>
      <w:proofErr w:type="gramStart"/>
      <w:r>
        <w:t>On</w:t>
      </w:r>
      <w:proofErr w:type="gramEnd"/>
      <w:r>
        <w:t xml:space="preserve"> Disaster Risk Financing and Insurance to include other</w:t>
      </w:r>
      <w:r w:rsidR="007F484E">
        <w:t xml:space="preserve"> </w:t>
      </w:r>
      <w:r>
        <w:t>risks such as pandemic health risk.</w:t>
      </w:r>
    </w:p>
    <w:p w14:paraId="3FB091A8" w14:textId="77777777" w:rsidR="003C2DC3" w:rsidRDefault="003C2DC3" w:rsidP="00B77E98">
      <w:pPr>
        <w:pStyle w:val="Heading2"/>
      </w:pPr>
      <w:bookmarkStart w:id="10" w:name="_Toc107410759"/>
      <w:r>
        <w:t>Cyber Resilience</w:t>
      </w:r>
      <w:bookmarkEnd w:id="10"/>
    </w:p>
    <w:p w14:paraId="12FDA053" w14:textId="77777777" w:rsidR="007F484E" w:rsidRDefault="003C2DC3" w:rsidP="003C2DC3">
      <w:pPr>
        <w:pStyle w:val="ListParagraph"/>
        <w:numPr>
          <w:ilvl w:val="0"/>
          <w:numId w:val="13"/>
        </w:numPr>
      </w:pPr>
      <w:r>
        <w:t>The Meeting welcomed the continued sharing of updates among AMS on cyber</w:t>
      </w:r>
      <w:r w:rsidR="007F484E">
        <w:t xml:space="preserve"> </w:t>
      </w:r>
      <w:r>
        <w:t>resilience and capacity building initiatives of the ASEAN Cybersecurity Resilience</w:t>
      </w:r>
      <w:r w:rsidR="007F484E">
        <w:t xml:space="preserve"> </w:t>
      </w:r>
      <w:r>
        <w:t>and Information Sharing Platform (CRISP) to combat cybersecurity threats among</w:t>
      </w:r>
      <w:r w:rsidR="007F484E">
        <w:t xml:space="preserve"> </w:t>
      </w:r>
      <w:r>
        <w:t>central banks.</w:t>
      </w:r>
    </w:p>
    <w:p w14:paraId="3A981CAC" w14:textId="77777777" w:rsidR="007F484E" w:rsidRDefault="007F484E" w:rsidP="007F484E">
      <w:pPr>
        <w:pStyle w:val="ListParagraph"/>
        <w:ind w:left="360"/>
      </w:pPr>
    </w:p>
    <w:p w14:paraId="65D32A1E" w14:textId="26FC5D68" w:rsidR="003C2DC3" w:rsidRDefault="003C2DC3" w:rsidP="003C2DC3">
      <w:pPr>
        <w:pStyle w:val="ListParagraph"/>
        <w:numPr>
          <w:ilvl w:val="0"/>
          <w:numId w:val="13"/>
        </w:numPr>
      </w:pPr>
      <w:r>
        <w:t>The Meeting looks forward to the signing of the supplemental Memorandum of</w:t>
      </w:r>
      <w:r w:rsidR="007F484E">
        <w:t xml:space="preserve"> </w:t>
      </w:r>
      <w:r>
        <w:t>Understanding (MOU) by all Digital Technology Network (DTN) members.</w:t>
      </w:r>
    </w:p>
    <w:p w14:paraId="71039EEF" w14:textId="77777777" w:rsidR="003C2DC3" w:rsidRDefault="003C2DC3" w:rsidP="00B77E98">
      <w:pPr>
        <w:pStyle w:val="Heading2"/>
      </w:pPr>
      <w:bookmarkStart w:id="11" w:name="_Toc107410760"/>
      <w:r>
        <w:t>Digital Asset</w:t>
      </w:r>
      <w:bookmarkEnd w:id="11"/>
    </w:p>
    <w:p w14:paraId="1C96BA09" w14:textId="7E45CC6B" w:rsidR="003C2DC3" w:rsidRDefault="003C2DC3" w:rsidP="003D6FCF">
      <w:pPr>
        <w:pStyle w:val="ListParagraph"/>
        <w:numPr>
          <w:ilvl w:val="0"/>
          <w:numId w:val="13"/>
        </w:numPr>
      </w:pPr>
      <w:proofErr w:type="spellStart"/>
      <w:r>
        <w:t>Cognisant</w:t>
      </w:r>
      <w:proofErr w:type="spellEnd"/>
      <w:r>
        <w:t xml:space="preserve"> of the importance of digital asset development and challenges, The</w:t>
      </w:r>
      <w:r w:rsidR="003D6FCF">
        <w:t xml:space="preserve"> </w:t>
      </w:r>
      <w:r>
        <w:t>Meeting welcomed the initiatives to include a standing agenda item in the ACMF’s</w:t>
      </w:r>
      <w:r w:rsidR="003D6FCF">
        <w:t xml:space="preserve"> </w:t>
      </w:r>
      <w:r>
        <w:t>agenda to exchange information and views on the regulation and developments in</w:t>
      </w:r>
      <w:r w:rsidR="003D6FCF">
        <w:t xml:space="preserve"> </w:t>
      </w:r>
      <w:r>
        <w:t>the area of digital assets. The Meeting also encourage greater exchange of views</w:t>
      </w:r>
      <w:r w:rsidR="003D6FCF">
        <w:t xml:space="preserve"> </w:t>
      </w:r>
      <w:r>
        <w:t>on digital asset developments amongst the relevant ASEAN working committees.</w:t>
      </w:r>
    </w:p>
    <w:p w14:paraId="5D6BB9DE" w14:textId="77777777" w:rsidR="003C2DC3" w:rsidRDefault="003C2DC3" w:rsidP="00B77E98">
      <w:pPr>
        <w:pStyle w:val="Heading2"/>
      </w:pPr>
      <w:bookmarkStart w:id="12" w:name="_Toc107410761"/>
      <w:r>
        <w:lastRenderedPageBreak/>
        <w:t>Dialogue with the Business Councils</w:t>
      </w:r>
      <w:bookmarkEnd w:id="12"/>
    </w:p>
    <w:p w14:paraId="74E370CF" w14:textId="13E128A5" w:rsidR="003C2DC3" w:rsidRDefault="003C2DC3" w:rsidP="003D6FCF">
      <w:pPr>
        <w:pStyle w:val="ListParagraph"/>
        <w:numPr>
          <w:ilvl w:val="0"/>
          <w:numId w:val="13"/>
        </w:numPr>
      </w:pPr>
      <w:r>
        <w:t>The Meeting expressed our appreciation to the ASEAN Business Advisory Council,</w:t>
      </w:r>
      <w:r w:rsidR="003D6FCF">
        <w:t xml:space="preserve"> </w:t>
      </w:r>
      <w:r>
        <w:t>ASEAN Financial Institutions CEO, EU-ASEAN Business Council and the US-ASEAN</w:t>
      </w:r>
      <w:r w:rsidR="003D6FCF">
        <w:t xml:space="preserve"> </w:t>
      </w:r>
      <w:r>
        <w:t>Business Council on the lively exchange of views on the outstanding regional and</w:t>
      </w:r>
      <w:r w:rsidR="003D6FCF">
        <w:t xml:space="preserve"> </w:t>
      </w:r>
      <w:r>
        <w:t xml:space="preserve">global issues. The Meeting </w:t>
      </w:r>
      <w:proofErr w:type="spellStart"/>
      <w:r>
        <w:t>recognised</w:t>
      </w:r>
      <w:proofErr w:type="spellEnd"/>
      <w:r>
        <w:t xml:space="preserve"> the significant role and contributions of our</w:t>
      </w:r>
      <w:r w:rsidR="003D6FCF">
        <w:t xml:space="preserve"> </w:t>
      </w:r>
      <w:r>
        <w:t>industry partners in supporting ASEAN’s initiatives in advancing regional post</w:t>
      </w:r>
      <w:r w:rsidR="003D6FCF">
        <w:t>-</w:t>
      </w:r>
      <w:r>
        <w:t>pandemic</w:t>
      </w:r>
      <w:r w:rsidR="003D6FCF">
        <w:t xml:space="preserve"> </w:t>
      </w:r>
      <w:r>
        <w:t>economic recovery towards a sustainable, resilient and inclusive</w:t>
      </w:r>
      <w:r w:rsidR="00230A67">
        <w:t xml:space="preserve"> </w:t>
      </w:r>
      <w:r>
        <w:t>growth.</w:t>
      </w:r>
    </w:p>
    <w:p w14:paraId="546BAA3C" w14:textId="77777777" w:rsidR="003C2DC3" w:rsidRDefault="003C2DC3" w:rsidP="00B77E98">
      <w:pPr>
        <w:pStyle w:val="Heading2"/>
      </w:pPr>
      <w:bookmarkStart w:id="13" w:name="_Toc107410762"/>
      <w:r>
        <w:t>Conclusion</w:t>
      </w:r>
      <w:bookmarkEnd w:id="13"/>
    </w:p>
    <w:p w14:paraId="55252A4A" w14:textId="0DD447A1" w:rsidR="00230A67" w:rsidRDefault="003C2DC3" w:rsidP="00230A67">
      <w:pPr>
        <w:pStyle w:val="ListParagraph"/>
        <w:numPr>
          <w:ilvl w:val="0"/>
          <w:numId w:val="13"/>
        </w:numPr>
      </w:pPr>
      <w:r>
        <w:t>The Meeting appreciate the support given by the ASEAN Secretariat to the 8</w:t>
      </w:r>
      <w:r w:rsidRPr="00230A67">
        <w:rPr>
          <w:vertAlign w:val="superscript"/>
        </w:rPr>
        <w:t>th</w:t>
      </w:r>
      <w:r w:rsidR="00230A67">
        <w:t xml:space="preserve"> </w:t>
      </w:r>
      <w:r>
        <w:t>AFMGM and its Related Meetings.</w:t>
      </w:r>
    </w:p>
    <w:p w14:paraId="1D8D3CF6" w14:textId="77777777" w:rsidR="00230A67" w:rsidRDefault="00230A67" w:rsidP="00230A67">
      <w:pPr>
        <w:pStyle w:val="ListParagraph"/>
        <w:ind w:left="360"/>
      </w:pPr>
    </w:p>
    <w:p w14:paraId="2193C50B" w14:textId="72CC2AA7" w:rsidR="003C2DC3" w:rsidRPr="00E423E4" w:rsidRDefault="003C2DC3" w:rsidP="00703895">
      <w:pPr>
        <w:pStyle w:val="ListParagraph"/>
        <w:numPr>
          <w:ilvl w:val="0"/>
          <w:numId w:val="13"/>
        </w:numPr>
      </w:pPr>
      <w:r>
        <w:t>The Meeting expressed our deep appreciation to Cambodia for hosting the 8</w:t>
      </w:r>
      <w:r w:rsidRPr="00230A67">
        <w:rPr>
          <w:vertAlign w:val="superscript"/>
        </w:rPr>
        <w:t>th</w:t>
      </w:r>
      <w:r w:rsidR="00230A67">
        <w:t xml:space="preserve"> </w:t>
      </w:r>
      <w:r>
        <w:t>AFMGM and its Related Meetings in virtual format given this trying times. The</w:t>
      </w:r>
      <w:r w:rsidR="00230A67">
        <w:t xml:space="preserve"> </w:t>
      </w:r>
      <w:r>
        <w:t>Meeting welcomed Indonesia as Chair and Host of the 9</w:t>
      </w:r>
      <w:r w:rsidRPr="00230A67">
        <w:rPr>
          <w:vertAlign w:val="superscript"/>
        </w:rPr>
        <w:t>th</w:t>
      </w:r>
      <w:r w:rsidR="00230A67">
        <w:t xml:space="preserve"> </w:t>
      </w:r>
      <w:r>
        <w:t>AFMGM in 2023.</w:t>
      </w:r>
    </w:p>
    <w:sectPr w:rsidR="003C2DC3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6746" w14:textId="77777777" w:rsidR="00AF7B93" w:rsidRDefault="00AF7B93" w:rsidP="00F61B4F">
      <w:pPr>
        <w:spacing w:before="0" w:after="0" w:line="240" w:lineRule="auto"/>
      </w:pPr>
      <w:r>
        <w:separator/>
      </w:r>
    </w:p>
  </w:endnote>
  <w:endnote w:type="continuationSeparator" w:id="0">
    <w:p w14:paraId="5612424B" w14:textId="77777777" w:rsidR="00AF7B93" w:rsidRDefault="00AF7B93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3B2B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028B9CB8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7DD7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7FB576D2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370B" w14:textId="77777777" w:rsidR="00AF7B93" w:rsidRDefault="00AF7B93" w:rsidP="00F61B4F">
      <w:pPr>
        <w:spacing w:before="0" w:after="0" w:line="240" w:lineRule="auto"/>
      </w:pPr>
      <w:r>
        <w:separator/>
      </w:r>
    </w:p>
  </w:footnote>
  <w:footnote w:type="continuationSeparator" w:id="0">
    <w:p w14:paraId="4980F92E" w14:textId="77777777" w:rsidR="00AF7B93" w:rsidRDefault="00AF7B93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DB5A" w14:textId="46A4C3DE" w:rsidR="00B532E2" w:rsidRPr="00CD6026" w:rsidRDefault="00EB38F2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2022</w:t>
    </w:r>
    <w:r w:rsidR="00DF288A">
      <w:rPr>
        <w:rFonts w:cs="Arial"/>
        <w:caps/>
        <w:color w:val="808080"/>
        <w:sz w:val="16"/>
        <w:szCs w:val="16"/>
      </w:rPr>
      <w:t xml:space="preserve"> </w:t>
    </w:r>
    <w:r>
      <w:rPr>
        <w:rFonts w:cs="Arial"/>
        <w:caps/>
        <w:color w:val="808080"/>
        <w:sz w:val="16"/>
        <w:szCs w:val="16"/>
      </w:rPr>
      <w:t>joint statement of 8</w:t>
    </w:r>
    <w:r w:rsidRPr="00EB38F2">
      <w:rPr>
        <w:rFonts w:cs="Arial"/>
        <w:caps/>
        <w:color w:val="808080"/>
        <w:sz w:val="16"/>
        <w:szCs w:val="16"/>
        <w:vertAlign w:val="superscript"/>
      </w:rPr>
      <w:t>th</w:t>
    </w:r>
    <w:r>
      <w:rPr>
        <w:rFonts w:cs="Arial"/>
        <w:caps/>
        <w:color w:val="808080"/>
        <w:sz w:val="16"/>
        <w:szCs w:val="16"/>
      </w:rPr>
      <w:t xml:space="preserve"> afmgm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A6461"/>
    <w:multiLevelType w:val="hybridMultilevel"/>
    <w:tmpl w:val="4F6429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88A"/>
    <w:multiLevelType w:val="hybridMultilevel"/>
    <w:tmpl w:val="FB2EA93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F1001"/>
    <w:multiLevelType w:val="hybridMultilevel"/>
    <w:tmpl w:val="3FA4C7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5A01"/>
    <w:multiLevelType w:val="hybridMultilevel"/>
    <w:tmpl w:val="907204B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75FDC"/>
    <w:multiLevelType w:val="hybridMultilevel"/>
    <w:tmpl w:val="75BE821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20257"/>
    <w:multiLevelType w:val="hybridMultilevel"/>
    <w:tmpl w:val="DB4C9A2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F4A5A"/>
    <w:multiLevelType w:val="hybridMultilevel"/>
    <w:tmpl w:val="473C4A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F4CBC"/>
    <w:multiLevelType w:val="hybridMultilevel"/>
    <w:tmpl w:val="392242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F39"/>
    <w:multiLevelType w:val="hybridMultilevel"/>
    <w:tmpl w:val="37ECA88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63BE3"/>
    <w:multiLevelType w:val="hybridMultilevel"/>
    <w:tmpl w:val="45A66A8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F60B9"/>
    <w:multiLevelType w:val="hybridMultilevel"/>
    <w:tmpl w:val="D3329C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32302"/>
    <w:multiLevelType w:val="hybridMultilevel"/>
    <w:tmpl w:val="824E76A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CA9"/>
    <w:multiLevelType w:val="hybridMultilevel"/>
    <w:tmpl w:val="A31274F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9"/>
  </w:num>
  <w:num w:numId="17">
    <w:abstractNumId w:val="21"/>
  </w:num>
  <w:num w:numId="18">
    <w:abstractNumId w:val="20"/>
  </w:num>
  <w:num w:numId="19">
    <w:abstractNumId w:val="11"/>
  </w:num>
  <w:num w:numId="20">
    <w:abstractNumId w:val="10"/>
  </w:num>
  <w:num w:numId="21">
    <w:abstractNumId w:val="23"/>
  </w:num>
  <w:num w:numId="22">
    <w:abstractNumId w:val="16"/>
  </w:num>
  <w:num w:numId="23">
    <w:abstractNumId w:val="17"/>
  </w:num>
  <w:num w:numId="24">
    <w:abstractNumId w:val="22"/>
  </w:num>
  <w:num w:numId="2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C3"/>
    <w:rsid w:val="00000FB0"/>
    <w:rsid w:val="00002446"/>
    <w:rsid w:val="000043E5"/>
    <w:rsid w:val="00011723"/>
    <w:rsid w:val="00011B68"/>
    <w:rsid w:val="00013030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66D7D"/>
    <w:rsid w:val="0007234F"/>
    <w:rsid w:val="000768A2"/>
    <w:rsid w:val="000771E0"/>
    <w:rsid w:val="00080879"/>
    <w:rsid w:val="00080FD6"/>
    <w:rsid w:val="00081E70"/>
    <w:rsid w:val="00082260"/>
    <w:rsid w:val="00083FFE"/>
    <w:rsid w:val="000909F4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239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8562E"/>
    <w:rsid w:val="00191FB7"/>
    <w:rsid w:val="00194639"/>
    <w:rsid w:val="0019674F"/>
    <w:rsid w:val="001A0777"/>
    <w:rsid w:val="001A31BD"/>
    <w:rsid w:val="001B572F"/>
    <w:rsid w:val="001C50F5"/>
    <w:rsid w:val="001C7B98"/>
    <w:rsid w:val="001C7E96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30A67"/>
    <w:rsid w:val="002423B7"/>
    <w:rsid w:val="00244645"/>
    <w:rsid w:val="00245638"/>
    <w:rsid w:val="00245A2D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02D2"/>
    <w:rsid w:val="00274C7A"/>
    <w:rsid w:val="002750EF"/>
    <w:rsid w:val="00275D0D"/>
    <w:rsid w:val="00284792"/>
    <w:rsid w:val="002927F7"/>
    <w:rsid w:val="00294CBA"/>
    <w:rsid w:val="002952DD"/>
    <w:rsid w:val="002953BE"/>
    <w:rsid w:val="00297B32"/>
    <w:rsid w:val="002A32A5"/>
    <w:rsid w:val="002A4172"/>
    <w:rsid w:val="002B2294"/>
    <w:rsid w:val="002B2363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E6D9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177E4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84F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2DC3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D6FCF"/>
    <w:rsid w:val="003E0C85"/>
    <w:rsid w:val="003E69D4"/>
    <w:rsid w:val="003F148C"/>
    <w:rsid w:val="003F1817"/>
    <w:rsid w:val="003F5AC2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3CE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1F2F"/>
    <w:rsid w:val="005827A5"/>
    <w:rsid w:val="00584C90"/>
    <w:rsid w:val="005865AA"/>
    <w:rsid w:val="0058716E"/>
    <w:rsid w:val="00590C4E"/>
    <w:rsid w:val="00590C61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22AD"/>
    <w:rsid w:val="005C46EA"/>
    <w:rsid w:val="005C6ADE"/>
    <w:rsid w:val="005D3068"/>
    <w:rsid w:val="005D50BC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0948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38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484E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1804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1EEA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0684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2546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A1F1F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0A73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AF7B93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359BE"/>
    <w:rsid w:val="00B420A0"/>
    <w:rsid w:val="00B456B7"/>
    <w:rsid w:val="00B45912"/>
    <w:rsid w:val="00B5211D"/>
    <w:rsid w:val="00B52EFE"/>
    <w:rsid w:val="00B532E2"/>
    <w:rsid w:val="00B53B09"/>
    <w:rsid w:val="00B54E3F"/>
    <w:rsid w:val="00B61944"/>
    <w:rsid w:val="00B62E0A"/>
    <w:rsid w:val="00B6351C"/>
    <w:rsid w:val="00B736A5"/>
    <w:rsid w:val="00B74778"/>
    <w:rsid w:val="00B74FC8"/>
    <w:rsid w:val="00B76163"/>
    <w:rsid w:val="00B77E98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593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2F49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205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1AFE"/>
    <w:rsid w:val="00D86B2E"/>
    <w:rsid w:val="00D901BD"/>
    <w:rsid w:val="00D91710"/>
    <w:rsid w:val="00D92975"/>
    <w:rsid w:val="00DA4CF4"/>
    <w:rsid w:val="00DB3B2A"/>
    <w:rsid w:val="00DB59A7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51FF"/>
    <w:rsid w:val="00DD7A7D"/>
    <w:rsid w:val="00DE4868"/>
    <w:rsid w:val="00DE4917"/>
    <w:rsid w:val="00DE57D4"/>
    <w:rsid w:val="00DE583D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2AAA"/>
    <w:rsid w:val="00E46A83"/>
    <w:rsid w:val="00E479C9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38F2"/>
    <w:rsid w:val="00EB4089"/>
    <w:rsid w:val="00EB542E"/>
    <w:rsid w:val="00EC15F0"/>
    <w:rsid w:val="00EC299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15CA3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52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F010BB"/>
  <w15:docId w15:val="{058650DB-FEA1-4C0E-9F4C-5DB83CF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7E98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B77E98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esktop\CIL%20document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428-5526-4086-8DFE-0AE09EF0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8</Pages>
  <Words>3337</Words>
  <Characters>20352</Characters>
  <Application>Microsoft Office Word</Application>
  <DocSecurity>0</DocSecurity>
  <Lines>350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Microsoft Office User</cp:lastModifiedBy>
  <cp:revision>41</cp:revision>
  <cp:lastPrinted>2019-01-29T09:08:00Z</cp:lastPrinted>
  <dcterms:created xsi:type="dcterms:W3CDTF">2022-05-13T07:36:00Z</dcterms:created>
  <dcterms:modified xsi:type="dcterms:W3CDTF">2022-06-29T07:59:00Z</dcterms:modified>
</cp:coreProperties>
</file>