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4F6C" w14:textId="37A3598B" w:rsidR="004A75D4" w:rsidRDefault="003B1C21" w:rsidP="004A75D4">
      <w:pPr>
        <w:pStyle w:val="CILTitle"/>
      </w:pPr>
      <w:r>
        <w:t>2021</w:t>
      </w:r>
      <w:r w:rsidR="004C3A5F">
        <w:t>-2025</w:t>
      </w:r>
      <w:r>
        <w:t xml:space="preserve"> </w:t>
      </w:r>
      <w:r w:rsidR="004A75D4">
        <w:t>ASEAN-Norway Sectoral Dialogue Partnership: Practical Cooperation Areas</w:t>
      </w:r>
    </w:p>
    <w:p w14:paraId="6CEF2959" w14:textId="73CB52B0" w:rsidR="0002262A" w:rsidRDefault="0002262A" w:rsidP="0002262A">
      <w:pPr>
        <w:pStyle w:val="CILSubtitle"/>
      </w:pPr>
      <w:r>
        <w:t>Adopted on 24 March 2021</w:t>
      </w:r>
    </w:p>
    <w:p w14:paraId="7E77A3FE" w14:textId="77777777" w:rsidR="00441FA8" w:rsidRDefault="00441FA8" w:rsidP="004A75D4">
      <w:pPr>
        <w:spacing w:before="0" w:after="0"/>
      </w:pPr>
    </w:p>
    <w:p w14:paraId="482F9449" w14:textId="4753AADE" w:rsidR="004A75D4" w:rsidRDefault="004A75D4" w:rsidP="004A75D4">
      <w:pPr>
        <w:spacing w:before="0" w:after="0"/>
      </w:pPr>
      <w:r>
        <w:t>This document sets out potential Practical Cooperation Areas (PCA) for the ASEAN–Norway</w:t>
      </w:r>
      <w:r w:rsidR="00A342D0">
        <w:t xml:space="preserve"> </w:t>
      </w:r>
      <w:r>
        <w:t>Sectoral Dialogue Partnership for the period 2021 – 2025. The PCAs are aimed at enhancing</w:t>
      </w:r>
      <w:r w:rsidR="00A342D0">
        <w:t xml:space="preserve"> </w:t>
      </w:r>
      <w:r>
        <w:t>the partnership by implementing strategic and effective cooperation in areas where ASEAN</w:t>
      </w:r>
      <w:r w:rsidR="00A342D0">
        <w:t xml:space="preserve"> </w:t>
      </w:r>
      <w:r>
        <w:t>and Norway have relevant expertise and mutual interests.</w:t>
      </w:r>
    </w:p>
    <w:p w14:paraId="19EE4213" w14:textId="77777777" w:rsidR="00BD439A" w:rsidRDefault="00BD439A" w:rsidP="004A75D4">
      <w:pPr>
        <w:spacing w:before="0" w:after="0"/>
      </w:pPr>
    </w:p>
    <w:p w14:paraId="4FF37DF3" w14:textId="42355911" w:rsidR="004A75D4" w:rsidRDefault="004A75D4" w:rsidP="004A75D4">
      <w:pPr>
        <w:spacing w:before="0" w:after="0"/>
      </w:pPr>
      <w:r>
        <w:t>A key priority for the partnership is to advance ASEAN’s progress towards achieving the</w:t>
      </w:r>
      <w:r w:rsidR="00A342D0">
        <w:t xml:space="preserve"> </w:t>
      </w:r>
      <w:r>
        <w:t>ASEAN Community Vision 2025 and the United Nations 2030 Agenda for Sustainable</w:t>
      </w:r>
      <w:r w:rsidR="00A342D0">
        <w:t xml:space="preserve"> </w:t>
      </w:r>
      <w:r>
        <w:t>Development.</w:t>
      </w:r>
    </w:p>
    <w:p w14:paraId="43E6F446" w14:textId="77777777" w:rsidR="00BD439A" w:rsidRDefault="00BD439A" w:rsidP="004A75D4">
      <w:pPr>
        <w:spacing w:before="0" w:after="0"/>
      </w:pPr>
    </w:p>
    <w:p w14:paraId="192A54B3" w14:textId="6443E548" w:rsidR="00EC35B0" w:rsidRDefault="004A75D4" w:rsidP="004A75D4">
      <w:pPr>
        <w:spacing w:before="0" w:after="0"/>
      </w:pPr>
      <w:r>
        <w:t>Deliverables in these PCAs can be in the form of projects approved under the Norway-ASEAN</w:t>
      </w:r>
      <w:r w:rsidR="00A342D0">
        <w:t xml:space="preserve"> </w:t>
      </w:r>
      <w:r>
        <w:t>Regional Initiatives Programme (NARIP), other ASEAN-approved projects, participation in</w:t>
      </w:r>
      <w:r w:rsidR="00A342D0">
        <w:t xml:space="preserve"> </w:t>
      </w:r>
      <w:r>
        <w:t>official ASEAN activities (capacity building, training, conferences or meetings), or other</w:t>
      </w:r>
      <w:r w:rsidR="00A342D0">
        <w:t xml:space="preserve"> </w:t>
      </w:r>
      <w:r>
        <w:t>activities approved by both</w:t>
      </w:r>
      <w:r w:rsidR="00A342D0">
        <w:t xml:space="preserve"> </w:t>
      </w:r>
      <w:r>
        <w:t>parties.</w:t>
      </w:r>
    </w:p>
    <w:p w14:paraId="338AAEF4" w14:textId="77777777" w:rsidR="004A75D4" w:rsidRDefault="004A75D4" w:rsidP="00F67848">
      <w:pPr>
        <w:pStyle w:val="Heading2"/>
      </w:pPr>
      <w:r>
        <w:t>Political-Security Cooperation</w:t>
      </w:r>
    </w:p>
    <w:p w14:paraId="6A66958A" w14:textId="77777777" w:rsidR="004A75D4" w:rsidRDefault="004A75D4" w:rsidP="00EC35B0">
      <w:pPr>
        <w:pStyle w:val="Heading3"/>
      </w:pPr>
      <w:r>
        <w:t>Peace, Reconciliation and Security</w:t>
      </w:r>
    </w:p>
    <w:p w14:paraId="476F5D33" w14:textId="4C2E64DD" w:rsidR="00EC35B0" w:rsidRDefault="004A75D4" w:rsidP="00EC35B0">
      <w:pPr>
        <w:pStyle w:val="ListParagraph"/>
        <w:numPr>
          <w:ilvl w:val="0"/>
          <w:numId w:val="13"/>
        </w:numPr>
        <w:spacing w:before="0" w:after="0"/>
      </w:pPr>
      <w:r>
        <w:t>Enhance cooperation in the area of peace and reconciliation, including cooperation with</w:t>
      </w:r>
      <w:r w:rsidR="00EC35B0">
        <w:t xml:space="preserve"> </w:t>
      </w:r>
      <w:r>
        <w:t>the ASEAN Institute for Peace and Reconciliation (ASEAN-IPR) as well as through</w:t>
      </w:r>
      <w:r w:rsidR="00EC35B0">
        <w:t xml:space="preserve"> </w:t>
      </w:r>
      <w:r>
        <w:t>support for activities and capacity building of the ASEAN Women for Peace Registry</w:t>
      </w:r>
      <w:r w:rsidR="00EC35B0">
        <w:t xml:space="preserve"> </w:t>
      </w:r>
      <w:r>
        <w:t>(AWPR), in accordance with their Terms of</w:t>
      </w:r>
      <w:r w:rsidR="00EC35B0">
        <w:t xml:space="preserve"> </w:t>
      </w:r>
      <w:r>
        <w:t>Reference.</w:t>
      </w:r>
    </w:p>
    <w:p w14:paraId="2AE0612E" w14:textId="77777777" w:rsidR="004578BD" w:rsidRDefault="004578BD" w:rsidP="004578BD">
      <w:pPr>
        <w:pStyle w:val="ListParagraph"/>
        <w:spacing w:before="0" w:after="0"/>
      </w:pPr>
    </w:p>
    <w:p w14:paraId="4E8880EC" w14:textId="06531AAC" w:rsidR="00055D03" w:rsidRDefault="004A75D4" w:rsidP="00055D03">
      <w:pPr>
        <w:pStyle w:val="ListParagraph"/>
        <w:numPr>
          <w:ilvl w:val="0"/>
          <w:numId w:val="13"/>
        </w:numPr>
        <w:spacing w:before="0" w:after="0"/>
      </w:pPr>
      <w:r>
        <w:t>Explore opportunities for sharing experiences and best practices in the areas of</w:t>
      </w:r>
      <w:r w:rsidR="00EC35B0">
        <w:t xml:space="preserve"> </w:t>
      </w:r>
      <w:r>
        <w:t>disarmament, non-proliferation, and in addressing the humanitarian impact of</w:t>
      </w:r>
      <w:r w:rsidR="00EC35B0">
        <w:t xml:space="preserve"> </w:t>
      </w:r>
      <w:r>
        <w:t>landmines and explosive remnants of war in the region, including through dialogue with</w:t>
      </w:r>
      <w:r w:rsidR="00EC35B0">
        <w:t xml:space="preserve"> </w:t>
      </w:r>
      <w:r>
        <w:t>the ASEAN Regional Mine Action Centre (ARMAC).</w:t>
      </w:r>
    </w:p>
    <w:p w14:paraId="33E76132" w14:textId="77777777" w:rsidR="00055D03" w:rsidRDefault="00055D03" w:rsidP="00055D03">
      <w:pPr>
        <w:pStyle w:val="ListParagraph"/>
        <w:spacing w:before="0" w:after="0"/>
      </w:pPr>
    </w:p>
    <w:p w14:paraId="6C5EDA37" w14:textId="77777777" w:rsidR="00EC35B0" w:rsidRDefault="004A75D4" w:rsidP="00EC35B0">
      <w:pPr>
        <w:pStyle w:val="ListParagraph"/>
        <w:numPr>
          <w:ilvl w:val="0"/>
          <w:numId w:val="13"/>
        </w:numPr>
        <w:spacing w:before="0" w:after="0"/>
      </w:pPr>
      <w:r>
        <w:t>Explore potential cooperative measures to promote responsible state behaviour in</w:t>
      </w:r>
      <w:r w:rsidR="00EC35B0">
        <w:t xml:space="preserve"> </w:t>
      </w:r>
      <w:r>
        <w:t>cyberspace, based on the application of relevant international law principles, voluntary</w:t>
      </w:r>
      <w:r w:rsidR="00EC35B0">
        <w:t xml:space="preserve"> </w:t>
      </w:r>
      <w:r>
        <w:t>and non-binding norms, confidence-building measures and capacity building.</w:t>
      </w:r>
    </w:p>
    <w:p w14:paraId="6847CEDF" w14:textId="77777777" w:rsidR="00055D03" w:rsidRDefault="00055D03" w:rsidP="00055D03">
      <w:pPr>
        <w:pStyle w:val="ListParagraph"/>
        <w:spacing w:before="0" w:after="0"/>
      </w:pPr>
    </w:p>
    <w:p w14:paraId="4F47847D" w14:textId="3D32FE05" w:rsidR="004A75D4" w:rsidRDefault="004A75D4" w:rsidP="00EC35B0">
      <w:pPr>
        <w:pStyle w:val="ListParagraph"/>
        <w:numPr>
          <w:ilvl w:val="0"/>
          <w:numId w:val="13"/>
        </w:numPr>
        <w:spacing w:before="0" w:after="0"/>
      </w:pPr>
      <w:r>
        <w:t>Explore opportunities for cooperation to promote moderation, tolerance and</w:t>
      </w:r>
      <w:r w:rsidR="00EC35B0">
        <w:t xml:space="preserve"> </w:t>
      </w:r>
      <w:r>
        <w:t>understanding in order to</w:t>
      </w:r>
      <w:r w:rsidR="00EC35B0">
        <w:t xml:space="preserve"> </w:t>
      </w:r>
      <w:r>
        <w:t>counter terrorism and prevent violent extremism.</w:t>
      </w:r>
    </w:p>
    <w:p w14:paraId="5A7ED141" w14:textId="77777777" w:rsidR="004A75D4" w:rsidRDefault="004A75D4" w:rsidP="00EC35B0">
      <w:pPr>
        <w:pStyle w:val="Heading3"/>
      </w:pPr>
      <w:r>
        <w:t>Good Governance and Human Rights</w:t>
      </w:r>
    </w:p>
    <w:p w14:paraId="43805943" w14:textId="77777777" w:rsidR="00EC35B0" w:rsidRDefault="004A75D4" w:rsidP="00EC35B0">
      <w:pPr>
        <w:pStyle w:val="ListParagraph"/>
        <w:numPr>
          <w:ilvl w:val="0"/>
          <w:numId w:val="13"/>
        </w:numPr>
        <w:spacing w:before="0" w:after="0"/>
      </w:pPr>
      <w:r>
        <w:t>Support ASEAN’s efforts to promote good governance and the rule of law, including</w:t>
      </w:r>
      <w:r w:rsidR="00EC35B0">
        <w:t xml:space="preserve"> </w:t>
      </w:r>
      <w:r>
        <w:t>through exchange of experiences and best practices.</w:t>
      </w:r>
    </w:p>
    <w:p w14:paraId="4DAA0213" w14:textId="77777777" w:rsidR="002A1403" w:rsidRDefault="002A1403" w:rsidP="002A1403">
      <w:pPr>
        <w:pStyle w:val="ListParagraph"/>
        <w:spacing w:before="0" w:after="0"/>
      </w:pPr>
    </w:p>
    <w:p w14:paraId="1838BA3A" w14:textId="0D3BE417" w:rsidR="00EC35B0" w:rsidRDefault="004A75D4" w:rsidP="00EC35B0">
      <w:pPr>
        <w:pStyle w:val="ListParagraph"/>
        <w:numPr>
          <w:ilvl w:val="0"/>
          <w:numId w:val="13"/>
        </w:numPr>
        <w:spacing w:before="0" w:after="0"/>
      </w:pPr>
      <w:r>
        <w:t>Support efforts to promote and protect human rights in ASEAN in accordance with the</w:t>
      </w:r>
      <w:r w:rsidR="00EC35B0">
        <w:t xml:space="preserve"> </w:t>
      </w:r>
      <w:r>
        <w:t>Universal Declaration of Human Rights, the ASEAN Human Rights Declaration (AHRD)</w:t>
      </w:r>
      <w:r w:rsidR="00EC35B0">
        <w:t xml:space="preserve"> </w:t>
      </w:r>
      <w:r>
        <w:t>and the Phnom Penh Statement on the Adoption of AHRD, and relevant international</w:t>
      </w:r>
      <w:r w:rsidR="00EC35B0">
        <w:t xml:space="preserve"> </w:t>
      </w:r>
      <w:r>
        <w:t>human rights instruments to which all ASEAN Member States are parties.</w:t>
      </w:r>
    </w:p>
    <w:p w14:paraId="3EE87616" w14:textId="77777777" w:rsidR="002A1403" w:rsidRDefault="002A1403" w:rsidP="002A1403">
      <w:pPr>
        <w:pStyle w:val="ListParagraph"/>
        <w:spacing w:before="0" w:after="0"/>
      </w:pPr>
    </w:p>
    <w:p w14:paraId="5C3BE1E8" w14:textId="0E1E63D4" w:rsidR="00EC35B0" w:rsidRDefault="004A75D4" w:rsidP="00EC35B0">
      <w:pPr>
        <w:pStyle w:val="ListParagraph"/>
        <w:numPr>
          <w:ilvl w:val="0"/>
          <w:numId w:val="13"/>
        </w:numPr>
        <w:spacing w:before="0" w:after="0"/>
      </w:pPr>
      <w:r>
        <w:t>Continue to support the work and mandate of the ASEAN Intergovernmental</w:t>
      </w:r>
      <w:r w:rsidR="00EC35B0">
        <w:t xml:space="preserve"> </w:t>
      </w:r>
      <w:r>
        <w:t>Commission on Human Rights (AICHR), in accordance with its Terms of Reference, to</w:t>
      </w:r>
      <w:r w:rsidR="00EC35B0">
        <w:t xml:space="preserve"> </w:t>
      </w:r>
      <w:r>
        <w:t>promote human rights and fundamental freedoms.</w:t>
      </w:r>
    </w:p>
    <w:p w14:paraId="61DA832E" w14:textId="77777777" w:rsidR="002A1403" w:rsidRDefault="002A1403" w:rsidP="002A1403">
      <w:pPr>
        <w:pStyle w:val="ListParagraph"/>
        <w:spacing w:before="0" w:after="0"/>
      </w:pPr>
    </w:p>
    <w:p w14:paraId="23ED3F7F" w14:textId="7706FB10" w:rsidR="004A75D4" w:rsidRDefault="004A75D4" w:rsidP="00EC35B0">
      <w:pPr>
        <w:pStyle w:val="ListParagraph"/>
        <w:numPr>
          <w:ilvl w:val="0"/>
          <w:numId w:val="13"/>
        </w:numPr>
        <w:spacing w:before="0" w:after="0"/>
      </w:pPr>
      <w:r>
        <w:t>Continue cooperation in the area of business and human rights through the exchange</w:t>
      </w:r>
      <w:r w:rsidR="00EC35B0">
        <w:t xml:space="preserve"> </w:t>
      </w:r>
      <w:r>
        <w:t>of experiences and best practices.</w:t>
      </w:r>
    </w:p>
    <w:p w14:paraId="5FA9B53D" w14:textId="77777777" w:rsidR="004A75D4" w:rsidRDefault="004A75D4" w:rsidP="00F67848">
      <w:pPr>
        <w:pStyle w:val="Heading2"/>
      </w:pPr>
      <w:r>
        <w:t>Economic Cooperation</w:t>
      </w:r>
    </w:p>
    <w:p w14:paraId="2B4FEA20" w14:textId="7733E718" w:rsidR="004A75D4" w:rsidRDefault="004A75D4" w:rsidP="00EC35B0">
      <w:pPr>
        <w:pStyle w:val="Heading3"/>
      </w:pPr>
      <w:r>
        <w:t>Trade, Investment and Private Sector Development, including Micro, Small and Medium</w:t>
      </w:r>
      <w:r w:rsidR="00EC35B0">
        <w:t xml:space="preserve"> </w:t>
      </w:r>
      <w:r>
        <w:t>Enterprises</w:t>
      </w:r>
      <w:r w:rsidR="00EC35B0">
        <w:t xml:space="preserve"> </w:t>
      </w:r>
      <w:r>
        <w:t>(MSMEs)</w:t>
      </w:r>
    </w:p>
    <w:p w14:paraId="4DB945A5" w14:textId="3CC8012C" w:rsidR="00EC35B0" w:rsidRDefault="004A75D4" w:rsidP="000D19F4">
      <w:pPr>
        <w:pStyle w:val="ListParagraph"/>
        <w:numPr>
          <w:ilvl w:val="0"/>
          <w:numId w:val="13"/>
        </w:numPr>
        <w:spacing w:before="0" w:after="0"/>
      </w:pPr>
      <w:r>
        <w:t>Support efforts to promote trade and investment relations between ASEAN and</w:t>
      </w:r>
      <w:r w:rsidR="00EC35B0">
        <w:t xml:space="preserve"> </w:t>
      </w:r>
      <w:r>
        <w:t>Norway, including by enhancing private sector engagement and business-to-business</w:t>
      </w:r>
      <w:r w:rsidR="00EC35B0">
        <w:t xml:space="preserve"> </w:t>
      </w:r>
      <w:r>
        <w:t>relations between the parties. The cooperation should emphasise the importance of</w:t>
      </w:r>
      <w:r w:rsidR="00EC35B0">
        <w:t xml:space="preserve"> </w:t>
      </w:r>
      <w:r>
        <w:t>creating conducive and business-friendly environments that are stable, resilient and</w:t>
      </w:r>
      <w:r w:rsidR="00EC35B0">
        <w:t xml:space="preserve"> </w:t>
      </w:r>
      <w:r>
        <w:t>predictable, with a particular focus on inclusive businesses, MSMEs, startup</w:t>
      </w:r>
      <w:r w:rsidR="00EC35B0">
        <w:t xml:space="preserve"> </w:t>
      </w:r>
      <w:r>
        <w:t>entrepreneurs, digitalisation for MSMEs, and the participation of women and young</w:t>
      </w:r>
      <w:r w:rsidR="000D19F4">
        <w:t xml:space="preserve"> </w:t>
      </w:r>
      <w:r>
        <w:t>people.</w:t>
      </w:r>
    </w:p>
    <w:p w14:paraId="63F1477E" w14:textId="77777777" w:rsidR="004F1044" w:rsidRDefault="004F1044" w:rsidP="004F1044">
      <w:pPr>
        <w:pStyle w:val="ListParagraph"/>
        <w:spacing w:before="0" w:after="0"/>
      </w:pPr>
    </w:p>
    <w:p w14:paraId="3068AE20" w14:textId="38DF273E" w:rsidR="004A75D4" w:rsidRDefault="004A75D4" w:rsidP="00EC35B0">
      <w:pPr>
        <w:pStyle w:val="ListParagraph"/>
        <w:numPr>
          <w:ilvl w:val="0"/>
          <w:numId w:val="13"/>
        </w:numPr>
        <w:spacing w:before="0" w:after="0"/>
      </w:pPr>
      <w:r>
        <w:t>Continue dialogue with the aim of concluding a Joint Declaration on Cooperation</w:t>
      </w:r>
      <w:r w:rsidR="00EC35B0">
        <w:t xml:space="preserve"> </w:t>
      </w:r>
      <w:r>
        <w:t>between ASEAN and the European Free Trade Association (EFTA), with a view to</w:t>
      </w:r>
      <w:r w:rsidR="00EC35B0">
        <w:t xml:space="preserve"> </w:t>
      </w:r>
      <w:r>
        <w:t>providing a platform for strengthening economic relations between ASEAN and the</w:t>
      </w:r>
      <w:r w:rsidR="00EC35B0">
        <w:t xml:space="preserve"> </w:t>
      </w:r>
      <w:r>
        <w:t>EFTA states.</w:t>
      </w:r>
    </w:p>
    <w:p w14:paraId="2AAC616A" w14:textId="77777777" w:rsidR="004A75D4" w:rsidRDefault="004A75D4" w:rsidP="00EC35B0">
      <w:pPr>
        <w:pStyle w:val="Heading3"/>
      </w:pPr>
      <w:r>
        <w:t>Energy</w:t>
      </w:r>
    </w:p>
    <w:p w14:paraId="34F697A0" w14:textId="77777777" w:rsidR="000D19F4" w:rsidRDefault="004A75D4" w:rsidP="0008187F">
      <w:pPr>
        <w:pStyle w:val="ListParagraph"/>
        <w:numPr>
          <w:ilvl w:val="0"/>
          <w:numId w:val="13"/>
        </w:numPr>
        <w:spacing w:before="0" w:after="0"/>
      </w:pPr>
      <w:r>
        <w:t>Support the development of ASEAN energy policy to reach the targets relating to</w:t>
      </w:r>
      <w:r w:rsidR="000D19F4">
        <w:t xml:space="preserve"> </w:t>
      </w:r>
      <w:r>
        <w:t>renewable energy, energy intensity reduction and multilateral power trading set out in</w:t>
      </w:r>
      <w:r w:rsidR="000D19F4">
        <w:t xml:space="preserve"> </w:t>
      </w:r>
      <w:r>
        <w:t>the ASEAN Plan of Action for Energy Cooperation (APAEC) 2016-2025.</w:t>
      </w:r>
    </w:p>
    <w:p w14:paraId="42651760" w14:textId="77777777" w:rsidR="004F1044" w:rsidRDefault="004F1044" w:rsidP="004F1044">
      <w:pPr>
        <w:pStyle w:val="ListParagraph"/>
        <w:spacing w:before="0" w:after="0"/>
      </w:pPr>
    </w:p>
    <w:p w14:paraId="59CA275C" w14:textId="3A50A209" w:rsidR="000D19F4" w:rsidRDefault="004A75D4" w:rsidP="0008187F">
      <w:pPr>
        <w:pStyle w:val="ListParagraph"/>
        <w:numPr>
          <w:ilvl w:val="0"/>
          <w:numId w:val="13"/>
        </w:numPr>
        <w:spacing w:before="0" w:after="0"/>
      </w:pPr>
      <w:r>
        <w:t>Explore opportunities for cooperation to support the efforts of ASEAN Member States</w:t>
      </w:r>
      <w:r w:rsidR="000D19F4">
        <w:t xml:space="preserve"> </w:t>
      </w:r>
      <w:r>
        <w:t>to strengthen their capacity in the areas of energy security and the safe, sustainable</w:t>
      </w:r>
      <w:r w:rsidR="000D19F4">
        <w:t xml:space="preserve"> </w:t>
      </w:r>
      <w:r>
        <w:t>development of renewable and alternative energy sources, and their efforts to promote</w:t>
      </w:r>
      <w:r w:rsidR="000D19F4">
        <w:t xml:space="preserve"> </w:t>
      </w:r>
      <w:r>
        <w:t>energy technologies energy efficiency and</w:t>
      </w:r>
      <w:r w:rsidR="000D19F4">
        <w:t xml:space="preserve"> </w:t>
      </w:r>
      <w:r>
        <w:t>conservation practices.</w:t>
      </w:r>
    </w:p>
    <w:p w14:paraId="696C2EE0" w14:textId="77777777" w:rsidR="004F1044" w:rsidRDefault="004F1044" w:rsidP="004F1044">
      <w:pPr>
        <w:pStyle w:val="ListParagraph"/>
        <w:spacing w:before="0" w:after="0"/>
      </w:pPr>
    </w:p>
    <w:p w14:paraId="09329BDD" w14:textId="3B3E8B20" w:rsidR="004A75D4" w:rsidRDefault="000D19F4" w:rsidP="0008187F">
      <w:pPr>
        <w:pStyle w:val="ListParagraph"/>
        <w:numPr>
          <w:ilvl w:val="0"/>
          <w:numId w:val="13"/>
        </w:numPr>
        <w:spacing w:before="0" w:after="0"/>
      </w:pPr>
      <w:r>
        <w:t>C</w:t>
      </w:r>
      <w:r w:rsidR="004A75D4">
        <w:t>ontinue to support the work of the ASEAN Centre for Energy (ACE) to promote the</w:t>
      </w:r>
      <w:r>
        <w:t xml:space="preserve"> u</w:t>
      </w:r>
      <w:r w:rsidR="004A75D4">
        <w:t>se of renewable energy and link together energy use and climate change.</w:t>
      </w:r>
    </w:p>
    <w:p w14:paraId="75922567" w14:textId="77777777" w:rsidR="004A75D4" w:rsidRDefault="004A75D4" w:rsidP="00EC35B0">
      <w:pPr>
        <w:pStyle w:val="Heading3"/>
      </w:pPr>
      <w:r>
        <w:t>Science, Technology and Innovation</w:t>
      </w:r>
    </w:p>
    <w:p w14:paraId="7429C3AA" w14:textId="77777777" w:rsidR="0008187F" w:rsidRDefault="004A75D4" w:rsidP="0008187F">
      <w:pPr>
        <w:pStyle w:val="ListParagraph"/>
        <w:numPr>
          <w:ilvl w:val="0"/>
          <w:numId w:val="13"/>
        </w:numPr>
        <w:spacing w:before="0" w:after="0"/>
      </w:pPr>
      <w:r>
        <w:t>Promote cooperation in science, technology and innovation (STI) research and</w:t>
      </w:r>
      <w:r w:rsidR="0008187F">
        <w:t xml:space="preserve"> </w:t>
      </w:r>
      <w:r>
        <w:t>development, technology transfer, commercialization and management in areas of</w:t>
      </w:r>
      <w:r w:rsidR="0008187F">
        <w:t xml:space="preserve"> </w:t>
      </w:r>
      <w:r>
        <w:t>mutual interest and benefit.</w:t>
      </w:r>
    </w:p>
    <w:p w14:paraId="5AAD881C" w14:textId="77777777" w:rsidR="004F1044" w:rsidRDefault="004F1044" w:rsidP="004F1044">
      <w:pPr>
        <w:pStyle w:val="ListParagraph"/>
        <w:spacing w:before="0" w:after="0"/>
      </w:pPr>
    </w:p>
    <w:p w14:paraId="75FCD3C3" w14:textId="764F48EC" w:rsidR="0008187F" w:rsidRDefault="004A75D4" w:rsidP="0008187F">
      <w:pPr>
        <w:pStyle w:val="ListParagraph"/>
        <w:numPr>
          <w:ilvl w:val="0"/>
          <w:numId w:val="13"/>
        </w:numPr>
        <w:spacing w:before="0" w:after="0"/>
      </w:pPr>
      <w:r>
        <w:t>Explore the establishment of innovative systems and smart partnerships to cultivate</w:t>
      </w:r>
      <w:r w:rsidR="0008187F">
        <w:t xml:space="preserve"> </w:t>
      </w:r>
      <w:r>
        <w:t>STI enterprises and support MSMEs, and foster knowledge creation and STI</w:t>
      </w:r>
      <w:r w:rsidR="0008187F">
        <w:t xml:space="preserve"> </w:t>
      </w:r>
      <w:r>
        <w:t>applications to enhance competitiveness.</w:t>
      </w:r>
    </w:p>
    <w:p w14:paraId="6F1A9D55" w14:textId="77777777" w:rsidR="004F1044" w:rsidRDefault="004F1044" w:rsidP="004F1044">
      <w:pPr>
        <w:pStyle w:val="ListParagraph"/>
        <w:spacing w:before="0" w:after="0"/>
      </w:pPr>
    </w:p>
    <w:p w14:paraId="09D1208E" w14:textId="30A96F2B" w:rsidR="004A75D4" w:rsidRDefault="004A75D4" w:rsidP="0008187F">
      <w:pPr>
        <w:pStyle w:val="ListParagraph"/>
        <w:numPr>
          <w:ilvl w:val="0"/>
          <w:numId w:val="13"/>
        </w:numPr>
        <w:spacing w:before="0" w:after="0"/>
      </w:pPr>
      <w:r>
        <w:t>Promote cooperation on research and development, management, capacity building</w:t>
      </w:r>
      <w:r w:rsidR="0008187F">
        <w:t xml:space="preserve"> </w:t>
      </w:r>
      <w:r>
        <w:t>and exchange of experience and best practices in the area of information and</w:t>
      </w:r>
      <w:r w:rsidR="0008187F">
        <w:t xml:space="preserve"> </w:t>
      </w:r>
      <w:r>
        <w:t>communication technology.</w:t>
      </w:r>
    </w:p>
    <w:p w14:paraId="36DA91C5" w14:textId="77777777" w:rsidR="004A75D4" w:rsidRDefault="004A75D4" w:rsidP="00EC35B0">
      <w:pPr>
        <w:pStyle w:val="Heading3"/>
      </w:pPr>
      <w:r>
        <w:t>Food, Agriculture, and Forestry</w:t>
      </w:r>
    </w:p>
    <w:p w14:paraId="6B63D14F" w14:textId="77777777" w:rsidR="0008187F" w:rsidRDefault="004A75D4" w:rsidP="0008187F">
      <w:pPr>
        <w:pStyle w:val="ListParagraph"/>
        <w:numPr>
          <w:ilvl w:val="0"/>
          <w:numId w:val="13"/>
        </w:numPr>
        <w:spacing w:before="0" w:after="0"/>
      </w:pPr>
      <w:r>
        <w:t>Explore opportunities for cooperation on sustainable food system and forestry under</w:t>
      </w:r>
      <w:r w:rsidR="0008187F">
        <w:t xml:space="preserve"> </w:t>
      </w:r>
      <w:r>
        <w:t>the Strategic Plan for ASEAN Cooperation in Food, Agriculture and Forestry (2016-2025).</w:t>
      </w:r>
    </w:p>
    <w:p w14:paraId="4AA1E13D" w14:textId="77777777" w:rsidR="004F1044" w:rsidRDefault="004F1044" w:rsidP="004F1044">
      <w:pPr>
        <w:pStyle w:val="ListParagraph"/>
        <w:spacing w:before="0" w:after="0"/>
      </w:pPr>
    </w:p>
    <w:p w14:paraId="19DBB22B" w14:textId="6B12C87A" w:rsidR="0008187F" w:rsidRDefault="004A75D4" w:rsidP="0008187F">
      <w:pPr>
        <w:pStyle w:val="ListParagraph"/>
        <w:numPr>
          <w:ilvl w:val="0"/>
          <w:numId w:val="13"/>
        </w:numPr>
        <w:spacing w:before="0" w:after="0"/>
      </w:pPr>
      <w:r>
        <w:t>Explore ways of sharing experience in the areas of illegal, unreported and unregulated</w:t>
      </w:r>
      <w:r w:rsidR="0008187F">
        <w:t xml:space="preserve"> </w:t>
      </w:r>
      <w:r>
        <w:t>fishing (IUU) and transnational organised crime in the global fishing industry.</w:t>
      </w:r>
    </w:p>
    <w:p w14:paraId="2F6DD243" w14:textId="77777777" w:rsidR="004F1044" w:rsidRDefault="004F1044" w:rsidP="004F1044">
      <w:pPr>
        <w:pStyle w:val="ListParagraph"/>
        <w:spacing w:before="0" w:after="0"/>
      </w:pPr>
    </w:p>
    <w:p w14:paraId="6AFB027D" w14:textId="3F4AB0CF" w:rsidR="004A75D4" w:rsidRDefault="004A75D4" w:rsidP="0008187F">
      <w:pPr>
        <w:pStyle w:val="ListParagraph"/>
        <w:numPr>
          <w:ilvl w:val="0"/>
          <w:numId w:val="13"/>
        </w:numPr>
        <w:spacing w:before="0" w:after="0"/>
      </w:pPr>
      <w:r>
        <w:t>Support initiatives to strengthen forest law enforcement and governance (FLEG)</w:t>
      </w:r>
      <w:r w:rsidR="0008187F">
        <w:t xml:space="preserve"> </w:t>
      </w:r>
      <w:r>
        <w:t>including transboundary forest crime (illegal logging and the illegal wildlife trade).</w:t>
      </w:r>
      <w:r w:rsidR="0008187F">
        <w:t xml:space="preserve"> </w:t>
      </w:r>
      <w:r>
        <w:t>Explore opportunities for sharing knowledge about how to enhance resilience in the</w:t>
      </w:r>
      <w:r w:rsidR="0008187F">
        <w:t xml:space="preserve"> </w:t>
      </w:r>
      <w:r>
        <w:t>forestry sector,</w:t>
      </w:r>
      <w:r w:rsidR="0008187F">
        <w:t xml:space="preserve"> </w:t>
      </w:r>
      <w:r>
        <w:t>including knowledge on displacement of emissions in the Lower</w:t>
      </w:r>
      <w:r w:rsidR="0008187F">
        <w:t xml:space="preserve"> </w:t>
      </w:r>
      <w:r>
        <w:t>Mekong countries, implemented under</w:t>
      </w:r>
      <w:r w:rsidR="0008187F">
        <w:t xml:space="preserve"> </w:t>
      </w:r>
      <w:r>
        <w:t>the United Nations Collaborative Programme on</w:t>
      </w:r>
      <w:r w:rsidR="0008187F">
        <w:t xml:space="preserve"> </w:t>
      </w:r>
      <w:r>
        <w:t>Reducing Emissions from Deforestation and Forest</w:t>
      </w:r>
      <w:r w:rsidR="0008187F">
        <w:t xml:space="preserve"> </w:t>
      </w:r>
      <w:r>
        <w:t>Degradation in Developing</w:t>
      </w:r>
      <w:r w:rsidR="0008187F">
        <w:t xml:space="preserve"> </w:t>
      </w:r>
      <w:r>
        <w:t>Countries (UN REDD Programme).</w:t>
      </w:r>
    </w:p>
    <w:p w14:paraId="3A9B6B0C" w14:textId="77777777" w:rsidR="004A75D4" w:rsidRDefault="004A75D4" w:rsidP="00F67848">
      <w:pPr>
        <w:pStyle w:val="Heading2"/>
      </w:pPr>
      <w:r>
        <w:t>Socio-Cultural Cooperation</w:t>
      </w:r>
    </w:p>
    <w:p w14:paraId="77668C17" w14:textId="77777777" w:rsidR="004A75D4" w:rsidRDefault="004A75D4" w:rsidP="00EC35B0">
      <w:pPr>
        <w:pStyle w:val="Heading3"/>
      </w:pPr>
      <w:r>
        <w:t>Ocean Sustainability, Biodiversity, Environmental Protection and Climate Change</w:t>
      </w:r>
    </w:p>
    <w:p w14:paraId="08427278" w14:textId="77777777" w:rsidR="006E7312" w:rsidRDefault="004A75D4" w:rsidP="006E7312">
      <w:pPr>
        <w:pStyle w:val="ListParagraph"/>
        <w:numPr>
          <w:ilvl w:val="0"/>
          <w:numId w:val="13"/>
        </w:numPr>
        <w:spacing w:before="0" w:after="0"/>
      </w:pPr>
      <w:r>
        <w:t>Collaborate on topics relating to ensuring sustainable use of the ocean.</w:t>
      </w:r>
    </w:p>
    <w:p w14:paraId="5C1957BF" w14:textId="77777777" w:rsidR="003D7775" w:rsidRDefault="003D7775" w:rsidP="003D7775">
      <w:pPr>
        <w:pStyle w:val="ListParagraph"/>
        <w:spacing w:before="0" w:after="0"/>
      </w:pPr>
    </w:p>
    <w:p w14:paraId="59BCB37A" w14:textId="147EB603" w:rsidR="006E7312" w:rsidRDefault="004A75D4" w:rsidP="006E7312">
      <w:pPr>
        <w:pStyle w:val="ListParagraph"/>
        <w:numPr>
          <w:ilvl w:val="0"/>
          <w:numId w:val="13"/>
        </w:numPr>
        <w:spacing w:before="0" w:after="0"/>
      </w:pPr>
      <w:r>
        <w:t>Support the implementation of the Bangkok Declaration on Combating Marine Debris in</w:t>
      </w:r>
      <w:r w:rsidR="006E7312">
        <w:t xml:space="preserve"> </w:t>
      </w:r>
      <w:r>
        <w:t>the ASEAN Region and the ASEAN Framework of Action on Marine Debris, through</w:t>
      </w:r>
      <w:r w:rsidR="006E7312">
        <w:t xml:space="preserve"> </w:t>
      </w:r>
      <w:r>
        <w:t>the exchange of experience and knowledge, capacity building, and by helping to</w:t>
      </w:r>
      <w:r w:rsidR="006E7312">
        <w:t xml:space="preserve"> </w:t>
      </w:r>
      <w:r>
        <w:t>establish integrated solutions for waste management, and cooperating to promote a</w:t>
      </w:r>
      <w:r w:rsidR="006E7312">
        <w:t xml:space="preserve"> </w:t>
      </w:r>
      <w:r>
        <w:t>circular economy.</w:t>
      </w:r>
    </w:p>
    <w:p w14:paraId="10E353BC" w14:textId="77777777" w:rsidR="003D7775" w:rsidRDefault="003D7775" w:rsidP="003D7775">
      <w:pPr>
        <w:pStyle w:val="ListParagraph"/>
        <w:spacing w:before="0" w:after="0"/>
      </w:pPr>
    </w:p>
    <w:p w14:paraId="5CF9369D" w14:textId="53481F3D" w:rsidR="006E7312" w:rsidRDefault="004A75D4" w:rsidP="006E7312">
      <w:pPr>
        <w:pStyle w:val="ListParagraph"/>
        <w:numPr>
          <w:ilvl w:val="0"/>
          <w:numId w:val="13"/>
        </w:numPr>
        <w:spacing w:before="0" w:after="0"/>
      </w:pPr>
      <w:r>
        <w:t>Strengthen global collaboration to combat marine plastic litter and work together to</w:t>
      </w:r>
      <w:r w:rsidR="006E7312">
        <w:t xml:space="preserve"> </w:t>
      </w:r>
      <w:r>
        <w:t>advance the</w:t>
      </w:r>
      <w:r w:rsidR="006E7312">
        <w:t xml:space="preserve"> </w:t>
      </w:r>
      <w:r>
        <w:t>development of a global agreement on marine litter.</w:t>
      </w:r>
    </w:p>
    <w:p w14:paraId="0F02FE8B" w14:textId="77777777" w:rsidR="003D7775" w:rsidRDefault="003D7775" w:rsidP="003D7775">
      <w:pPr>
        <w:pStyle w:val="ListParagraph"/>
        <w:spacing w:before="0" w:after="0"/>
      </w:pPr>
    </w:p>
    <w:p w14:paraId="17F8A720" w14:textId="7C100E56" w:rsidR="006E7312" w:rsidRDefault="004A75D4" w:rsidP="006E7312">
      <w:pPr>
        <w:pStyle w:val="ListParagraph"/>
        <w:numPr>
          <w:ilvl w:val="0"/>
          <w:numId w:val="13"/>
        </w:numPr>
        <w:spacing w:before="0" w:after="0"/>
      </w:pPr>
      <w:r>
        <w:t>Continue cooperation within the area of green shipping.</w:t>
      </w:r>
    </w:p>
    <w:p w14:paraId="721891D1" w14:textId="77777777" w:rsidR="003D7775" w:rsidRDefault="003D7775" w:rsidP="003D7775">
      <w:pPr>
        <w:pStyle w:val="ListParagraph"/>
        <w:spacing w:before="0" w:after="0"/>
      </w:pPr>
    </w:p>
    <w:p w14:paraId="7A408C91" w14:textId="00EBD35F" w:rsidR="006E7312" w:rsidRDefault="004A75D4" w:rsidP="006E7312">
      <w:pPr>
        <w:pStyle w:val="ListParagraph"/>
        <w:numPr>
          <w:ilvl w:val="0"/>
          <w:numId w:val="13"/>
        </w:numPr>
        <w:spacing w:before="0" w:after="0"/>
      </w:pPr>
      <w:r>
        <w:t>Support ASEAN's efforts to address biodiversity loss and ecosystem degradation,</w:t>
      </w:r>
      <w:r w:rsidR="006E7312">
        <w:t xml:space="preserve"> </w:t>
      </w:r>
      <w:r>
        <w:t>promote environmental protection and conservation, and ensure sustainable</w:t>
      </w:r>
      <w:r w:rsidR="006E7312">
        <w:t xml:space="preserve"> </w:t>
      </w:r>
      <w:r>
        <w:t>management of natural resources.</w:t>
      </w:r>
    </w:p>
    <w:p w14:paraId="716463AC" w14:textId="77777777" w:rsidR="003D7775" w:rsidRDefault="003D7775" w:rsidP="003D7775">
      <w:pPr>
        <w:pStyle w:val="ListParagraph"/>
        <w:spacing w:before="0" w:after="0"/>
      </w:pPr>
    </w:p>
    <w:p w14:paraId="7E682B50" w14:textId="339EE282" w:rsidR="006E7312" w:rsidRDefault="004A75D4" w:rsidP="006E7312">
      <w:pPr>
        <w:pStyle w:val="ListParagraph"/>
        <w:numPr>
          <w:ilvl w:val="0"/>
          <w:numId w:val="13"/>
        </w:numPr>
        <w:spacing w:before="0" w:after="0"/>
      </w:pPr>
      <w:r>
        <w:t>Explore opportunities for regional cooperation to reduce climate risk with the aim of</w:t>
      </w:r>
      <w:r w:rsidR="006E7312">
        <w:t xml:space="preserve"> </w:t>
      </w:r>
      <w:r>
        <w:t>achieving the goals set out in the Paris Agreement.</w:t>
      </w:r>
    </w:p>
    <w:p w14:paraId="3C8F6EFE" w14:textId="77777777" w:rsidR="003D7775" w:rsidRDefault="003D7775" w:rsidP="003D7775">
      <w:pPr>
        <w:pStyle w:val="ListParagraph"/>
        <w:spacing w:before="0" w:after="0"/>
      </w:pPr>
    </w:p>
    <w:p w14:paraId="15ADAE24" w14:textId="3350C482" w:rsidR="006E7312" w:rsidRDefault="004A75D4" w:rsidP="006E7312">
      <w:pPr>
        <w:pStyle w:val="ListParagraph"/>
        <w:numPr>
          <w:ilvl w:val="0"/>
          <w:numId w:val="13"/>
        </w:numPr>
        <w:spacing w:before="0" w:after="0"/>
      </w:pPr>
      <w:r>
        <w:t>Promote cooperation on preventing, mitigating and managing land and forest fires, and</w:t>
      </w:r>
      <w:r w:rsidR="006E7312">
        <w:t xml:space="preserve"> </w:t>
      </w:r>
      <w:r>
        <w:t>explore opportunities to address transboundary haze issues through cooperation with</w:t>
      </w:r>
      <w:r w:rsidR="006E7312">
        <w:t xml:space="preserve"> </w:t>
      </w:r>
      <w:r>
        <w:t>ASEAN Member States, recognising ASEAN’s efforts to implement the ASEAN</w:t>
      </w:r>
      <w:r w:rsidR="006E7312">
        <w:t xml:space="preserve"> </w:t>
      </w:r>
      <w:r>
        <w:t>Agreement on Transboundary Haze Pollution.</w:t>
      </w:r>
    </w:p>
    <w:p w14:paraId="0BAFC646" w14:textId="77777777" w:rsidR="003D7775" w:rsidRDefault="003D7775" w:rsidP="003D7775">
      <w:pPr>
        <w:pStyle w:val="ListParagraph"/>
        <w:spacing w:before="0" w:after="0"/>
      </w:pPr>
    </w:p>
    <w:p w14:paraId="58A8A591" w14:textId="65A1CFDA" w:rsidR="004A75D4" w:rsidRDefault="004A75D4" w:rsidP="006E7312">
      <w:pPr>
        <w:pStyle w:val="ListParagraph"/>
        <w:numPr>
          <w:ilvl w:val="0"/>
          <w:numId w:val="13"/>
        </w:numPr>
        <w:spacing w:before="0" w:after="0"/>
      </w:pPr>
      <w:r>
        <w:t>Explore opportunities for dialogue and cooperation on combating crime that affects the</w:t>
      </w:r>
      <w:r w:rsidR="006E7312">
        <w:t xml:space="preserve"> </w:t>
      </w:r>
      <w:r>
        <w:t>environment, and on addressing the links between climate change and security.</w:t>
      </w:r>
    </w:p>
    <w:p w14:paraId="7E2780F2" w14:textId="1CB85E0A" w:rsidR="004A75D4" w:rsidRDefault="004A75D4" w:rsidP="00EC35B0">
      <w:pPr>
        <w:pStyle w:val="Heading3"/>
      </w:pPr>
      <w:r>
        <w:t>Public Health, Prevention and Control of Communicable and Non-communicable</w:t>
      </w:r>
      <w:r w:rsidR="00BD439A">
        <w:t xml:space="preserve"> </w:t>
      </w:r>
      <w:r>
        <w:t>Diseases</w:t>
      </w:r>
    </w:p>
    <w:p w14:paraId="598809BB" w14:textId="77777777" w:rsidR="006E7312" w:rsidRDefault="004A75D4" w:rsidP="00644BE5">
      <w:pPr>
        <w:pStyle w:val="ListParagraph"/>
        <w:numPr>
          <w:ilvl w:val="0"/>
          <w:numId w:val="13"/>
        </w:numPr>
        <w:spacing w:before="0" w:after="0"/>
      </w:pPr>
      <w:r>
        <w:t>Explore opportunities for cooperation on collective and orchestrated measures to</w:t>
      </w:r>
      <w:r w:rsidR="006E7312">
        <w:t xml:space="preserve"> </w:t>
      </w:r>
      <w:r>
        <w:t>prevent, detect and respond to communicable and emerging infectious diseases,</w:t>
      </w:r>
      <w:r w:rsidR="006E7312">
        <w:t xml:space="preserve"> </w:t>
      </w:r>
      <w:r>
        <w:t>including pandemics such as the Coronavirus Disease 2019 (COVID-19).</w:t>
      </w:r>
    </w:p>
    <w:p w14:paraId="11A4482B" w14:textId="77777777" w:rsidR="003D7775" w:rsidRDefault="003D7775" w:rsidP="003D7775">
      <w:pPr>
        <w:pStyle w:val="ListParagraph"/>
        <w:spacing w:before="0" w:after="0"/>
      </w:pPr>
    </w:p>
    <w:p w14:paraId="5328815F" w14:textId="71562A5E" w:rsidR="006E7312" w:rsidRDefault="004A75D4" w:rsidP="00644BE5">
      <w:pPr>
        <w:pStyle w:val="ListParagraph"/>
        <w:numPr>
          <w:ilvl w:val="0"/>
          <w:numId w:val="13"/>
        </w:numPr>
        <w:spacing w:before="0" w:after="0"/>
      </w:pPr>
      <w:r>
        <w:t>Join forces to support multilateral efforts to provide equitable global access to safe,</w:t>
      </w:r>
      <w:r w:rsidR="006E7312">
        <w:t xml:space="preserve"> </w:t>
      </w:r>
      <w:r>
        <w:t>effective and affordable vaccines, therapeutics and diagnostics, as well as promote</w:t>
      </w:r>
      <w:r w:rsidR="006E7312">
        <w:t xml:space="preserve"> </w:t>
      </w:r>
      <w:r>
        <w:t>coordination to enhance the free, open, transparent and efficient exchange of</w:t>
      </w:r>
      <w:r w:rsidR="006E7312">
        <w:t xml:space="preserve"> </w:t>
      </w:r>
      <w:r>
        <w:t>information, data and knowledge on COVID-19.</w:t>
      </w:r>
    </w:p>
    <w:p w14:paraId="26D7E507" w14:textId="77777777" w:rsidR="003D7775" w:rsidRDefault="003D7775" w:rsidP="003D7775">
      <w:pPr>
        <w:pStyle w:val="ListParagraph"/>
        <w:spacing w:before="0" w:after="0"/>
      </w:pPr>
    </w:p>
    <w:p w14:paraId="5B4E3925" w14:textId="66716260" w:rsidR="006E7312" w:rsidRDefault="004A75D4" w:rsidP="00644BE5">
      <w:pPr>
        <w:pStyle w:val="ListParagraph"/>
        <w:numPr>
          <w:ilvl w:val="0"/>
          <w:numId w:val="13"/>
        </w:numPr>
        <w:spacing w:before="0" w:after="0"/>
      </w:pPr>
      <w:r>
        <w:t>Explore opportunities for cooperation on efforts to mitigate the socioeconomic impacts</w:t>
      </w:r>
      <w:r w:rsidR="006E7312">
        <w:t xml:space="preserve"> </w:t>
      </w:r>
      <w:r>
        <w:t>of the COVID-19 pandemic.</w:t>
      </w:r>
    </w:p>
    <w:p w14:paraId="3AE33EAD" w14:textId="77777777" w:rsidR="003D7775" w:rsidRDefault="003D7775" w:rsidP="003D7775">
      <w:pPr>
        <w:pStyle w:val="ListParagraph"/>
        <w:spacing w:before="0" w:after="0"/>
      </w:pPr>
    </w:p>
    <w:p w14:paraId="364E64F2" w14:textId="437A0374" w:rsidR="004A75D4" w:rsidRDefault="004A75D4" w:rsidP="00644BE5">
      <w:pPr>
        <w:pStyle w:val="ListParagraph"/>
        <w:numPr>
          <w:ilvl w:val="0"/>
          <w:numId w:val="13"/>
        </w:numPr>
        <w:spacing w:before="0" w:after="0"/>
      </w:pPr>
      <w:r>
        <w:lastRenderedPageBreak/>
        <w:t>Promote cooperation on the prevention and control of non-communicable diseases</w:t>
      </w:r>
      <w:r w:rsidR="006E7312">
        <w:t xml:space="preserve"> </w:t>
      </w:r>
      <w:r>
        <w:t>(NCDs), including through reducing risk factors such as tobacco use, harmful use of</w:t>
      </w:r>
      <w:r w:rsidR="006E7312">
        <w:t xml:space="preserve"> </w:t>
      </w:r>
      <w:r>
        <w:t>alcohol, air pollution, unhealthy diets and lack of physical activity, while promoting</w:t>
      </w:r>
      <w:r w:rsidR="006E7312">
        <w:t xml:space="preserve"> </w:t>
      </w:r>
      <w:r>
        <w:t>healthy lifestyles and ensuring food safety.</w:t>
      </w:r>
    </w:p>
    <w:p w14:paraId="78836696" w14:textId="77777777" w:rsidR="004A75D4" w:rsidRDefault="004A75D4" w:rsidP="00EC35B0">
      <w:pPr>
        <w:pStyle w:val="Heading3"/>
      </w:pPr>
      <w:r>
        <w:t>People-to-People Exchanges, including in Education</w:t>
      </w:r>
    </w:p>
    <w:p w14:paraId="3C982D82" w14:textId="77777777" w:rsidR="00644BE5" w:rsidRDefault="004A75D4" w:rsidP="00644BE5">
      <w:pPr>
        <w:pStyle w:val="ListParagraph"/>
        <w:numPr>
          <w:ilvl w:val="0"/>
          <w:numId w:val="13"/>
        </w:numPr>
        <w:spacing w:before="0" w:after="0"/>
      </w:pPr>
      <w:r>
        <w:t>Promote people-to-people contacts through strengthening public diplomacy with the</w:t>
      </w:r>
      <w:r w:rsidR="00644BE5">
        <w:t xml:space="preserve"> </w:t>
      </w:r>
      <w:r>
        <w:t>aim of exchanging knowledge and fostering mutual understanding between ASEAN</w:t>
      </w:r>
      <w:r w:rsidR="00644BE5">
        <w:t xml:space="preserve"> </w:t>
      </w:r>
      <w:r>
        <w:t>and Norway.</w:t>
      </w:r>
    </w:p>
    <w:p w14:paraId="7A4EEA93" w14:textId="77777777" w:rsidR="003D7775" w:rsidRDefault="003D7775" w:rsidP="003D7775">
      <w:pPr>
        <w:pStyle w:val="ListParagraph"/>
        <w:spacing w:before="0" w:after="0"/>
      </w:pPr>
    </w:p>
    <w:p w14:paraId="5E2013A0" w14:textId="3AE83BE7" w:rsidR="00644BE5" w:rsidRDefault="004A75D4" w:rsidP="00644BE5">
      <w:pPr>
        <w:pStyle w:val="ListParagraph"/>
        <w:numPr>
          <w:ilvl w:val="0"/>
          <w:numId w:val="13"/>
        </w:numPr>
        <w:spacing w:before="0" w:after="0"/>
      </w:pPr>
      <w:r>
        <w:t>Share lessons learned and best practices relating to the use of information and</w:t>
      </w:r>
      <w:r w:rsidR="00644BE5">
        <w:t xml:space="preserve"> </w:t>
      </w:r>
      <w:r>
        <w:t>communications</w:t>
      </w:r>
      <w:r w:rsidR="00644BE5">
        <w:t xml:space="preserve"> </w:t>
      </w:r>
      <w:r>
        <w:t>technology in education, particularly for children and young people in</w:t>
      </w:r>
      <w:r w:rsidR="00644BE5">
        <w:t xml:space="preserve"> </w:t>
      </w:r>
      <w:r>
        <w:t>remote areas, and pupils prevented from attending school due to disabilities or other</w:t>
      </w:r>
      <w:r w:rsidR="00644BE5">
        <w:t xml:space="preserve"> </w:t>
      </w:r>
      <w:r>
        <w:t>reasons.</w:t>
      </w:r>
    </w:p>
    <w:p w14:paraId="0AEA0DB2" w14:textId="77777777" w:rsidR="003D7775" w:rsidRDefault="003D7775" w:rsidP="003D7775">
      <w:pPr>
        <w:pStyle w:val="ListParagraph"/>
        <w:spacing w:before="0" w:after="0"/>
      </w:pPr>
    </w:p>
    <w:p w14:paraId="2B042201" w14:textId="408A0B8E" w:rsidR="004A75D4" w:rsidRDefault="004A75D4" w:rsidP="00644BE5">
      <w:pPr>
        <w:pStyle w:val="ListParagraph"/>
        <w:numPr>
          <w:ilvl w:val="0"/>
          <w:numId w:val="13"/>
        </w:numPr>
        <w:spacing w:before="0" w:after="0"/>
      </w:pPr>
      <w:r>
        <w:t>Explore opportunities for sharing experiences in technical and vocational education and</w:t>
      </w:r>
      <w:r w:rsidR="00644BE5">
        <w:t xml:space="preserve"> </w:t>
      </w:r>
      <w:r>
        <w:t>training.</w:t>
      </w:r>
    </w:p>
    <w:p w14:paraId="58993DE1" w14:textId="77777777" w:rsidR="004A75D4" w:rsidRDefault="004A75D4" w:rsidP="00F67848">
      <w:pPr>
        <w:pStyle w:val="Heading2"/>
      </w:pPr>
      <w:r>
        <w:t>ASEAN Smart Cities Network and Connectivity</w:t>
      </w:r>
    </w:p>
    <w:p w14:paraId="0403DFA7" w14:textId="77777777" w:rsidR="00644BE5" w:rsidRDefault="004A75D4" w:rsidP="00644BE5">
      <w:pPr>
        <w:pStyle w:val="ListParagraph"/>
        <w:numPr>
          <w:ilvl w:val="0"/>
          <w:numId w:val="13"/>
        </w:numPr>
        <w:spacing w:before="0" w:after="0"/>
      </w:pPr>
      <w:r>
        <w:t>Support the ASEAN Smart Cities Network (ASCN) in building communities that are</w:t>
      </w:r>
      <w:r w:rsidR="00644BE5">
        <w:t xml:space="preserve"> </w:t>
      </w:r>
      <w:r>
        <w:t>resilient, innovative and well connected, and explore partnerships and collaboration</w:t>
      </w:r>
      <w:r w:rsidR="00644BE5">
        <w:t xml:space="preserve"> </w:t>
      </w:r>
      <w:r>
        <w:t>with ASCN and ASCN cities on areas of mutual interest.</w:t>
      </w:r>
    </w:p>
    <w:p w14:paraId="632812CA" w14:textId="77777777" w:rsidR="003D7775" w:rsidRDefault="003D7775" w:rsidP="003D7775">
      <w:pPr>
        <w:pStyle w:val="ListParagraph"/>
        <w:spacing w:before="0" w:after="0"/>
      </w:pPr>
    </w:p>
    <w:p w14:paraId="040E6A99" w14:textId="501C279A" w:rsidR="00644BE5" w:rsidRDefault="004A75D4" w:rsidP="00644BE5">
      <w:pPr>
        <w:pStyle w:val="ListParagraph"/>
        <w:numPr>
          <w:ilvl w:val="0"/>
          <w:numId w:val="13"/>
        </w:numPr>
        <w:spacing w:before="0" w:after="0"/>
      </w:pPr>
      <w:r>
        <w:t>Enhance cooperation to support the implementation of the Master Plan on ASEAN</w:t>
      </w:r>
      <w:r w:rsidR="00644BE5">
        <w:t xml:space="preserve"> </w:t>
      </w:r>
      <w:r>
        <w:t>Connectivity (MPAC) 2025.</w:t>
      </w:r>
    </w:p>
    <w:p w14:paraId="3F925070" w14:textId="77777777" w:rsidR="003D7775" w:rsidRDefault="003D7775" w:rsidP="003D7775">
      <w:pPr>
        <w:pStyle w:val="ListParagraph"/>
        <w:spacing w:before="0" w:after="0"/>
      </w:pPr>
    </w:p>
    <w:p w14:paraId="2744141B" w14:textId="1365B30A" w:rsidR="004A75D4" w:rsidRDefault="004A75D4" w:rsidP="00644BE5">
      <w:pPr>
        <w:pStyle w:val="ListParagraph"/>
        <w:numPr>
          <w:ilvl w:val="0"/>
          <w:numId w:val="13"/>
        </w:numPr>
        <w:spacing w:before="0" w:after="0"/>
      </w:pPr>
      <w:r>
        <w:t>Promote the exchange of experiences in areas related to electric vehicles and electric</w:t>
      </w:r>
      <w:r w:rsidR="00644BE5">
        <w:t xml:space="preserve"> </w:t>
      </w:r>
      <w:r>
        <w:t>maritime transport.</w:t>
      </w:r>
    </w:p>
    <w:p w14:paraId="79C40D9F" w14:textId="77777777" w:rsidR="004A75D4" w:rsidRDefault="004A75D4" w:rsidP="00F67848">
      <w:pPr>
        <w:pStyle w:val="Heading2"/>
      </w:pPr>
      <w:r>
        <w:t>Narrowing Development Gap</w:t>
      </w:r>
    </w:p>
    <w:p w14:paraId="714B8757" w14:textId="77777777" w:rsidR="004A75D4" w:rsidRDefault="004A75D4" w:rsidP="00EC35B0">
      <w:pPr>
        <w:pStyle w:val="Heading3"/>
      </w:pPr>
      <w:r>
        <w:t>Initiative for ASEAN Integration (IAI)</w:t>
      </w:r>
    </w:p>
    <w:p w14:paraId="4443F670" w14:textId="56309B39" w:rsidR="004A75D4" w:rsidRDefault="004A75D4" w:rsidP="007F4584">
      <w:pPr>
        <w:pStyle w:val="ListParagraph"/>
        <w:numPr>
          <w:ilvl w:val="0"/>
          <w:numId w:val="13"/>
        </w:numPr>
        <w:spacing w:before="0" w:after="0"/>
      </w:pPr>
      <w:r>
        <w:t>Support ASEAN’s efforts to narrow the development gap within and between ASEAN</w:t>
      </w:r>
      <w:r w:rsidR="007F4584">
        <w:t xml:space="preserve"> </w:t>
      </w:r>
      <w:r>
        <w:t>Member States, through the implementation of the IAI Work Plan IV (2021-2025), and</w:t>
      </w:r>
      <w:r w:rsidR="007F4584">
        <w:t xml:space="preserve"> </w:t>
      </w:r>
      <w:r>
        <w:t>to alleviate poverty and promote sustainable development in order to strengthen the</w:t>
      </w:r>
      <w:r w:rsidR="007F4584">
        <w:t xml:space="preserve"> </w:t>
      </w:r>
      <w:r>
        <w:t>ASEAN Community Vision 2025 and regional integration.</w:t>
      </w:r>
    </w:p>
    <w:p w14:paraId="7E51F9C8" w14:textId="77777777" w:rsidR="004A75D4" w:rsidRDefault="004A75D4" w:rsidP="00EC35B0">
      <w:pPr>
        <w:pStyle w:val="Heading3"/>
      </w:pPr>
      <w:r>
        <w:t>Sustainable Development</w:t>
      </w:r>
    </w:p>
    <w:p w14:paraId="78A183FC" w14:textId="7B265D7E" w:rsidR="004A75D4" w:rsidRDefault="004A75D4" w:rsidP="007F4584">
      <w:pPr>
        <w:pStyle w:val="ListParagraph"/>
        <w:numPr>
          <w:ilvl w:val="0"/>
          <w:numId w:val="13"/>
        </w:numPr>
        <w:spacing w:before="0" w:after="0"/>
      </w:pPr>
      <w:r>
        <w:t>Strengthen dialogue and cooperation in sustainable development to promote</w:t>
      </w:r>
      <w:r w:rsidR="007F4584">
        <w:t xml:space="preserve"> </w:t>
      </w:r>
      <w:r>
        <w:t>complementarities between the ASEAN Community Vision 2025 and the UN 2030</w:t>
      </w:r>
      <w:r w:rsidR="007F4584">
        <w:t xml:space="preserve"> </w:t>
      </w:r>
      <w:r>
        <w:t>Agenda for Sustainable Development.</w:t>
      </w:r>
    </w:p>
    <w:p w14:paraId="675156B3" w14:textId="77777777" w:rsidR="004A75D4" w:rsidRDefault="004A75D4" w:rsidP="00F67848">
      <w:pPr>
        <w:pStyle w:val="Heading2"/>
      </w:pPr>
      <w:r>
        <w:t>Follow-Up Mechanism</w:t>
      </w:r>
    </w:p>
    <w:p w14:paraId="4C24EA6D" w14:textId="01165D64" w:rsidR="00DF288A" w:rsidRPr="00E423E4" w:rsidRDefault="004A75D4" w:rsidP="004A75D4">
      <w:pPr>
        <w:spacing w:before="0" w:after="0"/>
      </w:pPr>
      <w:r>
        <w:t>The implementation of the PCAs will be reviewed at the ASEAN-Norway Joint Sectoral</w:t>
      </w:r>
      <w:r w:rsidR="007F4584">
        <w:t xml:space="preserve"> </w:t>
      </w:r>
      <w:r>
        <w:t>Cooperation Committee (AN-JSCC) Meeting. An annual progress report on the implementation</w:t>
      </w:r>
      <w:r w:rsidR="007F4584">
        <w:t xml:space="preserve"> </w:t>
      </w:r>
      <w:r>
        <w:t>of the PCAs is to be submitted to the AN-JSCC. ASEAN and Norway may agree to amend to</w:t>
      </w:r>
      <w:r w:rsidR="007F4584">
        <w:t xml:space="preserve"> </w:t>
      </w:r>
      <w:r>
        <w:t>the PCA as they find appropriate at any time.</w:t>
      </w:r>
      <w:bookmarkStart w:id="0" w:name="_GoBack"/>
      <w:bookmarkEnd w:id="0"/>
    </w:p>
    <w:sectPr w:rsidR="00DF288A" w:rsidRPr="00E423E4" w:rsidSect="00F61B4F">
      <w:headerReference w:type="default" r:id="rId11"/>
      <w:footerReference w:type="default" r:id="rId12"/>
      <w:footerReference w:type="first" r:id="rId13"/>
      <w:footnotePr>
        <w:numRestart w:val="eachPage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6D2A7" w14:textId="77777777" w:rsidR="00A902C4" w:rsidRDefault="00A902C4" w:rsidP="00F61B4F">
      <w:pPr>
        <w:spacing w:before="0" w:after="0" w:line="240" w:lineRule="auto"/>
      </w:pPr>
      <w:r>
        <w:separator/>
      </w:r>
    </w:p>
  </w:endnote>
  <w:endnote w:type="continuationSeparator" w:id="0">
    <w:p w14:paraId="04FC1EFC" w14:textId="77777777" w:rsidR="00A902C4" w:rsidRDefault="00A902C4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E17B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03BBCFF4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3643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77F29BF3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D5B0A" w14:textId="77777777" w:rsidR="00A902C4" w:rsidRDefault="00A902C4" w:rsidP="00F61B4F">
      <w:pPr>
        <w:spacing w:before="0" w:after="0" w:line="240" w:lineRule="auto"/>
      </w:pPr>
      <w:r>
        <w:separator/>
      </w:r>
    </w:p>
  </w:footnote>
  <w:footnote w:type="continuationSeparator" w:id="0">
    <w:p w14:paraId="1B78D4B4" w14:textId="77777777" w:rsidR="00A902C4" w:rsidRDefault="00A902C4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C305" w14:textId="4C765E12" w:rsidR="00101C67" w:rsidRPr="00CD6026" w:rsidRDefault="00101C67" w:rsidP="00CD6026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</w:rPr>
    </w:pPr>
    <w:r>
      <w:rPr>
        <w:rFonts w:cs="Arial"/>
        <w:caps/>
        <w:color w:val="808080"/>
        <w:sz w:val="16"/>
        <w:szCs w:val="16"/>
      </w:rPr>
      <w:t>2021</w:t>
    </w:r>
    <w:r w:rsidR="004C3A5F">
      <w:rPr>
        <w:rFonts w:cs="Arial"/>
        <w:caps/>
        <w:color w:val="808080"/>
        <w:sz w:val="16"/>
        <w:szCs w:val="16"/>
      </w:rPr>
      <w:t>-2025</w:t>
    </w:r>
    <w:r w:rsidR="00DF288A">
      <w:rPr>
        <w:rFonts w:cs="Arial"/>
        <w:caps/>
        <w:color w:val="808080"/>
        <w:sz w:val="16"/>
        <w:szCs w:val="16"/>
      </w:rPr>
      <w:t xml:space="preserve"> </w:t>
    </w:r>
    <w:r>
      <w:rPr>
        <w:rFonts w:cs="Arial"/>
        <w:caps/>
        <w:color w:val="808080"/>
        <w:sz w:val="16"/>
        <w:szCs w:val="16"/>
      </w:rPr>
      <w:t xml:space="preserve">ASEAN-Norway </w:t>
    </w:r>
    <w:r w:rsidR="004C3A5F">
      <w:rPr>
        <w:rFonts w:cs="Arial"/>
        <w:caps/>
        <w:color w:val="808080"/>
        <w:sz w:val="16"/>
        <w:szCs w:val="16"/>
      </w:rPr>
      <w:t>PRACTICAL COOPERATION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80F8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E31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6D2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8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72C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AB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68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9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16E2D"/>
    <w:multiLevelType w:val="hybridMultilevel"/>
    <w:tmpl w:val="0CC4F80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05874"/>
    <w:multiLevelType w:val="hybridMultilevel"/>
    <w:tmpl w:val="6AA263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92149"/>
    <w:multiLevelType w:val="hybridMultilevel"/>
    <w:tmpl w:val="2D7A25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06AB8"/>
    <w:multiLevelType w:val="hybridMultilevel"/>
    <w:tmpl w:val="B8D2E78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B03D2"/>
    <w:multiLevelType w:val="hybridMultilevel"/>
    <w:tmpl w:val="F0A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A3D84"/>
    <w:multiLevelType w:val="hybridMultilevel"/>
    <w:tmpl w:val="80DE2F9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51307"/>
    <w:multiLevelType w:val="hybridMultilevel"/>
    <w:tmpl w:val="46BAC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D46D3"/>
    <w:multiLevelType w:val="hybridMultilevel"/>
    <w:tmpl w:val="AFD4FEF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E5E2F"/>
    <w:multiLevelType w:val="hybridMultilevel"/>
    <w:tmpl w:val="0B10D56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04C87"/>
    <w:multiLevelType w:val="hybridMultilevel"/>
    <w:tmpl w:val="312003D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22C4B"/>
    <w:multiLevelType w:val="hybridMultilevel"/>
    <w:tmpl w:val="0B6EF03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22AA2"/>
    <w:multiLevelType w:val="hybridMultilevel"/>
    <w:tmpl w:val="AB7C537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95827"/>
    <w:multiLevelType w:val="hybridMultilevel"/>
    <w:tmpl w:val="5344D0A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1"/>
  </w:num>
  <w:num w:numId="16">
    <w:abstractNumId w:val="19"/>
  </w:num>
  <w:num w:numId="17">
    <w:abstractNumId w:val="18"/>
  </w:num>
  <w:num w:numId="18">
    <w:abstractNumId w:val="22"/>
  </w:num>
  <w:num w:numId="19">
    <w:abstractNumId w:val="12"/>
  </w:num>
  <w:num w:numId="20">
    <w:abstractNumId w:val="10"/>
  </w:num>
  <w:num w:numId="21">
    <w:abstractNumId w:val="20"/>
  </w:num>
  <w:num w:numId="22">
    <w:abstractNumId w:val="15"/>
  </w:num>
  <w:num w:numId="23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D4"/>
    <w:rsid w:val="00000FB0"/>
    <w:rsid w:val="00002446"/>
    <w:rsid w:val="000043E5"/>
    <w:rsid w:val="00011723"/>
    <w:rsid w:val="00013D73"/>
    <w:rsid w:val="000173F4"/>
    <w:rsid w:val="0002262A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55D0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87F"/>
    <w:rsid w:val="00081E70"/>
    <w:rsid w:val="00082260"/>
    <w:rsid w:val="00083FFE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19F4"/>
    <w:rsid w:val="000D31BC"/>
    <w:rsid w:val="000D57EE"/>
    <w:rsid w:val="000D6DF5"/>
    <w:rsid w:val="000D7512"/>
    <w:rsid w:val="000E1719"/>
    <w:rsid w:val="000E1DDB"/>
    <w:rsid w:val="000E2394"/>
    <w:rsid w:val="000E3AD0"/>
    <w:rsid w:val="000F2D66"/>
    <w:rsid w:val="001013AD"/>
    <w:rsid w:val="00101C67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5215"/>
    <w:rsid w:val="001462AA"/>
    <w:rsid w:val="00153722"/>
    <w:rsid w:val="0015514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0777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02C8A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52DD"/>
    <w:rsid w:val="00297B32"/>
    <w:rsid w:val="002A1403"/>
    <w:rsid w:val="002A32A5"/>
    <w:rsid w:val="002A4172"/>
    <w:rsid w:val="002B2294"/>
    <w:rsid w:val="002B31DE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0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463F9"/>
    <w:rsid w:val="00351FC7"/>
    <w:rsid w:val="00355356"/>
    <w:rsid w:val="003557B3"/>
    <w:rsid w:val="00361211"/>
    <w:rsid w:val="00363CA6"/>
    <w:rsid w:val="00363E88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1C21"/>
    <w:rsid w:val="003B5567"/>
    <w:rsid w:val="003B7C3B"/>
    <w:rsid w:val="003C3ABB"/>
    <w:rsid w:val="003C4214"/>
    <w:rsid w:val="003C47FA"/>
    <w:rsid w:val="003C48C1"/>
    <w:rsid w:val="003C696E"/>
    <w:rsid w:val="003C70F3"/>
    <w:rsid w:val="003D49AB"/>
    <w:rsid w:val="003D66C8"/>
    <w:rsid w:val="003D682E"/>
    <w:rsid w:val="003D6E5B"/>
    <w:rsid w:val="003D7775"/>
    <w:rsid w:val="003E0C85"/>
    <w:rsid w:val="003E69D4"/>
    <w:rsid w:val="003F148C"/>
    <w:rsid w:val="003F1817"/>
    <w:rsid w:val="0040043F"/>
    <w:rsid w:val="00401F7F"/>
    <w:rsid w:val="00405210"/>
    <w:rsid w:val="00415F9F"/>
    <w:rsid w:val="0042164B"/>
    <w:rsid w:val="0042562D"/>
    <w:rsid w:val="00430AD3"/>
    <w:rsid w:val="00432B9B"/>
    <w:rsid w:val="004410EB"/>
    <w:rsid w:val="00441FA8"/>
    <w:rsid w:val="0044415C"/>
    <w:rsid w:val="00452091"/>
    <w:rsid w:val="0045262E"/>
    <w:rsid w:val="00453E7C"/>
    <w:rsid w:val="004540DD"/>
    <w:rsid w:val="00454C15"/>
    <w:rsid w:val="004578BD"/>
    <w:rsid w:val="00457A36"/>
    <w:rsid w:val="00460285"/>
    <w:rsid w:val="00461169"/>
    <w:rsid w:val="0046281B"/>
    <w:rsid w:val="0046332F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A58EA"/>
    <w:rsid w:val="004A75D4"/>
    <w:rsid w:val="004B263A"/>
    <w:rsid w:val="004B3D8B"/>
    <w:rsid w:val="004B5A7D"/>
    <w:rsid w:val="004B6693"/>
    <w:rsid w:val="004B7073"/>
    <w:rsid w:val="004B71DD"/>
    <w:rsid w:val="004C2B2B"/>
    <w:rsid w:val="004C33C2"/>
    <w:rsid w:val="004C3A5F"/>
    <w:rsid w:val="004C5E25"/>
    <w:rsid w:val="004D6797"/>
    <w:rsid w:val="004E0ED9"/>
    <w:rsid w:val="004E1378"/>
    <w:rsid w:val="004E1B8D"/>
    <w:rsid w:val="004E2177"/>
    <w:rsid w:val="004F1044"/>
    <w:rsid w:val="004F129B"/>
    <w:rsid w:val="004F21D5"/>
    <w:rsid w:val="00504C42"/>
    <w:rsid w:val="00507CA6"/>
    <w:rsid w:val="0051026B"/>
    <w:rsid w:val="00510555"/>
    <w:rsid w:val="0051224B"/>
    <w:rsid w:val="005146E7"/>
    <w:rsid w:val="00516331"/>
    <w:rsid w:val="005177D3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55B96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70B"/>
    <w:rsid w:val="005E2E8D"/>
    <w:rsid w:val="005E6807"/>
    <w:rsid w:val="005F25E1"/>
    <w:rsid w:val="005F5FD1"/>
    <w:rsid w:val="005F6D34"/>
    <w:rsid w:val="00604FC9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4BE5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953EA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E7312"/>
    <w:rsid w:val="006F231A"/>
    <w:rsid w:val="00707B16"/>
    <w:rsid w:val="00711FF8"/>
    <w:rsid w:val="00716770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87B08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4584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728"/>
    <w:rsid w:val="008419D9"/>
    <w:rsid w:val="0084289A"/>
    <w:rsid w:val="00850873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5D7B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74D05"/>
    <w:rsid w:val="0098008C"/>
    <w:rsid w:val="00982034"/>
    <w:rsid w:val="00982B34"/>
    <w:rsid w:val="009842E6"/>
    <w:rsid w:val="00991C17"/>
    <w:rsid w:val="00992233"/>
    <w:rsid w:val="009943AE"/>
    <w:rsid w:val="0099677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326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42D0"/>
    <w:rsid w:val="00A359D5"/>
    <w:rsid w:val="00A36EF4"/>
    <w:rsid w:val="00A4097E"/>
    <w:rsid w:val="00A4466D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02C4"/>
    <w:rsid w:val="00A90E8E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608E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2EFE"/>
    <w:rsid w:val="00B532E2"/>
    <w:rsid w:val="00B54E3F"/>
    <w:rsid w:val="00B61944"/>
    <w:rsid w:val="00B62E0A"/>
    <w:rsid w:val="00B6351C"/>
    <w:rsid w:val="00B72DF3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2C1B"/>
    <w:rsid w:val="00B96E99"/>
    <w:rsid w:val="00BA1C72"/>
    <w:rsid w:val="00BA3538"/>
    <w:rsid w:val="00BA600A"/>
    <w:rsid w:val="00BA7E2B"/>
    <w:rsid w:val="00BB09CD"/>
    <w:rsid w:val="00BB2E42"/>
    <w:rsid w:val="00BB5610"/>
    <w:rsid w:val="00BB798D"/>
    <w:rsid w:val="00BC5DE2"/>
    <w:rsid w:val="00BD1600"/>
    <w:rsid w:val="00BD2E28"/>
    <w:rsid w:val="00BD36A4"/>
    <w:rsid w:val="00BD3EF7"/>
    <w:rsid w:val="00BD439A"/>
    <w:rsid w:val="00BE0B41"/>
    <w:rsid w:val="00BE0D36"/>
    <w:rsid w:val="00BE21D1"/>
    <w:rsid w:val="00BE47F3"/>
    <w:rsid w:val="00BE4E55"/>
    <w:rsid w:val="00BF3AB0"/>
    <w:rsid w:val="00BF4A2D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026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1065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E62F5"/>
    <w:rsid w:val="00DE7A48"/>
    <w:rsid w:val="00DF288A"/>
    <w:rsid w:val="00DF3DF6"/>
    <w:rsid w:val="00DF4E11"/>
    <w:rsid w:val="00DF57B8"/>
    <w:rsid w:val="00DF64FF"/>
    <w:rsid w:val="00DF72C5"/>
    <w:rsid w:val="00E005B9"/>
    <w:rsid w:val="00E00DD3"/>
    <w:rsid w:val="00E029E2"/>
    <w:rsid w:val="00E13279"/>
    <w:rsid w:val="00E15214"/>
    <w:rsid w:val="00E22F62"/>
    <w:rsid w:val="00E23211"/>
    <w:rsid w:val="00E23830"/>
    <w:rsid w:val="00E2703D"/>
    <w:rsid w:val="00E36432"/>
    <w:rsid w:val="00E41649"/>
    <w:rsid w:val="00E423E4"/>
    <w:rsid w:val="00E42A9B"/>
    <w:rsid w:val="00E45134"/>
    <w:rsid w:val="00E46A83"/>
    <w:rsid w:val="00E47C45"/>
    <w:rsid w:val="00E501FD"/>
    <w:rsid w:val="00E53F2E"/>
    <w:rsid w:val="00E71017"/>
    <w:rsid w:val="00E71A6F"/>
    <w:rsid w:val="00E71AEC"/>
    <w:rsid w:val="00E759C9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35B0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17E90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67848"/>
    <w:rsid w:val="00F701DD"/>
    <w:rsid w:val="00F71AE4"/>
    <w:rsid w:val="00F82FDC"/>
    <w:rsid w:val="00F8564E"/>
    <w:rsid w:val="00F86908"/>
    <w:rsid w:val="00F8738F"/>
    <w:rsid w:val="00F87BC0"/>
    <w:rsid w:val="00FA048B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F52F9"/>
  <w15:docId w15:val="{5B33486D-F1E2-4B74-9A84-389BEF8A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43F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7848"/>
    <w:pPr>
      <w:jc w:val="left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5B0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40043F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F67848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EC35B0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FA048B"/>
  </w:style>
  <w:style w:type="character" w:customStyle="1" w:styleId="FootnoteTextChar">
    <w:name w:val="Footnote Text Char"/>
    <w:link w:val="FootnoteText"/>
    <w:uiPriority w:val="99"/>
    <w:semiHidden/>
    <w:rsid w:val="00FA048B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A048B"/>
    <w:rPr>
      <w:vertAlign w:val="superscript"/>
    </w:rPr>
  </w:style>
  <w:style w:type="paragraph" w:styleId="ListParagraph">
    <w:name w:val="List Paragraph"/>
    <w:basedOn w:val="Normal"/>
    <w:uiPriority w:val="1"/>
    <w:qFormat/>
    <w:rsid w:val="00974D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46E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6E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1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1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42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142"/>
  </w:style>
  <w:style w:type="paragraph" w:styleId="BlockText">
    <w:name w:val="Block Text"/>
    <w:basedOn w:val="Normal"/>
    <w:uiPriority w:val="99"/>
    <w:semiHidden/>
    <w:unhideWhenUsed/>
    <w:rsid w:val="001551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14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142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4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142"/>
    <w:pPr>
      <w:widowControl/>
      <w:autoSpaceDE/>
      <w:autoSpaceDN/>
      <w:spacing w:before="240" w:after="120" w:line="276" w:lineRule="auto"/>
      <w:ind w:firstLine="360"/>
    </w:pPr>
    <w:rPr>
      <w:rFonts w:ascii="Arial" w:eastAsia="Calibri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142"/>
    <w:rPr>
      <w:rFonts w:ascii="Arial" w:eastAsia="Times New Roman" w:hAnsi="Arial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14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142"/>
    <w:rPr>
      <w:rFonts w:ascii="Arial" w:hAnsi="Arial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14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14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14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1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142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42"/>
    <w:rPr>
      <w:rFonts w:ascii="Arial" w:hAnsi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142"/>
  </w:style>
  <w:style w:type="character" w:customStyle="1" w:styleId="DateChar">
    <w:name w:val="Date Char"/>
    <w:basedOn w:val="DefaultParagraphFont"/>
    <w:link w:val="Date"/>
    <w:uiPriority w:val="99"/>
    <w:semiHidden/>
    <w:rsid w:val="00155142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142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5142"/>
    <w:rPr>
      <w:rFonts w:ascii="Arial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4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5514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514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142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142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1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14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142"/>
    <w:rPr>
      <w:rFonts w:ascii="Arial" w:hAnsi="Arial"/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142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1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142"/>
    <w:rPr>
      <w:rFonts w:ascii="Arial" w:hAnsi="Arial"/>
      <w:i/>
      <w:iCs/>
      <w:color w:val="5B9BD5" w:themeColor="accent1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1551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1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1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1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1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514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14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14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1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14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514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14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14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14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14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514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14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14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14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14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5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76" w:lineRule="auto"/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142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14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55142"/>
    <w:pPr>
      <w:jc w:val="both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51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51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142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142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5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142"/>
    <w:rPr>
      <w:rFonts w:ascii="Arial" w:hAnsi="Arial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142"/>
    <w:rPr>
      <w:rFonts w:ascii="Arial" w:hAnsi="Arial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142"/>
    <w:rPr>
      <w:rFonts w:ascii="Arial" w:hAnsi="Arial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14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514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55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A9D329B328C4BBE0DFCEE619434D8" ma:contentTypeVersion="13" ma:contentTypeDescription="Create a new document." ma:contentTypeScope="" ma:versionID="afa664b0dc8de2086769bb4b6b660234">
  <xsd:schema xmlns:xsd="http://www.w3.org/2001/XMLSchema" xmlns:xs="http://www.w3.org/2001/XMLSchema" xmlns:p="http://schemas.microsoft.com/office/2006/metadata/properties" xmlns:ns3="0dc3e94b-94e4-4e05-983e-659540d929e0" xmlns:ns4="d0dea29b-97e7-479c-b803-7fedf1230a1e" targetNamespace="http://schemas.microsoft.com/office/2006/metadata/properties" ma:root="true" ma:fieldsID="2f40c021de59e85d174321465f3f5024" ns3:_="" ns4:_="">
    <xsd:import namespace="0dc3e94b-94e4-4e05-983e-659540d929e0"/>
    <xsd:import namespace="d0dea29b-97e7-479c-b803-7fedf1230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3e94b-94e4-4e05-983e-659540d92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ea29b-97e7-479c-b803-7fedf1230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9E4C-C99A-410E-A477-205335D67FC3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0dc3e94b-94e4-4e05-983e-659540d929e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0dea29b-97e7-479c-b803-7fedf1230a1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E42206-9643-4F48-80DE-36768D6F2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2966E-0BD2-49DE-B12F-2E8351396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3e94b-94e4-4e05-983e-659540d929e0"/>
    <ds:schemaRef ds:uri="d0dea29b-97e7-479c-b803-7fedf1230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E8091-514C-40F7-9642-BF080A86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1463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Links>
    <vt:vector size="222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_Toc473030836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_Toc473030835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_Toc473030834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_Toc473030833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_Toc473030832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_Toc473030831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_Toc473030830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_Toc473030829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_Toc473030828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_Toc473030827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_Toc473030826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_Toc473030825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_Toc473030824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_Toc473030823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_Toc473030822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_Toc473030821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_Toc473030820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_Toc473030819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_Toc473030818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_Toc473030817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_Toc473030816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_Toc473030815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_Toc473030814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_Toc473030813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_Toc473030812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_Toc473030811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_Toc473030810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_Toc473030809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_Toc473030808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_Toc473030807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_Toc473030806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_Toc473030805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_Toc473030804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_Toc473030803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_Toc473030802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Chan Sze Wei</cp:lastModifiedBy>
  <cp:revision>4</cp:revision>
  <cp:lastPrinted>2019-01-29T09:08:00Z</cp:lastPrinted>
  <dcterms:created xsi:type="dcterms:W3CDTF">2022-11-07T08:58:00Z</dcterms:created>
  <dcterms:modified xsi:type="dcterms:W3CDTF">2022-11-07T09:13:00Z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0x0101006F9A9D329B328C4BBE0DFCEE619434D8</vt:lpwstr>
  </property>
</Properties>
</file>