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C180B" w14:textId="7233B860" w:rsidR="00E423E4" w:rsidRPr="005E304B" w:rsidRDefault="005E304B" w:rsidP="005E304B">
      <w:pPr>
        <w:pStyle w:val="CILTitle"/>
      </w:pPr>
      <w:r w:rsidRPr="005E304B">
        <w:t>2019 ASEAN LABOUR MINISTERS’ JOINT STATEMENT ON GREEN INITIATIVE TO THE 108</w:t>
      </w:r>
      <w:r w:rsidRPr="005E304B">
        <w:rPr>
          <w:vertAlign w:val="superscript"/>
        </w:rPr>
        <w:t>th</w:t>
      </w:r>
      <w:r w:rsidRPr="005E304B">
        <w:t xml:space="preserve"> INTERNATIONAL LABOUR CONFERENCE</w:t>
      </w:r>
    </w:p>
    <w:p w14:paraId="5B2345D8" w14:textId="7420BF19" w:rsidR="00CD6026" w:rsidRDefault="005E304B" w:rsidP="00CD6026">
      <w:pPr>
        <w:pStyle w:val="CILSubtitle"/>
      </w:pPr>
      <w:r>
        <w:t>Adopted</w:t>
      </w:r>
      <w:r w:rsidR="00CD6026">
        <w:t xml:space="preserve"> in </w:t>
      </w:r>
      <w:r>
        <w:t xml:space="preserve">Geneva, Switzerland </w:t>
      </w:r>
      <w:r w:rsidR="00CD6026">
        <w:t xml:space="preserve">on </w:t>
      </w:r>
      <w:r>
        <w:t>12 June 2019</w:t>
      </w:r>
    </w:p>
    <w:p w14:paraId="77C2854B" w14:textId="670741AE" w:rsidR="005E304B" w:rsidRDefault="005E304B" w:rsidP="00DF288A">
      <w:r w:rsidRPr="005E304B">
        <w:rPr>
          <w:b/>
          <w:bCs/>
        </w:rPr>
        <w:t>WE</w:t>
      </w:r>
      <w:r w:rsidRPr="005E304B">
        <w:t>, the Labour Ministers of the Association of Southeast Asian Nations (hereinafter referred to as “ASEAN”) Member States, namely Brunei Darussalam, Kingdom of Cambodia, the Republic of Indonesia, the Lao People’s Democratic Republic, Malaysia, the Republic of the Union of Myanmar, the Republic of the Philippines, the Republic of Singapore, the Kingdom of Thailand and the Socialist Republic of Viet Nam on the occasion of the 108</w:t>
      </w:r>
      <w:r w:rsidRPr="005E304B">
        <w:rPr>
          <w:vertAlign w:val="superscript"/>
        </w:rPr>
        <w:t>th</w:t>
      </w:r>
      <w:r w:rsidRPr="005E304B">
        <w:t xml:space="preserve"> International Labour Conference (ILC) in Geneva, Switzerland; </w:t>
      </w:r>
    </w:p>
    <w:p w14:paraId="6947B625" w14:textId="1D81C987" w:rsidR="005E304B" w:rsidRDefault="005E304B" w:rsidP="00DF288A">
      <w:r w:rsidRPr="005E304B">
        <w:rPr>
          <w:b/>
          <w:bCs/>
        </w:rPr>
        <w:t>RECALLING</w:t>
      </w:r>
      <w:r w:rsidRPr="005E304B">
        <w:t xml:space="preserve"> the aspirations of the Paris Agreement on Climate Change 2015, the ILO Guidelines for a Just Transition towards Environmentally Sustainable Economies and Societies for All 2015, and the Conclusions Concerning Sustainable Development, Decent Work and Green Jobs in the </w:t>
      </w:r>
      <w:r w:rsidR="00A84A65">
        <w:br/>
      </w:r>
      <w:r w:rsidRPr="005E304B">
        <w:t>102</w:t>
      </w:r>
      <w:r w:rsidRPr="005E304B">
        <w:rPr>
          <w:vertAlign w:val="superscript"/>
        </w:rPr>
        <w:t>nd</w:t>
      </w:r>
      <w:r>
        <w:t xml:space="preserve"> </w:t>
      </w:r>
      <w:r w:rsidRPr="005E304B">
        <w:t xml:space="preserve">International Labour Conference 2013, and the United Nations Sustainable Development Goal 8 on Decent Work and Economic Growth; </w:t>
      </w:r>
    </w:p>
    <w:p w14:paraId="2364A2C5" w14:textId="171D0A26" w:rsidR="00974D05" w:rsidRDefault="005E304B" w:rsidP="00DF288A">
      <w:r w:rsidRPr="005E304B">
        <w:rPr>
          <w:b/>
          <w:bCs/>
        </w:rPr>
        <w:t>RECALLING</w:t>
      </w:r>
      <w:r w:rsidRPr="005E304B">
        <w:t xml:space="preserve"> the ASEAN Leaders’ Vision for A Resilient and Innovative ASEAN adopted at the </w:t>
      </w:r>
      <w:r w:rsidR="00A84A65">
        <w:br/>
      </w:r>
      <w:r w:rsidRPr="005E304B">
        <w:t>32</w:t>
      </w:r>
      <w:r w:rsidRPr="005E304B">
        <w:rPr>
          <w:vertAlign w:val="superscript"/>
        </w:rPr>
        <w:t>nd</w:t>
      </w:r>
      <w:r>
        <w:t xml:space="preserve"> </w:t>
      </w:r>
      <w:r w:rsidRPr="005E304B">
        <w:t>ASEAN Summit on 27 April 2018 in Singapore which calls for a sustainable community that promotes economic and social development alongside environmental protection through effective mechanisms to meet the current and future challenges of its people, while leaving no one behind;</w:t>
      </w:r>
    </w:p>
    <w:p w14:paraId="35212742" w14:textId="77777777" w:rsidR="005E304B" w:rsidRDefault="005E304B" w:rsidP="00DF288A">
      <w:r w:rsidRPr="005E304B">
        <w:rPr>
          <w:b/>
          <w:bCs/>
        </w:rPr>
        <w:t>NOTING</w:t>
      </w:r>
      <w:r w:rsidRPr="005E304B">
        <w:t xml:space="preserve"> the theme of “Promoting Green Jobs for Equity and Inclusive Growth of ASEAN Community” for the 25</w:t>
      </w:r>
      <w:r w:rsidRPr="005E304B">
        <w:rPr>
          <w:vertAlign w:val="superscript"/>
        </w:rPr>
        <w:t>th</w:t>
      </w:r>
      <w:r w:rsidRPr="005E304B">
        <w:t xml:space="preserve"> ASEAN Labour Ministers’ Meeting (ALMM) and its Related Meetings and Conference held from 24 to 29 November 2018 in Kuala Lumpur, Malaysia; and </w:t>
      </w:r>
    </w:p>
    <w:p w14:paraId="6A088D1D" w14:textId="73289D40" w:rsidR="005E304B" w:rsidRDefault="005E304B" w:rsidP="00DF288A">
      <w:r w:rsidRPr="005E304B">
        <w:rPr>
          <w:b/>
          <w:bCs/>
        </w:rPr>
        <w:t>REAFFIRMING</w:t>
      </w:r>
      <w:r w:rsidRPr="005E304B">
        <w:t xml:space="preserve"> our commitment to achieve better understanding about the effects of green jobs and green skills on the environment and labour market among ASEAN Member States and to advocate the importance of environmentally and socially sustainable economies with the objective of job creation as stipulated in the ASEAN Declaration on Promoting Green Jobs for Equity and Inclusive Growth of ASEAN Community adopted by the ASEAN Leaders at the 33</w:t>
      </w:r>
      <w:r w:rsidRPr="005E304B">
        <w:rPr>
          <w:vertAlign w:val="superscript"/>
        </w:rPr>
        <w:t>rd</w:t>
      </w:r>
      <w:r w:rsidRPr="005E304B">
        <w:t xml:space="preserve"> ASEAN Summit on 13 November 2018 in Singapore; </w:t>
      </w:r>
    </w:p>
    <w:p w14:paraId="096418E0" w14:textId="78259D4D" w:rsidR="005E304B" w:rsidRDefault="005E304B" w:rsidP="00DF288A">
      <w:pPr>
        <w:rPr>
          <w:b/>
          <w:bCs/>
        </w:rPr>
      </w:pPr>
      <w:r w:rsidRPr="005E304B">
        <w:rPr>
          <w:b/>
          <w:bCs/>
        </w:rPr>
        <w:t>DO HEREBY:</w:t>
      </w:r>
    </w:p>
    <w:p w14:paraId="140A0BA3" w14:textId="77777777" w:rsidR="005E304B" w:rsidRPr="005E304B" w:rsidRDefault="005E304B" w:rsidP="005E304B">
      <w:pPr>
        <w:pStyle w:val="ListParagraph"/>
        <w:numPr>
          <w:ilvl w:val="0"/>
          <w:numId w:val="13"/>
        </w:numPr>
        <w:rPr>
          <w:b/>
          <w:bCs/>
        </w:rPr>
      </w:pPr>
      <w:r>
        <w:t xml:space="preserve">Welcome </w:t>
      </w:r>
      <w:r w:rsidRPr="005E304B">
        <w:t xml:space="preserve">the Green Initiative, as one of the seven centenary initiatives of International Labour Organization, which is in line with the commitment of ASEAN Member States in the ASEAN Declaration on Promoting Green Jobs for Equity and Inclusive Growth of ASEAN Community; </w:t>
      </w:r>
    </w:p>
    <w:p w14:paraId="55A1F841" w14:textId="77777777" w:rsidR="005E304B" w:rsidRPr="005E304B" w:rsidRDefault="005E304B" w:rsidP="005E304B">
      <w:pPr>
        <w:pStyle w:val="ListParagraph"/>
        <w:ind w:left="357"/>
        <w:rPr>
          <w:b/>
          <w:bCs/>
        </w:rPr>
      </w:pPr>
    </w:p>
    <w:p w14:paraId="5BE3B3C6" w14:textId="34B9D6CE" w:rsidR="005E304B" w:rsidRPr="005E304B" w:rsidRDefault="005E304B" w:rsidP="005E304B">
      <w:pPr>
        <w:pStyle w:val="ListParagraph"/>
        <w:numPr>
          <w:ilvl w:val="0"/>
          <w:numId w:val="13"/>
        </w:numPr>
        <w:rPr>
          <w:b/>
          <w:bCs/>
        </w:rPr>
      </w:pPr>
      <w:r w:rsidRPr="005E304B">
        <w:t xml:space="preserve">Welcome the Global Commission on the Future of Work’s Report: Work for A Brighter Future launched on 22 January 2019 which calls for a new approach that puts people and the work they do at the </w:t>
      </w:r>
      <w:proofErr w:type="spellStart"/>
      <w:r w:rsidRPr="005E304B">
        <w:t>centre</w:t>
      </w:r>
      <w:proofErr w:type="spellEnd"/>
      <w:r w:rsidRPr="005E304B">
        <w:t xml:space="preserve"> of economic and social policy and business practice. The call for a human-</w:t>
      </w:r>
      <w:proofErr w:type="spellStart"/>
      <w:r w:rsidRPr="005E304B">
        <w:t>centre</w:t>
      </w:r>
      <w:bookmarkStart w:id="0" w:name="_GoBack"/>
      <w:bookmarkEnd w:id="0"/>
      <w:r w:rsidRPr="005E304B">
        <w:t>d</w:t>
      </w:r>
      <w:proofErr w:type="spellEnd"/>
      <w:r w:rsidRPr="005E304B">
        <w:t xml:space="preserve"> agenda for the future of work is in line with the ASEAN Vision 2025 which sets out the future direction for a people</w:t>
      </w:r>
      <w:r>
        <w:t>-</w:t>
      </w:r>
      <w:r w:rsidRPr="005E304B">
        <w:t>oriented, people-</w:t>
      </w:r>
      <w:proofErr w:type="spellStart"/>
      <w:r w:rsidRPr="005E304B">
        <w:t>centred</w:t>
      </w:r>
      <w:proofErr w:type="spellEnd"/>
      <w:r w:rsidRPr="005E304B">
        <w:t xml:space="preserve"> ASEAN; </w:t>
      </w:r>
    </w:p>
    <w:p w14:paraId="4974954F" w14:textId="77777777" w:rsidR="005E304B" w:rsidRDefault="005E304B" w:rsidP="005E304B">
      <w:pPr>
        <w:pStyle w:val="ListParagraph"/>
      </w:pPr>
    </w:p>
    <w:p w14:paraId="56109951" w14:textId="58727D1E" w:rsidR="005E304B" w:rsidRPr="005E304B" w:rsidRDefault="005E304B" w:rsidP="005E304B">
      <w:pPr>
        <w:pStyle w:val="ListParagraph"/>
        <w:numPr>
          <w:ilvl w:val="0"/>
          <w:numId w:val="13"/>
        </w:numPr>
        <w:rPr>
          <w:b/>
          <w:bCs/>
        </w:rPr>
      </w:pPr>
      <w:r w:rsidRPr="005E304B">
        <w:t>Underline the importance of ensuring decent, sustainable and inclusive work as well as safe and healthy work environments in the transition towards green economies;</w:t>
      </w:r>
    </w:p>
    <w:p w14:paraId="410C064E" w14:textId="515E3A88" w:rsidR="005E304B" w:rsidRDefault="005E304B" w:rsidP="005E304B">
      <w:pPr>
        <w:pStyle w:val="ListParagraph"/>
        <w:rPr>
          <w:b/>
          <w:bCs/>
        </w:rPr>
      </w:pPr>
    </w:p>
    <w:p w14:paraId="26F84528" w14:textId="77777777" w:rsidR="00A84A65" w:rsidRPr="005E304B" w:rsidRDefault="00A84A65" w:rsidP="005E304B">
      <w:pPr>
        <w:pStyle w:val="ListParagraph"/>
        <w:rPr>
          <w:b/>
          <w:bCs/>
        </w:rPr>
      </w:pPr>
    </w:p>
    <w:p w14:paraId="43DA22F2" w14:textId="77777777" w:rsidR="005E304B" w:rsidRDefault="005E304B" w:rsidP="005E304B">
      <w:pPr>
        <w:pStyle w:val="ListParagraph"/>
        <w:numPr>
          <w:ilvl w:val="0"/>
          <w:numId w:val="13"/>
        </w:numPr>
      </w:pPr>
      <w:r w:rsidRPr="005E304B">
        <w:lastRenderedPageBreak/>
        <w:t xml:space="preserve">Encourage countries to advance understanding about the opportunities and challenges in the world of work arising from increasing demands for green jobs and green skills through research and sharing of knowledge and good practices. In this regard, the ASEAN Senior Labour Officials will conduct a regional study on green jobs and green skills in collaboration with ILO; </w:t>
      </w:r>
    </w:p>
    <w:p w14:paraId="227B6CAA" w14:textId="77777777" w:rsidR="005E304B" w:rsidRDefault="005E304B" w:rsidP="005E304B">
      <w:pPr>
        <w:pStyle w:val="ListParagraph"/>
      </w:pPr>
    </w:p>
    <w:p w14:paraId="375A8B46" w14:textId="77777777" w:rsidR="005E304B" w:rsidRDefault="005E304B" w:rsidP="005E304B">
      <w:pPr>
        <w:pStyle w:val="ListParagraph"/>
        <w:numPr>
          <w:ilvl w:val="0"/>
          <w:numId w:val="13"/>
        </w:numPr>
      </w:pPr>
      <w:r w:rsidRPr="005E304B">
        <w:t xml:space="preserve">Encourage countries to build strategic partnerships at international, regional and national levels to share good practices on green jobs that help to increase the climate resilience of countries and communities, foster social inclusion and gender equality, and contribute to the eradication of poverty; </w:t>
      </w:r>
    </w:p>
    <w:p w14:paraId="279DCE41" w14:textId="77777777" w:rsidR="005E304B" w:rsidRDefault="005E304B" w:rsidP="005E304B">
      <w:pPr>
        <w:pStyle w:val="ListParagraph"/>
      </w:pPr>
    </w:p>
    <w:p w14:paraId="419024BC" w14:textId="77777777" w:rsidR="005E304B" w:rsidRDefault="005E304B" w:rsidP="005E304B">
      <w:pPr>
        <w:pStyle w:val="ListParagraph"/>
        <w:numPr>
          <w:ilvl w:val="0"/>
          <w:numId w:val="13"/>
        </w:numPr>
      </w:pPr>
      <w:r w:rsidRPr="005E304B">
        <w:t xml:space="preserve">Promote the creation and sustaining of green jobs and the greening of existing jobs, vocational trainings, enterprises and economies as well as improve their productivity which are an essential means of achieving sustainable development and providing decent work for all; </w:t>
      </w:r>
    </w:p>
    <w:p w14:paraId="51DE16D7" w14:textId="77777777" w:rsidR="005E304B" w:rsidRDefault="005E304B" w:rsidP="005E304B">
      <w:pPr>
        <w:pStyle w:val="ListParagraph"/>
      </w:pPr>
    </w:p>
    <w:p w14:paraId="2B92774B" w14:textId="77777777" w:rsidR="005E304B" w:rsidRDefault="005E304B" w:rsidP="005E304B">
      <w:pPr>
        <w:pStyle w:val="ListParagraph"/>
        <w:numPr>
          <w:ilvl w:val="0"/>
          <w:numId w:val="13"/>
        </w:numPr>
      </w:pPr>
      <w:r w:rsidRPr="005E304B">
        <w:t xml:space="preserve">Provide opportunities for governments, enterprises and workers to build capacity, develop skills and share knowledge and sustain efforts on the greening of goods and services, public policies, business practices and technologies in support of a safe and healthy environment and just transitions to sustainable and low-carbon economies; and </w:t>
      </w:r>
    </w:p>
    <w:p w14:paraId="2CF746FF" w14:textId="77777777" w:rsidR="005E304B" w:rsidRDefault="005E304B" w:rsidP="005E304B">
      <w:pPr>
        <w:pStyle w:val="ListParagraph"/>
      </w:pPr>
    </w:p>
    <w:p w14:paraId="3DFE430F" w14:textId="77777777" w:rsidR="005E304B" w:rsidRDefault="005E304B" w:rsidP="005E304B">
      <w:pPr>
        <w:pStyle w:val="ListParagraph"/>
        <w:numPr>
          <w:ilvl w:val="0"/>
          <w:numId w:val="13"/>
        </w:numPr>
      </w:pPr>
      <w:r w:rsidRPr="005E304B">
        <w:t xml:space="preserve">Encourage collaborative efforts and harmonious relationships among governments, employers’ and workers’ </w:t>
      </w:r>
      <w:proofErr w:type="spellStart"/>
      <w:r w:rsidRPr="005E304B">
        <w:t>organisations</w:t>
      </w:r>
      <w:proofErr w:type="spellEnd"/>
      <w:r w:rsidRPr="005E304B">
        <w:t xml:space="preserve">, and relevant stakeholders to forge enabling policies for a transition towards environmentally and socially sustainable economies with the objective of job creation. </w:t>
      </w:r>
    </w:p>
    <w:p w14:paraId="3B36D166" w14:textId="40F03B8E" w:rsidR="005E304B" w:rsidRPr="005E304B" w:rsidRDefault="005E304B" w:rsidP="005E304B">
      <w:r w:rsidRPr="005E304B">
        <w:rPr>
          <w:b/>
          <w:bCs/>
        </w:rPr>
        <w:t>DONE</w:t>
      </w:r>
      <w:r w:rsidRPr="005E304B">
        <w:t xml:space="preserve"> at Geneva, Switzerland, this Twelfth Day of June in the Year Two Thousand and Nineteen, in a single original copy, in the English Language.</w:t>
      </w:r>
    </w:p>
    <w:p w14:paraId="66C52612" w14:textId="77777777" w:rsidR="00DF288A" w:rsidRPr="00E423E4" w:rsidRDefault="00DF288A" w:rsidP="00CD6026">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8BB36" w14:textId="77777777" w:rsidR="00D859BE" w:rsidRDefault="00D859BE" w:rsidP="00F61B4F">
      <w:pPr>
        <w:spacing w:before="0" w:after="0" w:line="240" w:lineRule="auto"/>
      </w:pPr>
      <w:r>
        <w:separator/>
      </w:r>
    </w:p>
  </w:endnote>
  <w:endnote w:type="continuationSeparator" w:id="0">
    <w:p w14:paraId="18E4831E" w14:textId="77777777" w:rsidR="00D859BE" w:rsidRDefault="00D859B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4B8A" w14:textId="77777777" w:rsidR="00B532E2" w:rsidRDefault="00B532E2" w:rsidP="00F61B4F">
    <w:pPr>
      <w:pStyle w:val="Footer"/>
      <w:tabs>
        <w:tab w:val="clear" w:pos="9360"/>
        <w:tab w:val="right" w:pos="8931"/>
      </w:tabs>
      <w:jc w:val="right"/>
    </w:pPr>
  </w:p>
  <w:p w14:paraId="772DB1EA"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BF230" w14:textId="77777777" w:rsidR="00B532E2" w:rsidRDefault="00B532E2" w:rsidP="00F61B4F">
    <w:pPr>
      <w:pStyle w:val="Footer"/>
      <w:tabs>
        <w:tab w:val="clear" w:pos="9360"/>
        <w:tab w:val="right" w:pos="8931"/>
      </w:tabs>
      <w:jc w:val="right"/>
    </w:pPr>
  </w:p>
  <w:p w14:paraId="5226E517"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6C1D1" w14:textId="77777777" w:rsidR="00D859BE" w:rsidRDefault="00D859BE" w:rsidP="00F61B4F">
      <w:pPr>
        <w:spacing w:before="0" w:after="0" w:line="240" w:lineRule="auto"/>
      </w:pPr>
      <w:r>
        <w:separator/>
      </w:r>
    </w:p>
  </w:footnote>
  <w:footnote w:type="continuationSeparator" w:id="0">
    <w:p w14:paraId="277C9F49" w14:textId="77777777" w:rsidR="00D859BE" w:rsidRDefault="00D859B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BE387" w14:textId="055D7B70" w:rsidR="00B532E2" w:rsidRPr="00CD6026" w:rsidRDefault="005E304B" w:rsidP="00CD6026">
    <w:pPr>
      <w:pStyle w:val="Header"/>
      <w:pBdr>
        <w:bottom w:val="single" w:sz="4" w:space="1" w:color="auto"/>
      </w:pBdr>
      <w:rPr>
        <w:rFonts w:cs="Arial"/>
        <w:caps/>
        <w:color w:val="808080"/>
        <w:sz w:val="16"/>
        <w:szCs w:val="16"/>
      </w:rPr>
    </w:pPr>
    <w:r w:rsidRPr="005E304B">
      <w:rPr>
        <w:rFonts w:cs="Arial"/>
        <w:caps/>
        <w:color w:val="808080"/>
        <w:sz w:val="16"/>
        <w:szCs w:val="16"/>
      </w:rPr>
      <w:t xml:space="preserve">2019 ASEAN LABOUR MINISTERS’ JOINT STATEMENT ON GREEN INITIATIVE TO THE </w:t>
    </w:r>
    <w:r>
      <w:rPr>
        <w:rFonts w:cs="Arial"/>
        <w:caps/>
        <w:color w:val="808080"/>
        <w:sz w:val="16"/>
        <w:szCs w:val="16"/>
      </w:rPr>
      <w:t>108</w:t>
    </w:r>
    <w:r w:rsidRPr="005E304B">
      <w:rPr>
        <w:rFonts w:cs="Arial"/>
        <w:caps/>
        <w:color w:val="808080"/>
        <w:sz w:val="16"/>
        <w:szCs w:val="16"/>
        <w:vertAlign w:val="superscript"/>
      </w:rPr>
      <w:t>th</w:t>
    </w:r>
    <w:r>
      <w:rPr>
        <w:rFonts w:cs="Arial"/>
        <w:caps/>
        <w:color w:val="808080"/>
        <w:sz w:val="16"/>
        <w:szCs w:val="16"/>
      </w:rPr>
      <w:t xml:space="preserve"> ILC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A0196A"/>
    <w:multiLevelType w:val="multilevel"/>
    <w:tmpl w:val="DB608AA8"/>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887DE8"/>
    <w:multiLevelType w:val="hybridMultilevel"/>
    <w:tmpl w:val="5556460E"/>
    <w:lvl w:ilvl="0" w:tplc="EBE2C508">
      <w:start w:val="1"/>
      <w:numFmt w:val="decimal"/>
      <w:lvlText w:val="%1."/>
      <w:lvlJc w:val="left"/>
      <w:pPr>
        <w:ind w:left="357" w:hanging="357"/>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04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304B"/>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6659"/>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84A65"/>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59BE"/>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7C66F6"/>
  <w15:docId w15:val="{522159D2-3662-0747-8676-01B3C7DB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5E304B"/>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numbering" w:customStyle="1" w:styleId="CurrentList1">
    <w:name w:val="Current List1"/>
    <w:uiPriority w:val="99"/>
    <w:rsid w:val="005E304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580E0-C890-4701-B28D-5BF83CD3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728</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2019-01-29T09:08:00Z</cp:lastPrinted>
  <dcterms:created xsi:type="dcterms:W3CDTF">2022-11-24T23:23:00Z</dcterms:created>
  <dcterms:modified xsi:type="dcterms:W3CDTF">2022-12-20T08:59:00Z</dcterms:modified>
</cp:coreProperties>
</file>