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2F" w:rsidRDefault="00887BB2" w:rsidP="00887BB2">
      <w:pPr>
        <w:pStyle w:val="CILTitle"/>
      </w:pPr>
      <w:r>
        <w:t xml:space="preserve">2023-2027 </w:t>
      </w:r>
      <w:r w:rsidR="00DF3A2F">
        <w:t xml:space="preserve">PLAN OF ACTION TO STRENGTHEN </w:t>
      </w:r>
      <w:r>
        <w:br/>
      </w:r>
      <w:r w:rsidR="00DF3A2F">
        <w:t xml:space="preserve">THE IMPLEMENTATION OF THE TREATY ON </w:t>
      </w:r>
      <w:r>
        <w:br/>
      </w:r>
      <w:r w:rsidR="00DF3A2F">
        <w:t xml:space="preserve">THE SOUTHEAST ASIA NUCLEAR WEAPON-FREE ZONE </w:t>
      </w:r>
    </w:p>
    <w:p w:rsidR="00DF3A2F" w:rsidRDefault="00887BB2" w:rsidP="00887BB2">
      <w:pPr>
        <w:pStyle w:val="CILSubtitle"/>
      </w:pPr>
      <w:r>
        <w:t>Adopted in Phnom Penh, Cambodia on 2 August 2022</w:t>
      </w:r>
    </w:p>
    <w:p w:rsidR="00887BB2" w:rsidRDefault="00887BB2" w:rsidP="00887BB2">
      <w:pPr>
        <w:pStyle w:val="Heading2"/>
      </w:pPr>
    </w:p>
    <w:p w:rsidR="00DF3A2F" w:rsidRDefault="00DF3A2F" w:rsidP="00887BB2">
      <w:pPr>
        <w:pStyle w:val="Heading2"/>
      </w:pPr>
      <w:r>
        <w:t>1.</w:t>
      </w:r>
      <w:r w:rsidR="00887BB2">
        <w:tab/>
      </w:r>
      <w:r>
        <w:t>COMPLIANCE WITH THE UNDERTAKINGS IN THE SEANWFZ TREATY</w:t>
      </w:r>
    </w:p>
    <w:p w:rsidR="00DF3A2F" w:rsidRDefault="00DF3A2F" w:rsidP="00887BB2">
      <w:pPr>
        <w:ind w:left="1134" w:hanging="567"/>
      </w:pPr>
      <w:r>
        <w:t>a.</w:t>
      </w:r>
      <w:r>
        <w:tab/>
        <w:t>Encourage accession to the Convention on Early Notification of a Nuclear Accident by all States Parties.</w:t>
      </w:r>
    </w:p>
    <w:p w:rsidR="00DF3A2F" w:rsidRDefault="00DF3A2F" w:rsidP="00887BB2">
      <w:pPr>
        <w:ind w:left="1134" w:hanging="567"/>
      </w:pPr>
      <w:r>
        <w:t>b.</w:t>
      </w:r>
      <w:r>
        <w:tab/>
        <w:t>Encourage accession to the Convention on Nuclear Safety by all States Parties.</w:t>
      </w:r>
    </w:p>
    <w:p w:rsidR="00DF3A2F" w:rsidRDefault="00DF3A2F" w:rsidP="00887BB2">
      <w:pPr>
        <w:ind w:left="1134" w:hanging="567"/>
      </w:pPr>
      <w:r>
        <w:t>c.</w:t>
      </w:r>
      <w:r>
        <w:tab/>
        <w:t>Encourage conclusion of the International Atomic Energy Agency (IAEA) Additional Protocols by all States Parties.</w:t>
      </w:r>
    </w:p>
    <w:p w:rsidR="00DF3A2F" w:rsidRDefault="00DF3A2F" w:rsidP="00887BB2">
      <w:pPr>
        <w:ind w:left="1134" w:hanging="567"/>
      </w:pPr>
      <w:r>
        <w:t>d.</w:t>
      </w:r>
      <w:r>
        <w:tab/>
        <w:t>Promote the universalization of international agreements related to disarmament and non-proliferation of weapons of mass destruction (WMD) as mentioned in 1(a), 1(b), and 1(c).</w:t>
      </w:r>
    </w:p>
    <w:p w:rsidR="00DF3A2F" w:rsidRDefault="00DF3A2F" w:rsidP="00887BB2">
      <w:pPr>
        <w:ind w:left="1134" w:hanging="567"/>
      </w:pPr>
      <w:r>
        <w:t>e.</w:t>
      </w:r>
      <w:r>
        <w:tab/>
        <w:t>Apart from the instruments as mentioned above in 1(a), 1(b), and 1(c), the Executive Committee will recommend to the Commission a list of other international instruments which will strengthen the implementation of the SEANWFZ.</w:t>
      </w:r>
    </w:p>
    <w:p w:rsidR="00DF3A2F" w:rsidRDefault="00DF3A2F" w:rsidP="00887BB2">
      <w:pPr>
        <w:ind w:left="1134" w:hanging="567"/>
      </w:pPr>
      <w:r>
        <w:t>f.</w:t>
      </w:r>
      <w:r>
        <w:tab/>
        <w:t>Following approval by the Commission for the SEANWFZ, States Parties will endeavor to complete the accession to instruments as recommended in the list at the soonest possible time.</w:t>
      </w:r>
    </w:p>
    <w:p w:rsidR="00DF3A2F" w:rsidRDefault="00DF3A2F" w:rsidP="00887BB2">
      <w:pPr>
        <w:ind w:left="1134" w:hanging="567"/>
      </w:pPr>
      <w:r>
        <w:t>g.</w:t>
      </w:r>
      <w:r>
        <w:tab/>
        <w:t>Implement a Control System to verify compliance with the obligations of States Parties under the SEANWFZ Treaty, in line with the obligations listed in Articles 10-13 of the SEANWFZ Treaty.</w:t>
      </w:r>
    </w:p>
    <w:p w:rsidR="00DF3A2F" w:rsidRDefault="00DF3A2F" w:rsidP="00887BB2">
      <w:pPr>
        <w:ind w:left="1134" w:hanging="567"/>
      </w:pPr>
      <w:r>
        <w:t>h.</w:t>
      </w:r>
      <w:r>
        <w:tab/>
        <w:t>Strengthen relevant existing mechanisms within ASEAN such as the Nuclear Energy Cooperation Sub-Sector Network (NEC-SSN) and the ASEAN Network of Regulatory Bodies on Atomic Energy (ASEANTOM) to contribute to the eventual development of a regional nuclear safety regime to regulate and oversee the safety assessment requirements for those States Parties which have embarked on peaceful nuclear energy programmes, in accordance with Article 4 of the SEANWFZ Treaty.</w:t>
      </w:r>
    </w:p>
    <w:p w:rsidR="00DF3A2F" w:rsidRDefault="00DF3A2F" w:rsidP="00887BB2">
      <w:pPr>
        <w:ind w:left="1134" w:hanging="567"/>
      </w:pPr>
      <w:r>
        <w:t>i.</w:t>
      </w:r>
      <w:r>
        <w:tab/>
        <w:t>Encourage States Parties to make a report on their respective implementation of the Plan of Action.</w:t>
      </w:r>
    </w:p>
    <w:p w:rsidR="00DF3A2F" w:rsidRDefault="00DF3A2F" w:rsidP="00887BB2">
      <w:pPr>
        <w:pStyle w:val="Heading2"/>
      </w:pPr>
      <w:r>
        <w:t>2.</w:t>
      </w:r>
      <w:r>
        <w:tab/>
        <w:t>PROTOCOL TO THE TREATY ON THE SOUTHEAST ASIA NUCLEAR WEAPON-FREE ZONE</w:t>
      </w:r>
    </w:p>
    <w:p w:rsidR="00DF3A2F" w:rsidRDefault="00DF3A2F" w:rsidP="00887BB2">
      <w:pPr>
        <w:ind w:left="1134" w:hanging="567"/>
      </w:pPr>
      <w:r>
        <w:t>a.</w:t>
      </w:r>
      <w:r>
        <w:tab/>
        <w:t>Continue consultations with the Nuclear Weapon States.</w:t>
      </w:r>
    </w:p>
    <w:p w:rsidR="00DF3A2F" w:rsidRDefault="00DF3A2F" w:rsidP="00887BB2">
      <w:pPr>
        <w:ind w:left="1134" w:hanging="567"/>
      </w:pPr>
      <w:r>
        <w:t>b.</w:t>
      </w:r>
      <w:r>
        <w:tab/>
        <w:t>Continue efforts among States Parties and between States Parties and the Nuclear Weapon States to resolve all outstanding issues in accordance with the objectives and principles of the SEANWFZ Treaty.</w:t>
      </w:r>
    </w:p>
    <w:p w:rsidR="00DF3A2F" w:rsidRDefault="00DF3A2F" w:rsidP="00887BB2">
      <w:pPr>
        <w:pStyle w:val="Heading2"/>
      </w:pPr>
      <w:r>
        <w:lastRenderedPageBreak/>
        <w:t>3.</w:t>
      </w:r>
      <w:r>
        <w:tab/>
        <w:t>COOPERATION WITH THE IAEA AND OTHER PARTNERS</w:t>
      </w:r>
    </w:p>
    <w:p w:rsidR="00DF3A2F" w:rsidRDefault="00DF3A2F" w:rsidP="00887BB2">
      <w:pPr>
        <w:ind w:left="1134" w:hanging="567"/>
      </w:pPr>
      <w:r>
        <w:t>a.</w:t>
      </w:r>
      <w:r>
        <w:tab/>
        <w:t>Strengthen existing cooperation with the IAEA.</w:t>
      </w:r>
    </w:p>
    <w:p w:rsidR="00DF3A2F" w:rsidRDefault="00DF3A2F" w:rsidP="00887BB2">
      <w:pPr>
        <w:ind w:left="1134" w:hanging="567"/>
      </w:pPr>
      <w:r>
        <w:t>b.</w:t>
      </w:r>
      <w:r>
        <w:tab/>
        <w:t>Promote cooperation with other international and regional bodies and institutes with the relevant resources and expertise including the Comprehensive Nu</w:t>
      </w:r>
      <w:bookmarkStart w:id="0" w:name="_GoBack"/>
      <w:bookmarkEnd w:id="0"/>
      <w:r>
        <w:t>clear-Test-Ban Treaty Organization (CTBTO), other Nuclear Weapon-Free Zones, Dialogue Partners, Nuclear Weapon States and other friendly States, to seek their support for the implementation of the provisions of the SEANWFZ Treaty.</w:t>
      </w:r>
    </w:p>
    <w:p w:rsidR="00DF3A2F" w:rsidRDefault="00DF3A2F" w:rsidP="00887BB2">
      <w:pPr>
        <w:ind w:left="1134" w:hanging="567"/>
      </w:pPr>
      <w:r>
        <w:t>c.</w:t>
      </w:r>
      <w:r>
        <w:tab/>
        <w:t>Promote an enhanced role of the SEANWFZ and its States Parties in relevant multilateral fora and frameworks on disarmament and non-proliferation, including the Review Conferences of the Treaty on the Non-Proliferation of Nuclear Weapons.</w:t>
      </w:r>
    </w:p>
    <w:p w:rsidR="00DF3A2F" w:rsidRDefault="00DF3A2F" w:rsidP="00887BB2">
      <w:pPr>
        <w:ind w:left="1134" w:hanging="567"/>
      </w:pPr>
      <w:r>
        <w:t>d.</w:t>
      </w:r>
      <w:r>
        <w:tab/>
        <w:t>Encourage cooperation and coordination among existing nuclear weapon-free zones and Mongolia, through sharing of experiences and best practices to realise a nuclear weapon-free world.</w:t>
      </w:r>
    </w:p>
    <w:p w:rsidR="00DF3A2F" w:rsidRDefault="00DF3A2F" w:rsidP="00887BB2">
      <w:pPr>
        <w:ind w:left="1134" w:hanging="567"/>
      </w:pPr>
      <w:r>
        <w:t>e.</w:t>
      </w:r>
      <w:r>
        <w:tab/>
        <w:t>Encourage the IAEA, other international and regional bodies and institutes with the relevant resources and expertise, other Nuclear Weapon-Free Zones, Dialogue Partners, Nuclear Weapon States and other friendly States, to organise capacity building activities, exchange information and experiences, and provide expertise to the States Parties, especially on the following:</w:t>
      </w:r>
    </w:p>
    <w:p w:rsidR="00DF3A2F" w:rsidRDefault="00DF3A2F" w:rsidP="00887BB2">
      <w:pPr>
        <w:ind w:left="1701" w:hanging="567"/>
      </w:pPr>
      <w:r>
        <w:t>i.</w:t>
      </w:r>
      <w:r>
        <w:tab/>
        <w:t>developing national/regional legal framework to meet international standards on nuclear safety;</w:t>
      </w:r>
    </w:p>
    <w:p w:rsidR="00DF3A2F" w:rsidRDefault="00DF3A2F" w:rsidP="00887BB2">
      <w:pPr>
        <w:ind w:left="1701" w:hanging="567"/>
      </w:pPr>
      <w:r>
        <w:t>ii.</w:t>
      </w:r>
      <w:r>
        <w:tab/>
        <w:t>establishing a regional early warning radiation monitoring network;</w:t>
      </w:r>
    </w:p>
    <w:p w:rsidR="00DF3A2F" w:rsidRDefault="00DF3A2F" w:rsidP="00887BB2">
      <w:pPr>
        <w:ind w:left="1701" w:hanging="567"/>
      </w:pPr>
      <w:r>
        <w:t>iii.</w:t>
      </w:r>
      <w:r>
        <w:tab/>
        <w:t>operationalising the ASEAN Protocol for Preparedness and Response to a Nuclear or Radiological Emergency;</w:t>
      </w:r>
    </w:p>
    <w:p w:rsidR="00DF3A2F" w:rsidRDefault="00DF3A2F" w:rsidP="00887BB2">
      <w:pPr>
        <w:ind w:left="1701" w:hanging="567"/>
      </w:pPr>
      <w:r>
        <w:t>iv.</w:t>
      </w:r>
      <w:r>
        <w:tab/>
        <w:t>leveraging on nuclear science and technology for non-power nuclear applications in various relevant sectors.</w:t>
      </w:r>
    </w:p>
    <w:p w:rsidR="00DF3A2F" w:rsidRDefault="00DF3A2F" w:rsidP="00887BB2">
      <w:pPr>
        <w:ind w:left="1134" w:hanging="567"/>
      </w:pPr>
      <w:r>
        <w:t>f.</w:t>
      </w:r>
      <w:r>
        <w:tab/>
        <w:t>Promote the profile of the SEANWFZ Treaty at multilateral fora and international organisations, including continued efforts to secure the biennial adoption of Resolutions on the SEANWFZ Treaty in the First Committee of the UN General Assembly.</w:t>
      </w:r>
    </w:p>
    <w:p w:rsidR="00DF3A2F" w:rsidRDefault="00DF3A2F" w:rsidP="00887BB2">
      <w:pPr>
        <w:ind w:left="1134" w:hanging="567"/>
      </w:pPr>
      <w:r>
        <w:t>g.</w:t>
      </w:r>
      <w:r>
        <w:tab/>
        <w:t>Promote ASEAN’s common position on issues related to non-proliferation, disarmament, and peaceful uses of nuclear energy at multilateral fora and international organisations.</w:t>
      </w:r>
    </w:p>
    <w:p w:rsidR="00DF3A2F" w:rsidRDefault="00DF3A2F" w:rsidP="00887BB2">
      <w:pPr>
        <w:pStyle w:val="Heading2"/>
      </w:pPr>
      <w:r>
        <w:t>4.</w:t>
      </w:r>
      <w:r>
        <w:tab/>
        <w:t>INSTITUTIONAL ARRANGEMENTS</w:t>
      </w:r>
    </w:p>
    <w:p w:rsidR="00DF3A2F" w:rsidRDefault="00DF3A2F" w:rsidP="00887BB2">
      <w:pPr>
        <w:ind w:left="1134" w:hanging="567"/>
      </w:pPr>
      <w:r>
        <w:t>a.</w:t>
      </w:r>
      <w:r>
        <w:tab/>
        <w:t>Concerned sectoral bodies in ASEAN will jointly draw up specific work programmes/projects to implement the various actions and measures outlined in this Plan of Action with the assistance of the ASEAN Secretariat. Experts from the IAEA and other partners could be invited, on a case-by-case basis, to develop specific work programmes and project proposals.</w:t>
      </w:r>
    </w:p>
    <w:p w:rsidR="00DF3A2F" w:rsidRDefault="00DF3A2F" w:rsidP="00887BB2">
      <w:pPr>
        <w:ind w:left="1134" w:hanging="567"/>
      </w:pPr>
      <w:r>
        <w:t>b.</w:t>
      </w:r>
      <w:r>
        <w:tab/>
        <w:t>The Commission for the SEANWFZ shall review the implementation of the Plan of Action at its projected conclusion in 2027, or as and when recommended by the Executive Committee for the SEANWFZ. The Executive Committee shall review progress in the implementation of the Plan of Action annually.</w:t>
      </w:r>
    </w:p>
    <w:sectPr w:rsidR="00DF3A2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C7" w:rsidRDefault="00805FC7" w:rsidP="00F61B4F">
      <w:pPr>
        <w:spacing w:before="0" w:after="0" w:line="240" w:lineRule="auto"/>
      </w:pPr>
      <w:r>
        <w:separator/>
      </w:r>
    </w:p>
  </w:endnote>
  <w:endnote w:type="continuationSeparator" w:id="0">
    <w:p w:rsidR="00805FC7" w:rsidRDefault="00805FC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0A74D0" w:rsidRPr="00887BB2" w:rsidRDefault="00B532E2" w:rsidP="00887BB2">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C7" w:rsidRDefault="00805FC7" w:rsidP="00F61B4F">
      <w:pPr>
        <w:spacing w:before="0" w:after="0" w:line="240" w:lineRule="auto"/>
      </w:pPr>
      <w:r>
        <w:separator/>
      </w:r>
    </w:p>
  </w:footnote>
  <w:footnote w:type="continuationSeparator" w:id="0">
    <w:p w:rsidR="00805FC7" w:rsidRDefault="00805FC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887BB2" w:rsidP="00CD6026">
    <w:pPr>
      <w:pStyle w:val="Header"/>
      <w:pBdr>
        <w:bottom w:val="single" w:sz="4" w:space="1" w:color="auto"/>
      </w:pBdr>
      <w:rPr>
        <w:rFonts w:cs="Arial"/>
        <w:caps/>
        <w:color w:val="808080"/>
        <w:sz w:val="16"/>
        <w:szCs w:val="16"/>
      </w:rPr>
    </w:pPr>
    <w:r>
      <w:rPr>
        <w:rFonts w:cs="Arial"/>
        <w:caps/>
        <w:color w:val="808080"/>
        <w:sz w:val="16"/>
        <w:szCs w:val="16"/>
      </w:rPr>
      <w:t>2023-2027 SEANWFZ POA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2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74D0"/>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5FC7"/>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2910"/>
    <w:rsid w:val="00887BB2"/>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4A7"/>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A2F"/>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7D23"/>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148BCC-68DE-4C7B-B893-C00B980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87BB2"/>
    <w:pPr>
      <w:ind w:left="567" w:hanging="567"/>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887BB2"/>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OneDrive%20-%20National%20University%20of%20Singapore\Desktop\CIL%20DB%20Formatting%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B782-4697-41F4-865F-52595A06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(1)</Template>
  <TotalTime>7</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4</cp:revision>
  <cp:lastPrinted>2019-01-29T09:08:00Z</cp:lastPrinted>
  <dcterms:created xsi:type="dcterms:W3CDTF">2023-08-18T01:54:00Z</dcterms:created>
  <dcterms:modified xsi:type="dcterms:W3CDTF">2023-08-18T02:08:00Z</dcterms:modified>
</cp:coreProperties>
</file>