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4D0CC8" w:rsidP="004D0CC8">
      <w:pPr>
        <w:pStyle w:val="CILTitle"/>
      </w:pPr>
      <w:r>
        <w:t xml:space="preserve">2023 </w:t>
      </w:r>
      <w:r w:rsidRPr="004D0CC8">
        <w:t xml:space="preserve">ASEAN Declaration on Developing </w:t>
      </w:r>
      <w:r>
        <w:br/>
      </w:r>
      <w:r w:rsidRPr="004D0CC8">
        <w:t>Regional Early Warning and Early Response Capability to Prevent and Counter the Rise of Radicalisation and Violent Extremism</w:t>
      </w:r>
    </w:p>
    <w:p w:rsidR="004D0CC8" w:rsidRDefault="004D0CC8" w:rsidP="004D0CC8">
      <w:pPr>
        <w:pStyle w:val="CILSubtitle"/>
      </w:pPr>
      <w:r>
        <w:t>Adopted in Labuan Bajo, Indonesia on 21 August 2023</w:t>
      </w:r>
    </w:p>
    <w:p w:rsidR="004D0CC8" w:rsidRDefault="004D0CC8" w:rsidP="004D0CC8">
      <w:r w:rsidRPr="004D0CC8">
        <w:t xml:space="preserve">The Seventeenth ASEAN Ministerial Meeting on Transnational Crime (“17th AMMTC”) was convened in Labuan Bajo, Indonesia on 21 August 2023; </w:t>
      </w:r>
    </w:p>
    <w:p w:rsidR="004D0CC8" w:rsidRDefault="004D0CC8" w:rsidP="004D0CC8">
      <w:r w:rsidRPr="004D0CC8">
        <w:rPr>
          <w:b/>
        </w:rPr>
        <w:t>BEARING IN MIND</w:t>
      </w:r>
      <w:r w:rsidRPr="004D0CC8">
        <w:t xml:space="preserve">, the ASEAN Community Vision 2025, which among others, envisions a peaceful, stable and resilient Community with enhanced capacity to respond effectively to challenges; </w:t>
      </w:r>
    </w:p>
    <w:p w:rsidR="004D0CC8" w:rsidRDefault="004D0CC8" w:rsidP="004D0CC8">
      <w:r w:rsidRPr="004D0CC8">
        <w:rPr>
          <w:b/>
        </w:rPr>
        <w:t>RECALLING</w:t>
      </w:r>
      <w:r w:rsidRPr="004D0CC8">
        <w:t xml:space="preserve">, the key characteristics of the ASEAN Political-Security Community Blueprint 2025, which among others, shall be pursued in a balanced and holistic manner: a resilient community in a peaceful, secure and stable region, with enhanced capacity to respond effectively and in a timely manner to challenges for common good of ASEAN, in accordance with the principle of comprehensive security; </w:t>
      </w:r>
    </w:p>
    <w:p w:rsidR="004D0CC8" w:rsidRDefault="004D0CC8" w:rsidP="004D0CC8">
      <w:r w:rsidRPr="004D0CC8">
        <w:rPr>
          <w:b/>
        </w:rPr>
        <w:t>RECALLING ALSO</w:t>
      </w:r>
      <w:r w:rsidRPr="004D0CC8">
        <w:t xml:space="preserve">, the ASEAN Declaration on Culture of Prevention for a Peaceful, Inclusive, Resilient, Healthy and Harmonious Society, in promoting and supporting a culture of prevention; REAFFIRMING, the commitment of the ASEAN Member States to the purposes and principles of the ASEAN Charter, in particular the respect for, promotion, and protection of human rights, as well as fundamental freedom; </w:t>
      </w:r>
    </w:p>
    <w:p w:rsidR="004D0CC8" w:rsidRDefault="004D0CC8" w:rsidP="004D0CC8">
      <w:r w:rsidRPr="004D0CC8">
        <w:rPr>
          <w:b/>
        </w:rPr>
        <w:t>BUILDING UPON</w:t>
      </w:r>
      <w:r w:rsidRPr="004D0CC8">
        <w:t xml:space="preserve">, the Manila Declaration to Counter the Rise of </w:t>
      </w:r>
      <w:proofErr w:type="spellStart"/>
      <w:r w:rsidRPr="004D0CC8">
        <w:t>Radicalisation</w:t>
      </w:r>
      <w:proofErr w:type="spellEnd"/>
      <w:r w:rsidRPr="004D0CC8">
        <w:t xml:space="preserve"> and Violent Extremism (2017), ASEAN Plan of Action to Prevent and Counter the Rise of </w:t>
      </w:r>
      <w:proofErr w:type="spellStart"/>
      <w:r w:rsidRPr="004D0CC8">
        <w:t>Radicalisation</w:t>
      </w:r>
      <w:proofErr w:type="spellEnd"/>
      <w:r w:rsidRPr="004D0CC8">
        <w:t xml:space="preserve"> and Violent Extremism (ASEAN </w:t>
      </w:r>
      <w:proofErr w:type="spellStart"/>
      <w:r w:rsidRPr="004D0CC8">
        <w:t>PoA</w:t>
      </w:r>
      <w:proofErr w:type="spellEnd"/>
      <w:r w:rsidRPr="004D0CC8">
        <w:t xml:space="preserve"> PCRVE) 2018-2025, and the Work Plan for the ASEAN Plan of Action to Prevent the Rise of </w:t>
      </w:r>
      <w:proofErr w:type="spellStart"/>
      <w:r w:rsidRPr="004D0CC8">
        <w:t>Radicalisation</w:t>
      </w:r>
      <w:proofErr w:type="spellEnd"/>
      <w:r w:rsidRPr="004D0CC8">
        <w:t xml:space="preserve"> and Violent Extremism (Bali Work Plan) 2019-2025, particularly on the </w:t>
      </w:r>
      <w:r w:rsidR="007A706E">
        <w:br/>
      </w:r>
      <w:r w:rsidRPr="004D0CC8">
        <w:t xml:space="preserve">priority area 1.11 to develop early warning system to prevent the rise of </w:t>
      </w:r>
      <w:proofErr w:type="spellStart"/>
      <w:r w:rsidRPr="004D0CC8">
        <w:t>radicalisation</w:t>
      </w:r>
      <w:proofErr w:type="spellEnd"/>
      <w:r w:rsidRPr="004D0CC8">
        <w:t xml:space="preserve"> and violent extremism; </w:t>
      </w:r>
    </w:p>
    <w:p w:rsidR="004D0CC8" w:rsidRDefault="004D0CC8" w:rsidP="004D0CC8">
      <w:r w:rsidRPr="004D0CC8">
        <w:rPr>
          <w:b/>
        </w:rPr>
        <w:t>TAKING NOTE</w:t>
      </w:r>
      <w:r w:rsidRPr="004D0CC8">
        <w:t xml:space="preserve">, of the Report of the Regional Assessment of the Current State of Early Warning and Early Response (EWER) Capability for Preventing and Countering </w:t>
      </w:r>
      <w:proofErr w:type="spellStart"/>
      <w:r w:rsidRPr="004D0CC8">
        <w:t>Radicalisation</w:t>
      </w:r>
      <w:proofErr w:type="spellEnd"/>
      <w:r w:rsidRPr="004D0CC8">
        <w:t xml:space="preserve"> and Violent Extremism within ASEAN Member States (AMS), produced by ASEAN and ASEAN-USAID Partnership for Regional Optimization with the Political-Security and Socio</w:t>
      </w:r>
      <w:r>
        <w:t>-</w:t>
      </w:r>
      <w:r w:rsidRPr="004D0CC8">
        <w:t>Cultural Communities (PROSPECT);</w:t>
      </w:r>
    </w:p>
    <w:p w:rsidR="004D0CC8" w:rsidRPr="004D0CC8" w:rsidRDefault="004D0CC8" w:rsidP="00CD6026">
      <w:pPr>
        <w:spacing w:before="0" w:after="0"/>
        <w:rPr>
          <w:b/>
        </w:rPr>
      </w:pPr>
      <w:r w:rsidRPr="004D0CC8">
        <w:rPr>
          <w:b/>
        </w:rPr>
        <w:t xml:space="preserve">DO HEREBY DECLARE TO: </w:t>
      </w:r>
    </w:p>
    <w:p w:rsidR="004D0CC8" w:rsidRDefault="004D0CC8" w:rsidP="00CD6026">
      <w:pPr>
        <w:spacing w:before="0" w:after="0"/>
      </w:pPr>
    </w:p>
    <w:p w:rsidR="004D0CC8" w:rsidRDefault="004D0CC8" w:rsidP="00CD6026">
      <w:pPr>
        <w:pStyle w:val="ListParagraph"/>
        <w:numPr>
          <w:ilvl w:val="0"/>
          <w:numId w:val="13"/>
        </w:numPr>
        <w:spacing w:before="0" w:after="0"/>
      </w:pPr>
      <w:r w:rsidRPr="004D0CC8">
        <w:rPr>
          <w:b/>
        </w:rPr>
        <w:t>PROMOTE</w:t>
      </w:r>
      <w:r w:rsidRPr="004D0CC8">
        <w:t>, an EWER system that comprises a broad-based, inclusive, and multi</w:t>
      </w:r>
      <w:r>
        <w:t>-</w:t>
      </w:r>
      <w:r w:rsidRPr="004D0CC8">
        <w:t xml:space="preserve">stakeholder network of government and non-government entities to publicly discuss and share information on regional trends in PCRVE, and best practices for sub-national EWER to better understand, identify and address the root causes of </w:t>
      </w:r>
      <w:proofErr w:type="spellStart"/>
      <w:r w:rsidRPr="004D0CC8">
        <w:t>radicalisation</w:t>
      </w:r>
      <w:proofErr w:type="spellEnd"/>
      <w:r w:rsidRPr="004D0CC8">
        <w:t xml:space="preserve"> and violent extremism; </w:t>
      </w:r>
    </w:p>
    <w:p w:rsidR="004D0CC8" w:rsidRDefault="004D0CC8" w:rsidP="004D0CC8">
      <w:pPr>
        <w:pStyle w:val="ListParagraph"/>
        <w:spacing w:before="0" w:after="0"/>
        <w:ind w:left="360"/>
      </w:pPr>
    </w:p>
    <w:p w:rsidR="004D0CC8" w:rsidRDefault="004D0CC8" w:rsidP="00CD6026">
      <w:pPr>
        <w:pStyle w:val="ListParagraph"/>
        <w:numPr>
          <w:ilvl w:val="0"/>
          <w:numId w:val="13"/>
        </w:numPr>
        <w:spacing w:before="0" w:after="0"/>
      </w:pPr>
      <w:r w:rsidRPr="004D0CC8">
        <w:rPr>
          <w:b/>
        </w:rPr>
        <w:t>EMPHASISE</w:t>
      </w:r>
      <w:r w:rsidRPr="004D0CC8">
        <w:t xml:space="preserve"> that an EWER system for PCRVE should enhance dialogue and information sharing, </w:t>
      </w:r>
      <w:r w:rsidRPr="00B5114B">
        <w:rPr>
          <w:b/>
        </w:rPr>
        <w:t>PROMOTE</w:t>
      </w:r>
      <w:r w:rsidRPr="004D0CC8">
        <w:t xml:space="preserve"> learning among stakeholders and from AMS experiences, and </w:t>
      </w:r>
      <w:r w:rsidRPr="00B5114B">
        <w:rPr>
          <w:b/>
        </w:rPr>
        <w:t>PRIORITISE</w:t>
      </w:r>
      <w:r w:rsidRPr="004D0CC8">
        <w:t xml:space="preserve"> </w:t>
      </w:r>
      <w:r w:rsidR="005B6FEC">
        <w:br/>
      </w:r>
      <w:r w:rsidRPr="004D0CC8">
        <w:t xml:space="preserve">trust-building at multiple levels of government, academia, non-governmental </w:t>
      </w:r>
      <w:proofErr w:type="spellStart"/>
      <w:r w:rsidRPr="004D0CC8">
        <w:t>organisations</w:t>
      </w:r>
      <w:proofErr w:type="spellEnd"/>
      <w:r w:rsidRPr="004D0CC8">
        <w:t xml:space="preserve"> (NGOs), and communities; </w:t>
      </w:r>
    </w:p>
    <w:p w:rsidR="004D0CC8" w:rsidRDefault="004D0CC8" w:rsidP="004D0CC8">
      <w:pPr>
        <w:pStyle w:val="ListParagraph"/>
      </w:pPr>
    </w:p>
    <w:p w:rsidR="007A706E" w:rsidRDefault="007A706E" w:rsidP="004D0CC8">
      <w:pPr>
        <w:pStyle w:val="ListParagraph"/>
      </w:pPr>
    </w:p>
    <w:p w:rsidR="007A706E" w:rsidRDefault="007A706E" w:rsidP="004D0CC8">
      <w:pPr>
        <w:pStyle w:val="ListParagraph"/>
      </w:pPr>
    </w:p>
    <w:p w:rsidR="004D0CC8" w:rsidRDefault="004D0CC8" w:rsidP="00CD6026">
      <w:pPr>
        <w:pStyle w:val="ListParagraph"/>
        <w:numPr>
          <w:ilvl w:val="0"/>
          <w:numId w:val="13"/>
        </w:numPr>
        <w:spacing w:before="0" w:after="0"/>
      </w:pPr>
      <w:r w:rsidRPr="004D0CC8">
        <w:rPr>
          <w:b/>
        </w:rPr>
        <w:lastRenderedPageBreak/>
        <w:t>ENHANCE</w:t>
      </w:r>
      <w:r w:rsidRPr="004D0CC8">
        <w:t xml:space="preserve"> technical assistance and capacity building for ASEAN Member States in developing their national EWER capabilities, including sub-national and community levels, and </w:t>
      </w:r>
      <w:r w:rsidR="005B6FEC">
        <w:br/>
      </w:r>
      <w:r w:rsidRPr="00B5114B">
        <w:rPr>
          <w:b/>
        </w:rPr>
        <w:t>LOOK FORWARD</w:t>
      </w:r>
      <w:r w:rsidRPr="004D0CC8">
        <w:t xml:space="preserve"> to engaging with ASEAN Dialogue Partners, and other ASEAN Partners, including relevant International </w:t>
      </w:r>
      <w:proofErr w:type="spellStart"/>
      <w:r w:rsidRPr="004D0CC8">
        <w:t>Organisations</w:t>
      </w:r>
      <w:proofErr w:type="spellEnd"/>
      <w:r w:rsidRPr="004D0CC8">
        <w:t xml:space="preserve">; </w:t>
      </w:r>
    </w:p>
    <w:p w:rsidR="004D0CC8" w:rsidRDefault="004D0CC8" w:rsidP="004D0CC8">
      <w:pPr>
        <w:pStyle w:val="ListParagraph"/>
      </w:pPr>
    </w:p>
    <w:p w:rsidR="004D0CC8" w:rsidRDefault="004D0CC8" w:rsidP="00CD6026">
      <w:pPr>
        <w:pStyle w:val="ListParagraph"/>
        <w:numPr>
          <w:ilvl w:val="0"/>
          <w:numId w:val="13"/>
        </w:numPr>
        <w:spacing w:before="0" w:after="0"/>
      </w:pPr>
      <w:r w:rsidRPr="004D0CC8">
        <w:rPr>
          <w:b/>
        </w:rPr>
        <w:t>DEVELOP</w:t>
      </w:r>
      <w:r w:rsidRPr="004D0CC8">
        <w:t xml:space="preserve"> approaches and operational parameters for a regional EWER that are consistent with ASEAN’s prevention mindset, focus on the use of safety-by-design principles to protect communities during data collection, draw upon “open source” or publicly available information for early warning efforts, and are complemented by rigorous research and evidenced-based analyses and intelligence gathering to detect and discern key dynamics and emerging trends directly related to PCRVE; </w:t>
      </w:r>
    </w:p>
    <w:p w:rsidR="004D0CC8" w:rsidRDefault="004D0CC8" w:rsidP="004D0CC8">
      <w:pPr>
        <w:pStyle w:val="ListParagraph"/>
      </w:pPr>
    </w:p>
    <w:p w:rsidR="004D0CC8" w:rsidRDefault="004D0CC8" w:rsidP="00CD6026">
      <w:pPr>
        <w:pStyle w:val="ListParagraph"/>
        <w:numPr>
          <w:ilvl w:val="0"/>
          <w:numId w:val="13"/>
        </w:numPr>
        <w:spacing w:before="0" w:after="0"/>
      </w:pPr>
      <w:r w:rsidRPr="004D0CC8">
        <w:rPr>
          <w:b/>
        </w:rPr>
        <w:t>PRIORITISE</w:t>
      </w:r>
      <w:r w:rsidRPr="004D0CC8">
        <w:t xml:space="preserve"> response efforts and actions driven by rights-based approaches, conflict mitigation and peacebuilding efforts, and situate the regional focused EWER for PCRVE within the context of an “all-hazards” approach; and </w:t>
      </w:r>
    </w:p>
    <w:p w:rsidR="004D0CC8" w:rsidRDefault="004D0CC8" w:rsidP="004D0CC8">
      <w:pPr>
        <w:pStyle w:val="ListParagraph"/>
      </w:pPr>
    </w:p>
    <w:p w:rsidR="004D0CC8" w:rsidRDefault="004D0CC8" w:rsidP="00CD6026">
      <w:pPr>
        <w:pStyle w:val="ListParagraph"/>
        <w:numPr>
          <w:ilvl w:val="0"/>
          <w:numId w:val="13"/>
        </w:numPr>
        <w:spacing w:before="0" w:after="0"/>
      </w:pPr>
      <w:r w:rsidRPr="004D0CC8">
        <w:rPr>
          <w:b/>
        </w:rPr>
        <w:t>TASK</w:t>
      </w:r>
      <w:r w:rsidRPr="004D0CC8">
        <w:t xml:space="preserve"> the ASEAN Senior Officials Meeting on Transnational Crime (SOMTC) to develop an </w:t>
      </w:r>
      <w:r w:rsidR="005B6FEC">
        <w:br/>
      </w:r>
      <w:bookmarkStart w:id="0" w:name="_GoBack"/>
      <w:bookmarkEnd w:id="0"/>
      <w:r w:rsidRPr="004D0CC8">
        <w:t xml:space="preserve">EWER system for PCRVE, including the development of an ASEAN action plan for </w:t>
      </w:r>
      <w:proofErr w:type="spellStart"/>
      <w:r w:rsidRPr="004D0CC8">
        <w:t>operationalising</w:t>
      </w:r>
      <w:proofErr w:type="spellEnd"/>
      <w:r w:rsidRPr="004D0CC8">
        <w:t xml:space="preserve"> the EWER system for PCRVE, and </w:t>
      </w:r>
      <w:r w:rsidRPr="00B5114B">
        <w:rPr>
          <w:b/>
        </w:rPr>
        <w:t>REQUEST</w:t>
      </w:r>
      <w:r w:rsidRPr="004D0CC8">
        <w:t xml:space="preserve"> the SOMTC to engage with ASEAN Dialogue Partners and ASEAN Partners, including International </w:t>
      </w:r>
      <w:proofErr w:type="spellStart"/>
      <w:r w:rsidRPr="004D0CC8">
        <w:t>Organisations</w:t>
      </w:r>
      <w:proofErr w:type="spellEnd"/>
      <w:r w:rsidRPr="004D0CC8">
        <w:t xml:space="preserve"> to collaborate on this matter.</w:t>
      </w:r>
    </w:p>
    <w:p w:rsidR="004D0CC8" w:rsidRDefault="004D0CC8" w:rsidP="004D0CC8">
      <w:pPr>
        <w:spacing w:before="0" w:after="0"/>
      </w:pPr>
    </w:p>
    <w:p w:rsidR="00DF288A" w:rsidRPr="00E423E4" w:rsidRDefault="004D0CC8" w:rsidP="004D0CC8">
      <w:pPr>
        <w:spacing w:before="0" w:after="0"/>
      </w:pPr>
      <w:r w:rsidRPr="004D0CC8">
        <w:rPr>
          <w:b/>
        </w:rPr>
        <w:t>ADOPTED</w:t>
      </w:r>
      <w:r w:rsidRPr="004D0CC8">
        <w:t xml:space="preserve"> in Labuan Bajo, Indonesia, on the Twenty-First Day of August in the year Two Thousand and Twenty-Three, in a single original copy in the English language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8B" w:rsidRDefault="0011438B" w:rsidP="00F61B4F">
      <w:pPr>
        <w:spacing w:before="0" w:after="0" w:line="240" w:lineRule="auto"/>
      </w:pPr>
      <w:r>
        <w:separator/>
      </w:r>
    </w:p>
  </w:endnote>
  <w:endnote w:type="continuationSeparator" w:id="0">
    <w:p w:rsidR="0011438B" w:rsidRDefault="001143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8B" w:rsidRDefault="0011438B" w:rsidP="00F61B4F">
      <w:pPr>
        <w:spacing w:before="0" w:after="0" w:line="240" w:lineRule="auto"/>
      </w:pPr>
      <w:r>
        <w:separator/>
      </w:r>
    </w:p>
  </w:footnote>
  <w:footnote w:type="continuationSeparator" w:id="0">
    <w:p w:rsidR="0011438B" w:rsidRDefault="0011438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D0CC8" w:rsidP="00CD6026">
    <w:pPr>
      <w:pStyle w:val="Header"/>
      <w:pBdr>
        <w:bottom w:val="single" w:sz="4" w:space="1" w:color="auto"/>
      </w:pBdr>
      <w:rPr>
        <w:rFonts w:cs="Arial"/>
        <w:caps/>
        <w:color w:val="808080"/>
        <w:sz w:val="16"/>
        <w:szCs w:val="16"/>
      </w:rPr>
    </w:pPr>
    <w:r w:rsidRPr="004D0CC8">
      <w:rPr>
        <w:rFonts w:cs="Arial"/>
        <w:caps/>
        <w:color w:val="808080"/>
        <w:sz w:val="16"/>
        <w:szCs w:val="16"/>
      </w:rPr>
      <w:t>2023 ASEAN Declaration on Developing EWRE on PCRVE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25725F"/>
    <w:multiLevelType w:val="hybridMultilevel"/>
    <w:tmpl w:val="214CB6F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C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438B"/>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0CC8"/>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FEC"/>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A706E"/>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14B"/>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84EA5"/>
  <w15:docId w15:val="{DD8A889C-07B6-4DA8-AC7D-7CCF8134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0BE8-18A0-4376-94FE-5C899F6A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2023-10-25T09:49:00Z</dcterms:created>
  <dcterms:modified xsi:type="dcterms:W3CDTF">2023-10-25T09:52:00Z</dcterms:modified>
</cp:coreProperties>
</file>