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6B61E" w14:textId="101EB123" w:rsidR="00E423E4" w:rsidRDefault="005711BF" w:rsidP="00CD6026">
      <w:pPr>
        <w:pStyle w:val="CILTitle"/>
      </w:pPr>
      <w:r>
        <w:t xml:space="preserve">2024 </w:t>
      </w:r>
      <w:r w:rsidRPr="005711BF">
        <w:t>CHAIRMAN’S STATEMENT OF THE 19TH EAST ASIA SUMMIT</w:t>
      </w:r>
    </w:p>
    <w:p w14:paraId="46CCCE0D" w14:textId="329BF73F" w:rsidR="00DF288A" w:rsidRDefault="005711BF" w:rsidP="005711BF">
      <w:pPr>
        <w:pStyle w:val="CILSubtitle"/>
      </w:pPr>
      <w:r>
        <w:t>Issued</w:t>
      </w:r>
      <w:r w:rsidR="00CD6026">
        <w:t xml:space="preserve"> in </w:t>
      </w:r>
      <w:r>
        <w:t>Vientiane, Lao PDR</w:t>
      </w:r>
      <w:r w:rsidR="00CD6026">
        <w:t xml:space="preserve"> on </w:t>
      </w:r>
      <w:r>
        <w:t>11 October 2024</w:t>
      </w:r>
    </w:p>
    <w:p w14:paraId="3952CFE8" w14:textId="77777777" w:rsidR="007E24E8" w:rsidRDefault="007E24E8">
      <w:pPr>
        <w:spacing w:before="0" w:after="0" w:line="240" w:lineRule="auto"/>
        <w:jc w:val="left"/>
      </w:pPr>
    </w:p>
    <w:sdt>
      <w:sdtPr>
        <w:id w:val="-1339146818"/>
        <w:docPartObj>
          <w:docPartGallery w:val="Table of Contents"/>
          <w:docPartUnique/>
        </w:docPartObj>
      </w:sdtPr>
      <w:sdtEndPr>
        <w:rPr>
          <w:rFonts w:ascii="Arial" w:eastAsia="Calibri" w:hAnsi="Arial"/>
          <w:noProof/>
          <w:color w:val="auto"/>
          <w:sz w:val="20"/>
          <w:szCs w:val="20"/>
        </w:rPr>
      </w:sdtEndPr>
      <w:sdtContent>
        <w:p w14:paraId="2AAA9894" w14:textId="1177901E" w:rsidR="007E24E8" w:rsidRPr="00665DD3" w:rsidRDefault="007E24E8">
          <w:pPr>
            <w:pStyle w:val="TOCHeading"/>
            <w:rPr>
              <w:rFonts w:ascii="Arial" w:hAnsi="Arial" w:cs="Arial"/>
              <w:sz w:val="15"/>
              <w:szCs w:val="15"/>
            </w:rPr>
          </w:pPr>
        </w:p>
        <w:p w14:paraId="113FD7B8" w14:textId="3E5E9885" w:rsidR="007E24E8" w:rsidRPr="00665DD3" w:rsidRDefault="007E24E8">
          <w:pPr>
            <w:pStyle w:val="TOC1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r w:rsidRPr="00665DD3">
            <w:rPr>
              <w:rFonts w:ascii="Arial" w:hAnsi="Arial" w:cs="Arial"/>
              <w:b w:val="0"/>
              <w:bCs w:val="0"/>
              <w:i w:val="0"/>
              <w:iCs w:val="0"/>
              <w:sz w:val="20"/>
              <w:szCs w:val="20"/>
            </w:rPr>
            <w:fldChar w:fldCharType="begin"/>
          </w:r>
          <w:r w:rsidRPr="00665DD3">
            <w:rPr>
              <w:rFonts w:ascii="Arial" w:hAnsi="Arial" w:cs="Arial"/>
              <w:b w:val="0"/>
              <w:bCs w:val="0"/>
              <w:i w:val="0"/>
              <w:iCs w:val="0"/>
              <w:sz w:val="20"/>
              <w:szCs w:val="20"/>
            </w:rPr>
            <w:instrText xml:space="preserve"> TOC \o "1-3" \h \z \u </w:instrText>
          </w:r>
          <w:r w:rsidRPr="00665DD3">
            <w:rPr>
              <w:rFonts w:ascii="Arial" w:hAnsi="Arial" w:cs="Arial"/>
              <w:b w:val="0"/>
              <w:bCs w:val="0"/>
              <w:i w:val="0"/>
              <w:iCs w:val="0"/>
              <w:sz w:val="20"/>
              <w:szCs w:val="20"/>
            </w:rPr>
            <w:fldChar w:fldCharType="separate"/>
          </w:r>
          <w:hyperlink w:anchor="_Toc187409782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REVIEW AND FUTURE DIRECTION OF THE EAS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_Toc187409782 \h </w:instrTex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2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43788C" w14:textId="0956F9A6" w:rsidR="007E24E8" w:rsidRPr="00665DD3" w:rsidRDefault="007E24E8">
          <w:pPr>
            <w:pStyle w:val="TOC1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83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AREAS OF COOPERATION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_Toc187409783 \h </w:instrTex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3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747060" w14:textId="5CC79D94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84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PEACE AND SECURITY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_Toc187409784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07BA5C" w14:textId="067665DF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85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SUSTAINABLE DEVELOPMENT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_Toc187409785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85510F" w14:textId="27AD192C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86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CLIMATE, ENVIRONMENT AND ENERGY COOPERATION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_Toc187409786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838D09" w14:textId="6C6329B4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87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EDUCATION COOPERATION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_Toc187409787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C64AEB" w14:textId="4A8923F4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88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FINANCE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_Toc187409788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34D923" w14:textId="32B42478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89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GLOBAL HEALTH ISSUES AND PANDEMIC DISEASES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_Toc187409789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7ADD4C" w14:textId="325ABFDA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0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COOPERATION ON NATURAL DISASTER MANAGEMENT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_Toc187409790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886E53" w14:textId="43C3E806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1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COOPERATION ON ASEAN CONNECTIVITY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_Toc187409791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FD2518" w14:textId="65C2BAB9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2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ECONOMIC COOPERATION AND TRADE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_Toc187409792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84D35F" w14:textId="7140C796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3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POVERTY ALLEVIATION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_Toc187409793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ADD28D" w14:textId="6E7BC29F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4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FOOD SECURITY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_Toc187409794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7372C4" w14:textId="489D81AC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5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MARITIME COOPERATION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_Toc187409795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06B9AC" w14:textId="3EC00B36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6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TOURISM COOPERATION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_Toc187409796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0DC79C" w14:textId="5130959D" w:rsidR="007E24E8" w:rsidRPr="00665DD3" w:rsidRDefault="007E24E8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7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ADVANCEMENT AND EMPOWERMENT OF WOMEN AND YOUTH PARTICIPATION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_Toc187409797 \h </w:instrTex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Pr="00665DD3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AF9A7F" w14:textId="25442621" w:rsidR="007E24E8" w:rsidRPr="00665DD3" w:rsidRDefault="007E24E8">
          <w:pPr>
            <w:pStyle w:val="TOC1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8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REGIONAL AND INTERNATIONAL ISSUES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_Toc187409798 \h </w:instrTex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10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C6A021" w14:textId="7BCC0B71" w:rsidR="007E24E8" w:rsidRPr="00665DD3" w:rsidRDefault="007E24E8">
          <w:pPr>
            <w:pStyle w:val="TOC1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7409799" w:history="1">
            <w:r w:rsidRPr="00665DD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OTHER MATTERS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_Toc187409799 \h </w:instrTex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4E6DA0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12</w:t>
            </w:r>
            <w:r w:rsidRPr="00665DD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AC29F3" w14:textId="0130D096" w:rsidR="007E24E8" w:rsidRPr="007E24E8" w:rsidRDefault="007E24E8">
          <w:r w:rsidRPr="00665DD3">
            <w:rPr>
              <w:rFonts w:cs="Arial"/>
              <w:noProof/>
            </w:rPr>
            <w:fldChar w:fldCharType="end"/>
          </w:r>
        </w:p>
      </w:sdtContent>
    </w:sdt>
    <w:p w14:paraId="055734AF" w14:textId="170BC35F" w:rsidR="007E24E8" w:rsidRDefault="007E24E8">
      <w:pPr>
        <w:spacing w:before="0" w:after="0" w:line="240" w:lineRule="auto"/>
        <w:jc w:val="left"/>
      </w:pPr>
      <w:r>
        <w:br w:type="page"/>
      </w:r>
    </w:p>
    <w:p w14:paraId="2357AED9" w14:textId="77777777" w:rsidR="007E24E8" w:rsidRDefault="007E24E8" w:rsidP="007E24E8">
      <w:pPr>
        <w:pStyle w:val="CILTitle"/>
      </w:pPr>
      <w:r>
        <w:lastRenderedPageBreak/>
        <w:t xml:space="preserve">2024 </w:t>
      </w:r>
      <w:r w:rsidRPr="005711BF">
        <w:t>CHAIRMAN’S STATEMENT OF THE 19TH EAST ASIA SUMMIT</w:t>
      </w:r>
    </w:p>
    <w:p w14:paraId="75DB835C" w14:textId="77777777" w:rsidR="007E24E8" w:rsidRDefault="007E24E8" w:rsidP="007E24E8">
      <w:pPr>
        <w:pStyle w:val="CILSubtitle"/>
      </w:pPr>
      <w:r>
        <w:t>Issued in Vientiane, Lao PDR on 11 October 2024</w:t>
      </w:r>
    </w:p>
    <w:p w14:paraId="5DB00E22" w14:textId="77777777" w:rsidR="005711BF" w:rsidRDefault="005711BF" w:rsidP="007E24E8">
      <w:pPr>
        <w:spacing w:before="0" w:after="0"/>
      </w:pPr>
    </w:p>
    <w:p w14:paraId="660287D2" w14:textId="068A5E7A" w:rsidR="005711BF" w:rsidRDefault="005711BF" w:rsidP="005711BF">
      <w:pPr>
        <w:pStyle w:val="ListParagraph"/>
        <w:numPr>
          <w:ilvl w:val="0"/>
          <w:numId w:val="13"/>
        </w:numPr>
        <w:spacing w:before="0" w:after="0"/>
      </w:pPr>
      <w:r>
        <w:t>The 19th East Asia Summit (EAS) was held on 11 October 2024 in Vientiane,</w:t>
      </w:r>
      <w:r>
        <w:t xml:space="preserve"> </w:t>
      </w:r>
      <w:r>
        <w:t xml:space="preserve">Lao PDR. The Summit was chaired by H.E. Mr. </w:t>
      </w:r>
      <w:proofErr w:type="spellStart"/>
      <w:r>
        <w:t>Sonexay</w:t>
      </w:r>
      <w:proofErr w:type="spellEnd"/>
      <w:r>
        <w:t xml:space="preserve"> </w:t>
      </w:r>
      <w:proofErr w:type="spellStart"/>
      <w:r>
        <w:t>Siphandone</w:t>
      </w:r>
      <w:proofErr w:type="spellEnd"/>
      <w:r>
        <w:t>, Prime Minister</w:t>
      </w:r>
      <w:r>
        <w:t xml:space="preserve"> </w:t>
      </w:r>
      <w:r>
        <w:t>of the Lao People’s Democratic Republic. The Summit was attended by ASEAN</w:t>
      </w:r>
      <w:r>
        <w:t xml:space="preserve"> </w:t>
      </w:r>
      <w:r>
        <w:t>Member States, Australia, the People’s Republic of China, the Republic of India,</w:t>
      </w:r>
      <w:r>
        <w:t xml:space="preserve"> </w:t>
      </w:r>
      <w:r>
        <w:t>Japan, New Zealand, the Republic of Korea (ROK), the Russian Federation, and the</w:t>
      </w:r>
      <w:r>
        <w:t xml:space="preserve"> </w:t>
      </w:r>
      <w:r>
        <w:t>United States of America (U.S.), as well as the Prime Minister of the Democratic</w:t>
      </w:r>
      <w:r>
        <w:t xml:space="preserve"> </w:t>
      </w:r>
      <w:r>
        <w:t>Republic of Timor-Leste as Observer. The Secretary-General of ASEAN was also in</w:t>
      </w:r>
      <w:r>
        <w:t xml:space="preserve"> </w:t>
      </w:r>
      <w:r>
        <w:t>attendance. The President of the European Council and Secretary-General of the</w:t>
      </w:r>
      <w:r>
        <w:t xml:space="preserve"> </w:t>
      </w:r>
      <w:r>
        <w:t>Shanghai Cooperation Organisation, as Guests of the Chair, briefed the 19th EAS on</w:t>
      </w:r>
      <w:r>
        <w:t xml:space="preserve"> </w:t>
      </w:r>
      <w:r>
        <w:t>enhancing connectivity and economic integration.</w:t>
      </w:r>
    </w:p>
    <w:p w14:paraId="2E4D7160" w14:textId="701F183E" w:rsidR="005711BF" w:rsidRDefault="005711BF" w:rsidP="005711BF">
      <w:pPr>
        <w:pStyle w:val="Heading1"/>
      </w:pPr>
      <w:bookmarkStart w:id="0" w:name="_Toc187409782"/>
      <w:r w:rsidRPr="005711BF">
        <w:t>Review and Future Direction of the EAS</w:t>
      </w:r>
      <w:bookmarkEnd w:id="0"/>
    </w:p>
    <w:p w14:paraId="56E4573B" w14:textId="5939EE45" w:rsidR="005711BF" w:rsidRDefault="005711BF" w:rsidP="005711BF">
      <w:pPr>
        <w:pStyle w:val="ListParagraph"/>
        <w:numPr>
          <w:ilvl w:val="0"/>
          <w:numId w:val="13"/>
        </w:numPr>
      </w:pPr>
      <w:r>
        <w:t>We reaffirmed our commitment to further strengthening the EAS as a premier</w:t>
      </w:r>
      <w:r>
        <w:t xml:space="preserve"> </w:t>
      </w:r>
      <w:r>
        <w:t>Leaders-led forum for dialogue and cooperation on broad strategic, political, and</w:t>
      </w:r>
      <w:r>
        <w:t xml:space="preserve"> </w:t>
      </w:r>
      <w:r>
        <w:t>economic issues of common interest and concern with the aim of promoting peace,</w:t>
      </w:r>
      <w:r>
        <w:t xml:space="preserve"> </w:t>
      </w:r>
      <w:r>
        <w:t>stability and economic prosperity in East Asia in line with the EAS fundamental</w:t>
      </w:r>
      <w:r>
        <w:t xml:space="preserve"> </w:t>
      </w:r>
      <w:r>
        <w:t>documents and based on the established principles, objectives and modalities of the</w:t>
      </w:r>
      <w:r>
        <w:t xml:space="preserve"> </w:t>
      </w:r>
      <w:r>
        <w:t>EAS.</w:t>
      </w:r>
    </w:p>
    <w:p w14:paraId="4ACB0E7C" w14:textId="3F5797BF" w:rsidR="005711BF" w:rsidRDefault="005711BF" w:rsidP="005711BF">
      <w:pPr>
        <w:pStyle w:val="ListParagraph"/>
        <w:ind w:left="360"/>
      </w:pPr>
    </w:p>
    <w:p w14:paraId="1378E4B1" w14:textId="77777777" w:rsidR="006C7FCE" w:rsidRDefault="005711BF" w:rsidP="005711BF">
      <w:pPr>
        <w:pStyle w:val="ListParagraph"/>
        <w:numPr>
          <w:ilvl w:val="0"/>
          <w:numId w:val="13"/>
        </w:numPr>
      </w:pPr>
      <w:r>
        <w:t>We reaffirmed that the EAS continues to be an open, inclusive, transparent and</w:t>
      </w:r>
      <w:r>
        <w:t xml:space="preserve"> </w:t>
      </w:r>
      <w:r>
        <w:t>outward-looking forum that is an integral component of the evolving rules-based</w:t>
      </w:r>
      <w:r>
        <w:t xml:space="preserve"> </w:t>
      </w:r>
      <w:r>
        <w:t>ASEAN-</w:t>
      </w:r>
      <w:proofErr w:type="spellStart"/>
      <w:r>
        <w:t>centred</w:t>
      </w:r>
      <w:proofErr w:type="spellEnd"/>
      <w:r>
        <w:t xml:space="preserve"> regional architecture anchored in international law, under the guiding</w:t>
      </w:r>
      <w:r>
        <w:t xml:space="preserve"> </w:t>
      </w:r>
      <w:r>
        <w:t>principles of the ASEAN Charter, the Treaty of Amity and Cooperation in Southeast</w:t>
      </w:r>
      <w:r>
        <w:t xml:space="preserve"> </w:t>
      </w:r>
      <w:r>
        <w:t>Asia (TAC), the 2005 Kuala Lumpur Declaration, the 2011 EAS Declaration on the</w:t>
      </w:r>
      <w:r>
        <w:t xml:space="preserve"> </w:t>
      </w:r>
      <w:r>
        <w:t>Principles of Mutually Beneficial Relations, and reaffirmed in the ASEAN Outlook on</w:t>
      </w:r>
      <w:r>
        <w:t xml:space="preserve"> </w:t>
      </w:r>
      <w:r>
        <w:t>the Indo-Pacific (AOIP). We reaffirmed ASEAN’s central role in the EAS and</w:t>
      </w:r>
      <w:r>
        <w:t xml:space="preserve"> </w:t>
      </w:r>
      <w:r>
        <w:t>underscored ASEAN’s commitment to work in close partnership with all participating</w:t>
      </w:r>
      <w:r>
        <w:t xml:space="preserve"> </w:t>
      </w:r>
      <w:r>
        <w:t xml:space="preserve">countries in the EAS, consistent with the principles of the AOIP. We </w:t>
      </w:r>
      <w:proofErr w:type="spellStart"/>
      <w:r>
        <w:t>emphasised</w:t>
      </w:r>
      <w:proofErr w:type="spellEnd"/>
      <w:r>
        <w:t xml:space="preserve"> the</w:t>
      </w:r>
      <w:r>
        <w:t xml:space="preserve"> </w:t>
      </w:r>
      <w:r>
        <w:t>important role of the EAS in strengthening multilateralism and the international order</w:t>
      </w:r>
      <w:r>
        <w:t xml:space="preserve"> </w:t>
      </w:r>
      <w:r>
        <w:t>based on international law. We also underscored the need to promote an enabling</w:t>
      </w:r>
      <w:r>
        <w:t xml:space="preserve"> </w:t>
      </w:r>
      <w:r>
        <w:t>environment for peace, stability and prosperous development in an inclusive manner,</w:t>
      </w:r>
      <w:r>
        <w:t xml:space="preserve"> </w:t>
      </w:r>
      <w:r>
        <w:t>through ensuring a culture of dialogue and cooperation instead of rivalry, enhancing</w:t>
      </w:r>
      <w:r>
        <w:t xml:space="preserve"> </w:t>
      </w:r>
      <w:r>
        <w:t>mutual trust and confidence, and respect for international law.</w:t>
      </w:r>
    </w:p>
    <w:p w14:paraId="732A856D" w14:textId="77777777" w:rsidR="006C7FCE" w:rsidRDefault="006C7FCE" w:rsidP="006C7FCE">
      <w:pPr>
        <w:pStyle w:val="ListParagraph"/>
        <w:ind w:left="360"/>
      </w:pPr>
    </w:p>
    <w:p w14:paraId="674971C6" w14:textId="77777777" w:rsidR="006C7FCE" w:rsidRDefault="005711BF" w:rsidP="005711BF">
      <w:pPr>
        <w:pStyle w:val="ListParagraph"/>
        <w:numPr>
          <w:ilvl w:val="0"/>
          <w:numId w:val="13"/>
        </w:numPr>
      </w:pPr>
      <w:r>
        <w:t>We underscored the need to further strengthen the EAS to ensure its continued</w:t>
      </w:r>
      <w:r>
        <w:t xml:space="preserve"> </w:t>
      </w:r>
      <w:r>
        <w:t>relevance and effectiveness amidst the rapidly evolving regional and global</w:t>
      </w:r>
      <w:r>
        <w:t xml:space="preserve"> </w:t>
      </w:r>
      <w:r>
        <w:t>architecture. In this regard, we recognised the continued importance of constructive</w:t>
      </w:r>
      <w:r>
        <w:t xml:space="preserve"> </w:t>
      </w:r>
      <w:r>
        <w:t>dialogue on strategic issues among Leaders at the EAS in order to reinforce strategic</w:t>
      </w:r>
      <w:r>
        <w:t xml:space="preserve"> t</w:t>
      </w:r>
      <w:r>
        <w:t>rust and to address common challenges based on mutual trust, mutual benefit, an</w:t>
      </w:r>
      <w:r w:rsidR="006C7FCE">
        <w:t xml:space="preserve">d </w:t>
      </w:r>
      <w:r>
        <w:t>mutual respect.</w:t>
      </w:r>
    </w:p>
    <w:p w14:paraId="6F39CA19" w14:textId="77777777" w:rsidR="006C7FCE" w:rsidRDefault="006C7FCE" w:rsidP="006C7FCE">
      <w:pPr>
        <w:pStyle w:val="ListParagraph"/>
        <w:ind w:left="360"/>
      </w:pPr>
    </w:p>
    <w:p w14:paraId="76393934" w14:textId="77777777" w:rsidR="006C7FCE" w:rsidRDefault="005711BF" w:rsidP="005711BF">
      <w:pPr>
        <w:pStyle w:val="ListParagraph"/>
        <w:numPr>
          <w:ilvl w:val="0"/>
          <w:numId w:val="13"/>
        </w:numPr>
      </w:pPr>
      <w:r>
        <w:t>We recognised that the impacts of rising geopolitical tensions and conflicts,</w:t>
      </w:r>
      <w:r w:rsidR="006C7FCE">
        <w:t xml:space="preserve"> </w:t>
      </w:r>
      <w:r>
        <w:t>global economic volatilities, social and economic inequalities, and the urgent challenge</w:t>
      </w:r>
      <w:r w:rsidR="006C7FCE">
        <w:t xml:space="preserve"> </w:t>
      </w:r>
      <w:r>
        <w:t>of climate change require joint efforts and mutual support in the region and beyond.</w:t>
      </w:r>
    </w:p>
    <w:p w14:paraId="4875A153" w14:textId="77777777" w:rsidR="002445C5" w:rsidRDefault="002445C5" w:rsidP="002445C5"/>
    <w:p w14:paraId="17DA023F" w14:textId="77777777" w:rsidR="002445C5" w:rsidRDefault="002445C5" w:rsidP="002445C5"/>
    <w:p w14:paraId="6887D76B" w14:textId="77777777" w:rsidR="002445C5" w:rsidRDefault="002445C5" w:rsidP="002445C5"/>
    <w:p w14:paraId="21B74AF0" w14:textId="77777777" w:rsidR="006C7FCE" w:rsidRDefault="006C7FCE" w:rsidP="006C7FCE">
      <w:pPr>
        <w:pStyle w:val="ListParagraph"/>
        <w:ind w:left="360"/>
      </w:pPr>
    </w:p>
    <w:p w14:paraId="3A60D078" w14:textId="1651A596" w:rsidR="006C7FCE" w:rsidRDefault="005711BF" w:rsidP="006C7FCE">
      <w:pPr>
        <w:pStyle w:val="ListParagraph"/>
        <w:numPr>
          <w:ilvl w:val="0"/>
          <w:numId w:val="13"/>
        </w:numPr>
      </w:pPr>
      <w:r>
        <w:lastRenderedPageBreak/>
        <w:t>We welcomed the continued efforts to strengthen the EAS work processes,</w:t>
      </w:r>
      <w:r>
        <w:t xml:space="preserve"> </w:t>
      </w:r>
      <w:r>
        <w:t>such as through, among others, regular engagement between the Committee of</w:t>
      </w:r>
      <w:r>
        <w:t xml:space="preserve"> </w:t>
      </w:r>
      <w:r>
        <w:t>Permanent Representatives to ASEAN (CPR) and the non-ASEAN Ambassadors of</w:t>
      </w:r>
      <w:r>
        <w:t xml:space="preserve"> </w:t>
      </w:r>
      <w:r>
        <w:t>EAS Participating Countries in Jakarta. We encouraged their continuation as the</w:t>
      </w:r>
      <w:r>
        <w:t xml:space="preserve"> </w:t>
      </w:r>
      <w:r>
        <w:t>Group of the EAS Participating Countries’ Ambassadors to ASEAN in Jakarta to</w:t>
      </w:r>
      <w:r>
        <w:t xml:space="preserve"> </w:t>
      </w:r>
      <w:r>
        <w:t>facilitate the implementation of the Leaders’ decisions, strengthening EAS</w:t>
      </w:r>
      <w:r>
        <w:t xml:space="preserve"> </w:t>
      </w:r>
      <w:r>
        <w:t>cooperation, exchange information on regional development cooperation initiatives</w:t>
      </w:r>
      <w:r>
        <w:t xml:space="preserve"> </w:t>
      </w:r>
      <w:r>
        <w:t>and security policies and initiatives, and discuss the evolving regional architecture. We</w:t>
      </w:r>
      <w:r>
        <w:t xml:space="preserve"> </w:t>
      </w:r>
      <w:r>
        <w:t>also encouraged further strengthening the EAS Unit at the ASEAN Secretariat to</w:t>
      </w:r>
      <w:r>
        <w:t xml:space="preserve"> </w:t>
      </w:r>
      <w:r>
        <w:t>facilitate and support EAS coordination and cooperation.</w:t>
      </w:r>
    </w:p>
    <w:p w14:paraId="1A7E4025" w14:textId="5B631128" w:rsidR="006C7FCE" w:rsidRDefault="006C7FCE" w:rsidP="006C7FCE">
      <w:pPr>
        <w:pStyle w:val="Heading1"/>
      </w:pPr>
      <w:bookmarkStart w:id="1" w:name="_Toc187409783"/>
      <w:r w:rsidRPr="006C7FCE">
        <w:t>Areas of Cooperation</w:t>
      </w:r>
      <w:bookmarkEnd w:id="1"/>
    </w:p>
    <w:p w14:paraId="6E1400CB" w14:textId="7EA4337F" w:rsidR="006C7FCE" w:rsidRDefault="006C7FCE" w:rsidP="006C7FCE">
      <w:pPr>
        <w:pStyle w:val="ListParagraph"/>
        <w:numPr>
          <w:ilvl w:val="0"/>
          <w:numId w:val="13"/>
        </w:numPr>
      </w:pPr>
      <w:r>
        <w:t>We noted with satisfaction the progress made under the new EAS Plan of</w:t>
      </w:r>
      <w:r w:rsidR="00CC7B93">
        <w:t xml:space="preserve"> </w:t>
      </w:r>
      <w:r>
        <w:t>Action (2024-2028), particularly under the areas of Climate, Environment, Energy,</w:t>
      </w:r>
      <w:r w:rsidR="00CC7B93">
        <w:t xml:space="preserve"> </w:t>
      </w:r>
      <w:r>
        <w:t>Global Health Issues and Pandemic Diseases, Cooperation on Natural Disaster</w:t>
      </w:r>
      <w:r w:rsidR="00CC7B93">
        <w:t xml:space="preserve"> </w:t>
      </w:r>
      <w:r>
        <w:t>Management, ASEAN Connectivity and Maritime Cooperation. We looked forward to</w:t>
      </w:r>
      <w:r w:rsidR="00CC7B93">
        <w:t xml:space="preserve"> </w:t>
      </w:r>
      <w:r>
        <w:t>the full and effective implementation of the new EAS Plan of Action (2024-2028) which</w:t>
      </w:r>
      <w:r w:rsidR="00CC7B93">
        <w:t xml:space="preserve"> </w:t>
      </w:r>
      <w:r>
        <w:t>serves as the principal guide to further strengthen the relevance, coherence, and</w:t>
      </w:r>
      <w:r w:rsidR="00CC7B93">
        <w:t xml:space="preserve"> </w:t>
      </w:r>
      <w:r>
        <w:t>effectiveness of the EAS as a premier Leaders-led forum for promoting peace,</w:t>
      </w:r>
      <w:r w:rsidR="00CC7B93">
        <w:t xml:space="preserve"> </w:t>
      </w:r>
      <w:r>
        <w:t>stability, and economic prosperity in the region.</w:t>
      </w:r>
    </w:p>
    <w:p w14:paraId="6932B45F" w14:textId="0B6A344A" w:rsidR="00CC7B93" w:rsidRDefault="00CC7B93" w:rsidP="00CC7B93">
      <w:pPr>
        <w:pStyle w:val="ListParagraph"/>
        <w:ind w:left="360"/>
      </w:pPr>
    </w:p>
    <w:p w14:paraId="27188AE2" w14:textId="6B98D520" w:rsidR="006C7FCE" w:rsidRDefault="006C7FCE" w:rsidP="006C7FCE">
      <w:pPr>
        <w:pStyle w:val="ListParagraph"/>
        <w:numPr>
          <w:ilvl w:val="0"/>
          <w:numId w:val="13"/>
        </w:numPr>
      </w:pPr>
      <w:r>
        <w:t>We expressed support for ASEAN’s continuous efforts on the mainstreaming</w:t>
      </w:r>
      <w:r w:rsidR="00CC7B93">
        <w:t xml:space="preserve"> </w:t>
      </w:r>
      <w:r>
        <w:t>and implementation of the AOIP and the ASEAN Leaders’ Declaration on the ASEAN</w:t>
      </w:r>
      <w:r w:rsidR="00CC7B93">
        <w:t xml:space="preserve"> </w:t>
      </w:r>
      <w:r>
        <w:t>Outlook on the Indo-Pacific for the Future-Ready ASEAN and ASEAN-Centered</w:t>
      </w:r>
      <w:r w:rsidR="00CC7B93">
        <w:t xml:space="preserve"> </w:t>
      </w:r>
      <w:r>
        <w:t>Regional Architecture. We reaffirmed our commitment to implement the 2023 EAS</w:t>
      </w:r>
      <w:r w:rsidR="00CC7B93">
        <w:t xml:space="preserve"> </w:t>
      </w:r>
      <w:r>
        <w:t>Leaders’ Statement on Maintaining and Promoting the Region as an Epicentrum of</w:t>
      </w:r>
      <w:r w:rsidR="00CC7B93">
        <w:t xml:space="preserve"> </w:t>
      </w:r>
      <w:r>
        <w:t>Growth, the EAS Plan of Action (2024-2028) and other relevant EAS Leaders’</w:t>
      </w:r>
      <w:r w:rsidR="00CC7B93">
        <w:t xml:space="preserve"> </w:t>
      </w:r>
      <w:r>
        <w:t>Statements.</w:t>
      </w:r>
    </w:p>
    <w:p w14:paraId="7394BCDE" w14:textId="77777777" w:rsidR="006C7FCE" w:rsidRDefault="006C7FCE" w:rsidP="00CC7B93">
      <w:pPr>
        <w:pStyle w:val="Heading2"/>
      </w:pPr>
      <w:bookmarkStart w:id="2" w:name="_Toc187409784"/>
      <w:r>
        <w:t>Peace and Security</w:t>
      </w:r>
      <w:bookmarkEnd w:id="2"/>
    </w:p>
    <w:p w14:paraId="12255704" w14:textId="4AEBC18E" w:rsidR="006C7FCE" w:rsidRDefault="006C7FCE" w:rsidP="00CC7B93">
      <w:pPr>
        <w:pStyle w:val="ListParagraph"/>
        <w:numPr>
          <w:ilvl w:val="0"/>
          <w:numId w:val="13"/>
        </w:numPr>
      </w:pPr>
      <w:r>
        <w:t>We reaffirmed the importance of Women, Peace and Security (WPS) agenda,</w:t>
      </w:r>
      <w:r w:rsidR="00CC7B93">
        <w:t xml:space="preserve"> </w:t>
      </w:r>
      <w:r>
        <w:t>showcased through the adoption of key regional frameworks by ASEAN, including the</w:t>
      </w:r>
      <w:r w:rsidR="00CC7B93">
        <w:t xml:space="preserve"> </w:t>
      </w:r>
      <w:r>
        <w:t>ASEAN Regional Plan of Action on WPS, the convening of consultative platforms and</w:t>
      </w:r>
      <w:r w:rsidR="00CC7B93">
        <w:t xml:space="preserve"> </w:t>
      </w:r>
      <w:r>
        <w:t>the establishment of mechanisms in advancing WPS that involves EAS Participating</w:t>
      </w:r>
      <w:r w:rsidR="00CC7B93">
        <w:t xml:space="preserve"> </w:t>
      </w:r>
      <w:r>
        <w:t>Countries. We recalled the adoption of the EAS Leaders’ Statement on Women, Peace</w:t>
      </w:r>
      <w:r w:rsidR="00CC7B93">
        <w:t xml:space="preserve"> </w:t>
      </w:r>
      <w:r>
        <w:t>and Security in 2020 and called for the EAS Participating Countries to carry out more</w:t>
      </w:r>
      <w:r w:rsidR="00CC7B93">
        <w:t xml:space="preserve"> </w:t>
      </w:r>
      <w:r>
        <w:t>activities to implement the Leaders’ commitments.</w:t>
      </w:r>
    </w:p>
    <w:p w14:paraId="4C7E0348" w14:textId="77777777" w:rsidR="00CC7B93" w:rsidRDefault="00CC7B93" w:rsidP="00CC7B93">
      <w:pPr>
        <w:pStyle w:val="ListParagraph"/>
        <w:ind w:left="360"/>
      </w:pPr>
    </w:p>
    <w:p w14:paraId="6BDA3B20" w14:textId="2EAD6164" w:rsidR="006C7FCE" w:rsidRDefault="006C7FCE" w:rsidP="00CC7B93">
      <w:pPr>
        <w:pStyle w:val="ListParagraph"/>
        <w:numPr>
          <w:ilvl w:val="0"/>
          <w:numId w:val="13"/>
        </w:numPr>
      </w:pPr>
      <w:r>
        <w:t xml:space="preserve">We </w:t>
      </w:r>
      <w:proofErr w:type="spellStart"/>
      <w:r>
        <w:t>emphasised</w:t>
      </w:r>
      <w:proofErr w:type="spellEnd"/>
      <w:r>
        <w:t xml:space="preserve"> the growing importance of security in the use of Information</w:t>
      </w:r>
      <w:r w:rsidR="00CC7B93">
        <w:t xml:space="preserve"> </w:t>
      </w:r>
      <w:r>
        <w:t>and Communications Technologies (ICTs) and reaffirmed the need to enhance</w:t>
      </w:r>
      <w:r w:rsidR="00CC7B93">
        <w:t xml:space="preserve"> </w:t>
      </w:r>
      <w:r>
        <w:t>cooperation to promote an open, secure, stable, accessible, peaceful and</w:t>
      </w:r>
      <w:r w:rsidR="00CC7B93">
        <w:t xml:space="preserve"> </w:t>
      </w:r>
      <w:r>
        <w:t>interoperable ICT environment, including through capacity building measures. In this</w:t>
      </w:r>
      <w:r w:rsidR="00CC7B93">
        <w:t xml:space="preserve"> </w:t>
      </w:r>
      <w:r>
        <w:t>connection, we encouraged the EAS Participating Countries to further enhance</w:t>
      </w:r>
      <w:r w:rsidR="00CC7B93">
        <w:t xml:space="preserve"> </w:t>
      </w:r>
      <w:r>
        <w:t>cooperation in this area based on the guidance provided by the 2015 EAS Leaders’</w:t>
      </w:r>
      <w:r w:rsidR="00CC7B93">
        <w:t xml:space="preserve"> </w:t>
      </w:r>
      <w:r>
        <w:t>Statement on Issues Related to Security of and in the Use of Information and</w:t>
      </w:r>
      <w:r w:rsidR="00CC7B93">
        <w:t xml:space="preserve"> </w:t>
      </w:r>
      <w:r>
        <w:t>Communications Technologies and the 2018 EAS Leaders’ Statement on Deepening</w:t>
      </w:r>
      <w:r w:rsidR="00CC7B93">
        <w:t xml:space="preserve"> </w:t>
      </w:r>
      <w:r>
        <w:t>Cooperation in the Security of Information and Communications Technologies and of</w:t>
      </w:r>
      <w:r w:rsidR="00CC7B93">
        <w:t xml:space="preserve"> </w:t>
      </w:r>
      <w:r>
        <w:t>the Digital Economy.</w:t>
      </w:r>
    </w:p>
    <w:p w14:paraId="72BE200F" w14:textId="77777777" w:rsidR="007A472F" w:rsidRDefault="007A472F" w:rsidP="007A472F"/>
    <w:p w14:paraId="44847E78" w14:textId="77777777" w:rsidR="007A472F" w:rsidRDefault="007A472F" w:rsidP="007A472F"/>
    <w:p w14:paraId="260A795F" w14:textId="77777777" w:rsidR="007A472F" w:rsidRDefault="007A472F" w:rsidP="007A472F"/>
    <w:p w14:paraId="3BB93CA2" w14:textId="0E035753" w:rsidR="00FA675D" w:rsidRDefault="00FA675D" w:rsidP="00FA675D">
      <w:pPr>
        <w:pStyle w:val="ListParagraph"/>
        <w:ind w:left="360"/>
      </w:pPr>
    </w:p>
    <w:p w14:paraId="77B4B665" w14:textId="1AAE59EC" w:rsidR="006C7FCE" w:rsidRDefault="006C7FCE" w:rsidP="006C7FCE">
      <w:pPr>
        <w:pStyle w:val="ListParagraph"/>
        <w:numPr>
          <w:ilvl w:val="0"/>
          <w:numId w:val="13"/>
        </w:numPr>
      </w:pPr>
      <w:r>
        <w:lastRenderedPageBreak/>
        <w:t>We acknowledged that discussions on traditional and non-traditional security</w:t>
      </w:r>
      <w:r w:rsidR="001A7604">
        <w:t xml:space="preserve"> </w:t>
      </w:r>
      <w:r>
        <w:t>issues had been increasingly featured in the EAS, and reaffirmed our commitment to</w:t>
      </w:r>
      <w:r w:rsidR="001A7604">
        <w:t xml:space="preserve"> </w:t>
      </w:r>
      <w:r>
        <w:t>implement the relevant EAS Leaders’ Statements and Declarations, including the 2020</w:t>
      </w:r>
      <w:r w:rsidR="001A7604">
        <w:t xml:space="preserve"> </w:t>
      </w:r>
      <w:r>
        <w:t>EAS Leaders’ Statement on Women, Peace and Security; the 2019 EAS Leaders’</w:t>
      </w:r>
      <w:r w:rsidR="001A7604">
        <w:t xml:space="preserve"> </w:t>
      </w:r>
      <w:r>
        <w:t>Statement on Cooperation to Combat Transnational Crime; the 2019 EAS Leaders’</w:t>
      </w:r>
      <w:r w:rsidR="001A7604">
        <w:t xml:space="preserve"> </w:t>
      </w:r>
      <w:r>
        <w:t>Statement on Combating the Spread of Illicit Drugs; the 2018 EAS Leaders’ Statement</w:t>
      </w:r>
      <w:r w:rsidR="001A7604">
        <w:t xml:space="preserve"> </w:t>
      </w:r>
      <w:r>
        <w:t>on the Safe and Security Use, Storage, and Transport of Nuclear and Other</w:t>
      </w:r>
      <w:r w:rsidR="001A7604">
        <w:t xml:space="preserve"> </w:t>
      </w:r>
      <w:r>
        <w:t>Radioactive Materials; the 2017 EAS Leaders’ Statement on Chemical Weapons; and</w:t>
      </w:r>
      <w:r w:rsidR="001A7604">
        <w:t xml:space="preserve"> </w:t>
      </w:r>
      <w:r>
        <w:t>the 2016 EAS Statement on Non-Proliferation.</w:t>
      </w:r>
    </w:p>
    <w:p w14:paraId="6AC62A6A" w14:textId="77777777" w:rsidR="006C7FCE" w:rsidRDefault="006C7FCE" w:rsidP="000F4B14">
      <w:pPr>
        <w:pStyle w:val="Heading2"/>
      </w:pPr>
      <w:bookmarkStart w:id="3" w:name="_Toc187409785"/>
      <w:r>
        <w:t>Sustainable Development</w:t>
      </w:r>
      <w:bookmarkEnd w:id="3"/>
    </w:p>
    <w:p w14:paraId="5E91AC31" w14:textId="00D435EE" w:rsidR="006C7FCE" w:rsidRDefault="006C7FCE" w:rsidP="001708B0">
      <w:pPr>
        <w:pStyle w:val="ListParagraph"/>
        <w:numPr>
          <w:ilvl w:val="0"/>
          <w:numId w:val="13"/>
        </w:numPr>
      </w:pPr>
      <w:r>
        <w:t>We noted several initiatives that are being developed under the ambit of the</w:t>
      </w:r>
      <w:r w:rsidR="001708B0">
        <w:t xml:space="preserve"> </w:t>
      </w:r>
      <w:r>
        <w:t>ASEAN Senior Officials Meeting on Rural Development and Poverty Eradication</w:t>
      </w:r>
      <w:r w:rsidR="001708B0">
        <w:t xml:space="preserve"> </w:t>
      </w:r>
      <w:r>
        <w:t>(SOMRDPE) relevant to sustainable development, with the involvement of different</w:t>
      </w:r>
      <w:r w:rsidR="001708B0">
        <w:t xml:space="preserve"> </w:t>
      </w:r>
      <w:r>
        <w:t>key stakeholders, including EAS Participating Countries. These initiatives include the</w:t>
      </w:r>
      <w:r w:rsidR="001708B0">
        <w:t xml:space="preserve"> </w:t>
      </w:r>
      <w:r>
        <w:t>High-Level Brainstorming Dialogue (HLBD) on Enhancing Complementarities</w:t>
      </w:r>
      <w:r w:rsidR="001708B0">
        <w:t xml:space="preserve"> </w:t>
      </w:r>
      <w:r>
        <w:t>between the ASEAN Community Vision (ACV) 2025 and the United Nations 2030</w:t>
      </w:r>
      <w:r w:rsidR="001708B0">
        <w:t xml:space="preserve"> </w:t>
      </w:r>
      <w:r>
        <w:t>Agenda for Sustainable Development; the ASEAN Forum on Sustainable</w:t>
      </w:r>
      <w:r w:rsidR="001708B0">
        <w:t xml:space="preserve"> </w:t>
      </w:r>
      <w:r>
        <w:t>Development Goals (SDGs) with National Development Planning Agencies; and the</w:t>
      </w:r>
      <w:r w:rsidR="001708B0">
        <w:t xml:space="preserve"> </w:t>
      </w:r>
      <w:r>
        <w:t>ASEAN Ministerial Dialogue on Accelerating Actions to Achieve the Sustainable</w:t>
      </w:r>
      <w:r w:rsidR="001708B0">
        <w:t xml:space="preserve"> </w:t>
      </w:r>
      <w:r>
        <w:t>Development Goals (SDGs).</w:t>
      </w:r>
    </w:p>
    <w:p w14:paraId="1587BDC1" w14:textId="77777777" w:rsidR="006C7FCE" w:rsidRDefault="006C7FCE" w:rsidP="000F4B14">
      <w:pPr>
        <w:pStyle w:val="Heading2"/>
      </w:pPr>
      <w:bookmarkStart w:id="4" w:name="_Toc187409786"/>
      <w:r>
        <w:t>Climate, Environment and Energy Cooperation</w:t>
      </w:r>
      <w:bookmarkEnd w:id="4"/>
    </w:p>
    <w:p w14:paraId="1CD14254" w14:textId="1E1AD25E" w:rsidR="006C7FCE" w:rsidRDefault="006C7FCE" w:rsidP="006C7FCE">
      <w:pPr>
        <w:pStyle w:val="ListParagraph"/>
        <w:numPr>
          <w:ilvl w:val="0"/>
          <w:numId w:val="13"/>
        </w:numPr>
      </w:pPr>
      <w:r>
        <w:t>We welcomed the virtual convening of the 13th EAS High-Level Seminar on</w:t>
      </w:r>
      <w:r w:rsidR="001708B0">
        <w:t xml:space="preserve"> </w:t>
      </w:r>
      <w:r>
        <w:t>Sustainable Cities (HLS-SC) on 1 March 2023 in conjunction with the Zero Carbon</w:t>
      </w:r>
      <w:r w:rsidR="001708B0">
        <w:t xml:space="preserve"> </w:t>
      </w:r>
      <w:r>
        <w:t>International Forum. The theme of the Seminar was closely linked to the ASEAN</w:t>
      </w:r>
      <w:r w:rsidR="001708B0">
        <w:t xml:space="preserve"> </w:t>
      </w:r>
      <w:r>
        <w:t>SDG’s Frontrunners Cities Phase 2 initiative and demonstrated steady progress of</w:t>
      </w:r>
      <w:r w:rsidR="001708B0">
        <w:t xml:space="preserve"> </w:t>
      </w:r>
      <w:r>
        <w:t>actions of ASEAN cities towards achieving sustainable development, particularly on</w:t>
      </w:r>
      <w:r w:rsidR="001708B0">
        <w:t xml:space="preserve"> </w:t>
      </w:r>
      <w:r>
        <w:t>the initiatives related to combatting marine debris and strengthening climate resilience</w:t>
      </w:r>
      <w:r w:rsidR="001708B0">
        <w:t xml:space="preserve"> </w:t>
      </w:r>
      <w:r>
        <w:t>in the region.</w:t>
      </w:r>
    </w:p>
    <w:p w14:paraId="357B66AE" w14:textId="77777777" w:rsidR="001708B0" w:rsidRDefault="001708B0" w:rsidP="001708B0">
      <w:pPr>
        <w:pStyle w:val="ListParagraph"/>
        <w:ind w:left="360"/>
      </w:pPr>
    </w:p>
    <w:p w14:paraId="033B04EF" w14:textId="7ADEFAF0" w:rsidR="006C7FCE" w:rsidRDefault="006C7FCE" w:rsidP="006C7FCE">
      <w:pPr>
        <w:pStyle w:val="ListParagraph"/>
        <w:numPr>
          <w:ilvl w:val="0"/>
          <w:numId w:val="13"/>
        </w:numPr>
      </w:pPr>
      <w:r>
        <w:t xml:space="preserve">We recognised the importance of a sustainable recovery that supports </w:t>
      </w:r>
      <w:proofErr w:type="spellStart"/>
      <w:r>
        <w:t>botheconomic</w:t>
      </w:r>
      <w:proofErr w:type="spellEnd"/>
      <w:r>
        <w:t xml:space="preserve"> growth as well as climate and sustainability goals, which include efforts by</w:t>
      </w:r>
      <w:r w:rsidR="00820709">
        <w:t xml:space="preserve"> </w:t>
      </w:r>
      <w:r>
        <w:t>EAS Participating Countries to implement the United Nations Framework Convention</w:t>
      </w:r>
      <w:r w:rsidR="00820709">
        <w:t xml:space="preserve"> </w:t>
      </w:r>
      <w:r>
        <w:t>on Climate Change (UNFCCC) and pursue the temperature goals of the Paris</w:t>
      </w:r>
      <w:r w:rsidR="00820709">
        <w:t xml:space="preserve"> </w:t>
      </w:r>
      <w:r>
        <w:t xml:space="preserve">Agreement to limit global temperature increase to well below </w:t>
      </w:r>
      <w:r w:rsidR="007A472F">
        <w:br/>
      </w:r>
      <w:r>
        <w:t>2 degrees Celsius, while</w:t>
      </w:r>
      <w:r w:rsidR="00820709">
        <w:t xml:space="preserve"> </w:t>
      </w:r>
      <w:r>
        <w:t>pursuing efforts to limit the increase to 1.5 degrees. We discussed ways and means</w:t>
      </w:r>
      <w:r w:rsidR="00820709">
        <w:t xml:space="preserve"> </w:t>
      </w:r>
      <w:r>
        <w:t>to address the impact of climate change, including through the adoption of nature-based solutions and ecosystem-based approaches, sharing of best practices, and</w:t>
      </w:r>
      <w:r w:rsidR="00820709">
        <w:t xml:space="preserve"> </w:t>
      </w:r>
      <w:r>
        <w:t>providing resources and technical expertise for regional initiatives, including the</w:t>
      </w:r>
      <w:r w:rsidR="00820709">
        <w:t xml:space="preserve"> </w:t>
      </w:r>
      <w:proofErr w:type="spellStart"/>
      <w:r>
        <w:t>operationalisation</w:t>
      </w:r>
      <w:proofErr w:type="spellEnd"/>
      <w:r>
        <w:t xml:space="preserve"> of the ASEAN Centre for Climate Change.</w:t>
      </w:r>
    </w:p>
    <w:p w14:paraId="5E26F09C" w14:textId="77777777" w:rsidR="00820709" w:rsidRDefault="00820709" w:rsidP="00820709">
      <w:pPr>
        <w:pStyle w:val="ListParagraph"/>
        <w:ind w:left="360"/>
      </w:pPr>
    </w:p>
    <w:p w14:paraId="33A443F3" w14:textId="24CF03CB" w:rsidR="006C7FCE" w:rsidRDefault="006C7FCE" w:rsidP="006C7FCE">
      <w:pPr>
        <w:pStyle w:val="ListParagraph"/>
        <w:numPr>
          <w:ilvl w:val="0"/>
          <w:numId w:val="13"/>
        </w:numPr>
      </w:pPr>
      <w:r>
        <w:t>We encouraged EAS Participating Countries to strengthen cooperation on</w:t>
      </w:r>
      <w:r w:rsidR="00820709">
        <w:t xml:space="preserve"> </w:t>
      </w:r>
      <w:r>
        <w:t>addressing air pollution, particularly its impact on climate change, sustainable cities,</w:t>
      </w:r>
      <w:r w:rsidR="00820709">
        <w:t xml:space="preserve"> </w:t>
      </w:r>
      <w:r>
        <w:t>marine pollution and conservation, and a one-health approach related to</w:t>
      </w:r>
      <w:r w:rsidR="00820709">
        <w:t xml:space="preserve"> </w:t>
      </w:r>
      <w:r>
        <w:t>environmental health matters. We took note of the need to address transboundary</w:t>
      </w:r>
      <w:r w:rsidR="00820709">
        <w:t xml:space="preserve"> </w:t>
      </w:r>
      <w:r>
        <w:t>haze pollution and also encouraged EAS Participating Countries to support ASEAN</w:t>
      </w:r>
      <w:r w:rsidR="00820709">
        <w:t xml:space="preserve"> </w:t>
      </w:r>
      <w:r>
        <w:t>Specialised Meteorological Centre (ASMC) and the establishment and</w:t>
      </w:r>
      <w:r w:rsidR="00820709">
        <w:t xml:space="preserve"> </w:t>
      </w:r>
      <w:proofErr w:type="spellStart"/>
      <w:r>
        <w:t>operationalisation</w:t>
      </w:r>
      <w:proofErr w:type="spellEnd"/>
      <w:r>
        <w:t xml:space="preserve"> of the ASEAN Coordinating Centre for Transboundary Haze</w:t>
      </w:r>
      <w:r w:rsidR="00820709">
        <w:t xml:space="preserve"> </w:t>
      </w:r>
      <w:r>
        <w:t>Pollution Control (ACCTHPC) for the full and effective implementation of the ASEAN</w:t>
      </w:r>
      <w:r w:rsidR="00820709">
        <w:t xml:space="preserve"> </w:t>
      </w:r>
      <w:r>
        <w:t>Agreement on Transboundary Haze Pollution (AATHP).</w:t>
      </w:r>
    </w:p>
    <w:p w14:paraId="24076A43" w14:textId="77777777" w:rsidR="00820709" w:rsidRDefault="00820709" w:rsidP="00820709">
      <w:pPr>
        <w:pStyle w:val="ListParagraph"/>
        <w:ind w:left="360"/>
      </w:pPr>
    </w:p>
    <w:p w14:paraId="5E3F528E" w14:textId="77777777" w:rsidR="007A472F" w:rsidRDefault="007A472F" w:rsidP="00820709">
      <w:pPr>
        <w:pStyle w:val="ListParagraph"/>
        <w:ind w:left="360"/>
      </w:pPr>
    </w:p>
    <w:p w14:paraId="78EBF540" w14:textId="77777777" w:rsidR="007A472F" w:rsidRDefault="007A472F" w:rsidP="00820709">
      <w:pPr>
        <w:pStyle w:val="ListParagraph"/>
        <w:ind w:left="360"/>
      </w:pPr>
    </w:p>
    <w:p w14:paraId="3E76B994" w14:textId="77777777" w:rsidR="007A472F" w:rsidRDefault="007A472F" w:rsidP="00820709">
      <w:pPr>
        <w:pStyle w:val="ListParagraph"/>
        <w:ind w:left="360"/>
      </w:pPr>
    </w:p>
    <w:p w14:paraId="61CB0274" w14:textId="77777777" w:rsidR="007A472F" w:rsidRDefault="007A472F" w:rsidP="00820709">
      <w:pPr>
        <w:pStyle w:val="ListParagraph"/>
        <w:ind w:left="360"/>
      </w:pPr>
    </w:p>
    <w:p w14:paraId="1CC80214" w14:textId="77777777" w:rsidR="007A472F" w:rsidRDefault="007A472F" w:rsidP="00820709">
      <w:pPr>
        <w:pStyle w:val="ListParagraph"/>
        <w:ind w:left="360"/>
      </w:pPr>
    </w:p>
    <w:p w14:paraId="3AC1E0C3" w14:textId="63754900" w:rsidR="006C7FCE" w:rsidRDefault="006C7FCE" w:rsidP="006C7FCE">
      <w:pPr>
        <w:pStyle w:val="ListParagraph"/>
        <w:numPr>
          <w:ilvl w:val="0"/>
          <w:numId w:val="13"/>
        </w:numPr>
      </w:pPr>
      <w:r>
        <w:lastRenderedPageBreak/>
        <w:t>We took note of the progress made under the EAS Leaders’ Statement on</w:t>
      </w:r>
      <w:r w:rsidR="00820709">
        <w:t xml:space="preserve"> </w:t>
      </w:r>
      <w:r>
        <w:t>Sustainable Recovery, which was adopted at the 16th East Asia Summit in October</w:t>
      </w:r>
      <w:r w:rsidR="00820709">
        <w:t xml:space="preserve"> </w:t>
      </w:r>
      <w:r>
        <w:t>2021, particularly the importance of a sustainable recovery that is comprehensive,</w:t>
      </w:r>
      <w:r w:rsidR="00820709">
        <w:t xml:space="preserve"> </w:t>
      </w:r>
      <w:r>
        <w:t>inclusive and resilient, and the need to promote economic policies and growth</w:t>
      </w:r>
      <w:r w:rsidR="00820709">
        <w:t xml:space="preserve"> </w:t>
      </w:r>
      <w:r>
        <w:t>including fair trade and investment, that contribute to sustainable development and</w:t>
      </w:r>
      <w:r w:rsidR="00820709">
        <w:t xml:space="preserve"> </w:t>
      </w:r>
      <w:r>
        <w:t>tackling climate change, as well as to address other economic, social, and</w:t>
      </w:r>
      <w:r w:rsidR="00820709">
        <w:t xml:space="preserve"> </w:t>
      </w:r>
      <w:r>
        <w:t>environmental challenges.</w:t>
      </w:r>
    </w:p>
    <w:p w14:paraId="4632E905" w14:textId="2A224F84" w:rsidR="00820709" w:rsidRDefault="00820709" w:rsidP="00820709">
      <w:pPr>
        <w:pStyle w:val="ListParagraph"/>
        <w:ind w:left="360"/>
      </w:pPr>
    </w:p>
    <w:p w14:paraId="30D9D2EB" w14:textId="51073F7B" w:rsidR="006C7FCE" w:rsidRDefault="00820709" w:rsidP="006C7FCE">
      <w:pPr>
        <w:pStyle w:val="ListParagraph"/>
        <w:numPr>
          <w:ilvl w:val="0"/>
          <w:numId w:val="13"/>
        </w:numPr>
      </w:pPr>
      <w:r>
        <w:t>W</w:t>
      </w:r>
      <w:r w:rsidR="006C7FCE">
        <w:t>e welcomed the progress of the Lao PDR-Thailand-Malaysia-Singapore</w:t>
      </w:r>
      <w:r w:rsidR="00AC1CDF">
        <w:t xml:space="preserve"> </w:t>
      </w:r>
      <w:r w:rsidR="006C7FCE">
        <w:t xml:space="preserve">Power Interconnection Project (LTMS-PIP) and the Brunei Darussalam-Indonesia-Malaysia-Philippines Power Interconnection Project (BIMP-PIP) to </w:t>
      </w:r>
      <w:proofErr w:type="spellStart"/>
      <w:r w:rsidR="006C7FCE">
        <w:t>realise</w:t>
      </w:r>
      <w:proofErr w:type="spellEnd"/>
      <w:r w:rsidR="006C7FCE">
        <w:t xml:space="preserve"> the shared</w:t>
      </w:r>
      <w:r w:rsidR="00AC1CDF">
        <w:t xml:space="preserve"> </w:t>
      </w:r>
      <w:r w:rsidR="006C7FCE">
        <w:t>benefits of cross-border power trading to the region. We acknowledged the fruitful</w:t>
      </w:r>
      <w:r w:rsidR="00AC1CDF">
        <w:t xml:space="preserve"> </w:t>
      </w:r>
      <w:r w:rsidR="006C7FCE">
        <w:t xml:space="preserve">outcome of the 18th EAS Energy Ministers’ Meeting </w:t>
      </w:r>
      <w:r w:rsidR="00CC5212">
        <w:br/>
      </w:r>
      <w:r w:rsidR="006C7FCE">
        <w:t>(EAS EMM) on 27 September</w:t>
      </w:r>
      <w:r w:rsidR="00AC1CDF">
        <w:t xml:space="preserve"> </w:t>
      </w:r>
      <w:r w:rsidR="006C7FCE">
        <w:t>2024 in Vientiane, Lao PDR, in conjunction with the 42nd ASEAN Ministers on Energy</w:t>
      </w:r>
      <w:r w:rsidR="00AC1CDF">
        <w:t xml:space="preserve"> </w:t>
      </w:r>
      <w:r w:rsidR="006C7FCE">
        <w:t>Meeting (AMEM) and Associated Meetings. The Meeting reaffirmed the need to</w:t>
      </w:r>
      <w:r w:rsidR="00AC1CDF">
        <w:t xml:space="preserve"> </w:t>
      </w:r>
      <w:r w:rsidR="006C7FCE">
        <w:t>explore concrete cooperation initiatives to enhance the region’s energy</w:t>
      </w:r>
      <w:r w:rsidR="00AC1CDF">
        <w:t xml:space="preserve"> </w:t>
      </w:r>
      <w:r w:rsidR="006C7FCE">
        <w:t>interconnectivity, including to decisively accelerate the implementation of the ASEAN</w:t>
      </w:r>
      <w:r w:rsidR="00AC1CDF">
        <w:t xml:space="preserve"> </w:t>
      </w:r>
      <w:r w:rsidR="006C7FCE">
        <w:t xml:space="preserve">Power Grid with the aim of </w:t>
      </w:r>
      <w:proofErr w:type="spellStart"/>
      <w:r w:rsidR="006C7FCE">
        <w:t>realising</w:t>
      </w:r>
      <w:proofErr w:type="spellEnd"/>
      <w:r w:rsidR="006C7FCE">
        <w:t xml:space="preserve"> it by 2045, and support the implementation of the</w:t>
      </w:r>
      <w:r w:rsidR="00AC1CDF">
        <w:t xml:space="preserve"> </w:t>
      </w:r>
      <w:r w:rsidR="006C7FCE">
        <w:t>ASEAN Plan of Action for Energy Cooperation (APAEC).</w:t>
      </w:r>
    </w:p>
    <w:p w14:paraId="2F7D494E" w14:textId="77777777" w:rsidR="006C7FCE" w:rsidRDefault="006C7FCE" w:rsidP="000F4B14">
      <w:pPr>
        <w:pStyle w:val="Heading2"/>
      </w:pPr>
      <w:bookmarkStart w:id="5" w:name="_Toc187409787"/>
      <w:r>
        <w:t>Education Cooperation</w:t>
      </w:r>
      <w:bookmarkEnd w:id="5"/>
    </w:p>
    <w:p w14:paraId="527FD88C" w14:textId="3181C104" w:rsidR="006C7FCE" w:rsidRDefault="006C7FCE" w:rsidP="00450C75">
      <w:pPr>
        <w:pStyle w:val="ListParagraph"/>
        <w:numPr>
          <w:ilvl w:val="0"/>
          <w:numId w:val="13"/>
        </w:numPr>
      </w:pPr>
      <w:r>
        <w:t>We encouraged and affirmed our commitment to advancing long-term and</w:t>
      </w:r>
      <w:r w:rsidR="00C30A5A">
        <w:t xml:space="preserve"> </w:t>
      </w:r>
      <w:r>
        <w:t>mutually beneficial education cooperation, particularly in enhancing youth and people</w:t>
      </w:r>
      <w:r w:rsidR="00C30A5A">
        <w:t xml:space="preserve"> </w:t>
      </w:r>
      <w:r>
        <w:t xml:space="preserve">to people exchanges through scholarship </w:t>
      </w:r>
      <w:proofErr w:type="spellStart"/>
      <w:r>
        <w:t>programmes</w:t>
      </w:r>
      <w:proofErr w:type="spellEnd"/>
      <w:r>
        <w:t>, life-long skills development</w:t>
      </w:r>
      <w:r w:rsidR="00C30A5A">
        <w:t xml:space="preserve"> </w:t>
      </w:r>
      <w:r>
        <w:t>and digital literacy. We recognised that the EAS education cooperation has been</w:t>
      </w:r>
      <w:r w:rsidR="00C30A5A">
        <w:t xml:space="preserve"> </w:t>
      </w:r>
      <w:r>
        <w:t>pursued in line with priority areas under the ASEAN Work Plan on Education 2021-2025. We commended the implementation of inclusive and quality education</w:t>
      </w:r>
      <w:r w:rsidR="00C30A5A">
        <w:t xml:space="preserve"> </w:t>
      </w:r>
      <w:proofErr w:type="spellStart"/>
      <w:r>
        <w:t>programmes</w:t>
      </w:r>
      <w:proofErr w:type="spellEnd"/>
      <w:r>
        <w:t xml:space="preserve"> and activities by EAS Participating Countries, especially in the areas of</w:t>
      </w:r>
      <w:r w:rsidR="00C30A5A">
        <w:t xml:space="preserve"> </w:t>
      </w:r>
      <w:r>
        <w:t>Technical and Vocational Education and Training (TVET), higher education, and</w:t>
      </w:r>
      <w:r w:rsidR="00C30A5A">
        <w:t xml:space="preserve"> </w:t>
      </w:r>
      <w:r>
        <w:t xml:space="preserve">research, </w:t>
      </w:r>
      <w:r w:rsidR="007920E5">
        <w:br/>
      </w:r>
      <w:r>
        <w:t xml:space="preserve">people-to-people exchanges including through scholarship </w:t>
      </w:r>
      <w:proofErr w:type="spellStart"/>
      <w:r>
        <w:t>programmes</w:t>
      </w:r>
      <w:proofErr w:type="spellEnd"/>
      <w:r>
        <w:t>,</w:t>
      </w:r>
      <w:r w:rsidR="00C30A5A">
        <w:t xml:space="preserve"> </w:t>
      </w:r>
      <w:r>
        <w:t>strengthening competency of teachers in information and communications</w:t>
      </w:r>
      <w:r w:rsidR="00C30A5A">
        <w:t xml:space="preserve"> </w:t>
      </w:r>
      <w:r>
        <w:t>technologies (ICT), and promotion of Education for Sustainable Development (ESD)</w:t>
      </w:r>
      <w:r w:rsidR="00C30A5A">
        <w:t xml:space="preserve"> </w:t>
      </w:r>
      <w:r>
        <w:t>and mental health and well-being of students. We supported the priorities of the</w:t>
      </w:r>
      <w:r w:rsidR="00C30A5A">
        <w:t xml:space="preserve"> </w:t>
      </w:r>
      <w:r>
        <w:t>ASEAN TVET Council (ATC) to advance TVET in the region through the</w:t>
      </w:r>
      <w:r w:rsidR="00C30A5A">
        <w:t xml:space="preserve"> </w:t>
      </w:r>
      <w:r>
        <w:t>implementation of its Work Plan 2021-2030.</w:t>
      </w:r>
    </w:p>
    <w:p w14:paraId="19B81A8E" w14:textId="77777777" w:rsidR="00450C75" w:rsidRDefault="00450C75" w:rsidP="00450C75">
      <w:pPr>
        <w:pStyle w:val="ListParagraph"/>
        <w:ind w:left="360"/>
      </w:pPr>
    </w:p>
    <w:p w14:paraId="3F52DD26" w14:textId="58FD98E1" w:rsidR="006C7FCE" w:rsidRDefault="006C7FCE" w:rsidP="00450C75">
      <w:pPr>
        <w:pStyle w:val="ListParagraph"/>
        <w:numPr>
          <w:ilvl w:val="0"/>
          <w:numId w:val="13"/>
        </w:numPr>
      </w:pPr>
      <w:r>
        <w:t>We called for greater efforts to explore more initiatives for cooperation between</w:t>
      </w:r>
      <w:r w:rsidR="00450C75">
        <w:t xml:space="preserve"> </w:t>
      </w:r>
      <w:r>
        <w:t>ASEAN and EAS Participating Countries in sport, cultural and arts, drawing on the rich</w:t>
      </w:r>
      <w:r w:rsidR="00450C75">
        <w:t xml:space="preserve"> </w:t>
      </w:r>
      <w:r>
        <w:t>cultural diversity and heritage of ASEAN as an engine for economic growth and</w:t>
      </w:r>
      <w:r w:rsidR="00450C75">
        <w:t xml:space="preserve"> </w:t>
      </w:r>
      <w:r>
        <w:t>sustainable development, and for forging closer friendship and understanding</w:t>
      </w:r>
      <w:r w:rsidR="00450C75">
        <w:t xml:space="preserve"> </w:t>
      </w:r>
      <w:r>
        <w:t>between ASEAN and EAS Participating Countries.</w:t>
      </w:r>
    </w:p>
    <w:p w14:paraId="51BF3651" w14:textId="77777777" w:rsidR="006C7FCE" w:rsidRDefault="006C7FCE" w:rsidP="000F4B14">
      <w:pPr>
        <w:pStyle w:val="Heading2"/>
      </w:pPr>
      <w:bookmarkStart w:id="6" w:name="_Toc187409788"/>
      <w:r>
        <w:t>Finance</w:t>
      </w:r>
      <w:bookmarkEnd w:id="6"/>
    </w:p>
    <w:p w14:paraId="2C9D71F2" w14:textId="475B66BE" w:rsidR="006C7FCE" w:rsidRDefault="006C7FCE" w:rsidP="00800179">
      <w:pPr>
        <w:pStyle w:val="ListParagraph"/>
        <w:numPr>
          <w:ilvl w:val="0"/>
          <w:numId w:val="13"/>
        </w:numPr>
      </w:pPr>
      <w:r>
        <w:t>In view of the impacts of COVID-19 and changing geopolitical dynamics, we</w:t>
      </w:r>
      <w:r w:rsidR="00800179">
        <w:t xml:space="preserve"> </w:t>
      </w:r>
      <w:r>
        <w:t>reiterated the need to work together to strengthen the global economic recovery. We</w:t>
      </w:r>
      <w:r w:rsidR="00800179">
        <w:t xml:space="preserve"> </w:t>
      </w:r>
      <w:r>
        <w:t>also encouraged further strengthening of the region’s resilience to external shocks</w:t>
      </w:r>
      <w:r w:rsidR="00800179">
        <w:t xml:space="preserve"> </w:t>
      </w:r>
      <w:r>
        <w:t>through closer financial cooperation and exchange of views on macro-economic and</w:t>
      </w:r>
      <w:r w:rsidR="00800179">
        <w:t xml:space="preserve"> </w:t>
      </w:r>
      <w:r>
        <w:t>financial developments among the EAS Participating Countries.</w:t>
      </w:r>
    </w:p>
    <w:p w14:paraId="1698885D" w14:textId="77777777" w:rsidR="007920E5" w:rsidRDefault="007920E5" w:rsidP="007920E5"/>
    <w:p w14:paraId="1EC14580" w14:textId="77777777" w:rsidR="007920E5" w:rsidRDefault="007920E5" w:rsidP="007920E5"/>
    <w:p w14:paraId="4A5AF6C3" w14:textId="77777777" w:rsidR="007920E5" w:rsidRDefault="007920E5" w:rsidP="007920E5"/>
    <w:p w14:paraId="7DBA6E6A" w14:textId="77777777" w:rsidR="007920E5" w:rsidRDefault="007920E5" w:rsidP="007920E5"/>
    <w:p w14:paraId="2F291121" w14:textId="77777777" w:rsidR="006C7FCE" w:rsidRDefault="006C7FCE" w:rsidP="000F4B14">
      <w:pPr>
        <w:pStyle w:val="Heading2"/>
      </w:pPr>
      <w:bookmarkStart w:id="7" w:name="_Toc187409789"/>
      <w:r>
        <w:lastRenderedPageBreak/>
        <w:t>Global Health Issues and Pandemic Diseases</w:t>
      </w:r>
      <w:bookmarkEnd w:id="7"/>
    </w:p>
    <w:p w14:paraId="5B45E9B0" w14:textId="63C51387" w:rsidR="006C7FCE" w:rsidRDefault="006C7FCE" w:rsidP="00800179">
      <w:pPr>
        <w:pStyle w:val="ListParagraph"/>
        <w:numPr>
          <w:ilvl w:val="0"/>
          <w:numId w:val="13"/>
        </w:numPr>
      </w:pPr>
      <w:r>
        <w:t>We acknowledged the significance of Strengthening Collective Capacity in</w:t>
      </w:r>
      <w:r w:rsidR="00800179">
        <w:t xml:space="preserve"> </w:t>
      </w:r>
      <w:r>
        <w:t>Epidemics Prevention and Response on the basis of the relevant EAS Leaders’</w:t>
      </w:r>
      <w:r w:rsidR="00800179">
        <w:t xml:space="preserve"> </w:t>
      </w:r>
      <w:r>
        <w:t xml:space="preserve">Statement adopted at the 15th EAS </w:t>
      </w:r>
      <w:r w:rsidR="007920E5">
        <w:br/>
      </w:r>
      <w:r>
        <w:t>(14 November 2020), under the joint leadership of</w:t>
      </w:r>
      <w:r w:rsidR="00800179">
        <w:t xml:space="preserve"> </w:t>
      </w:r>
      <w:r>
        <w:t>Viet Nam, Indonesia, Thailand, Russia and China, which recognizes the</w:t>
      </w:r>
      <w:r w:rsidR="00800179">
        <w:t xml:space="preserve"> </w:t>
      </w:r>
      <w:r>
        <w:t>unprecedented and severe challenges posed by the COVID-19 pandemic and the</w:t>
      </w:r>
      <w:r w:rsidR="00800179">
        <w:t xml:space="preserve"> </w:t>
      </w:r>
      <w:r>
        <w:t>need to adopt an effective and comprehensive response to promote the health, well-being, livelihoods, and safety of our peoples and mitigate the adverse impacts on the</w:t>
      </w:r>
      <w:r w:rsidR="00800179">
        <w:t xml:space="preserve"> </w:t>
      </w:r>
      <w:r w:rsidR="007920E5">
        <w:br/>
      </w:r>
      <w:r>
        <w:t>socio-economic and socio-cultural development of EAS Participating Countries. We</w:t>
      </w:r>
      <w:r w:rsidR="00800179">
        <w:t xml:space="preserve"> </w:t>
      </w:r>
      <w:r>
        <w:t>recognised that the EAS Participating Countries are in the process of consideration of</w:t>
      </w:r>
      <w:r w:rsidR="00800179">
        <w:t xml:space="preserve"> </w:t>
      </w:r>
      <w:r>
        <w:t>the proposal of Russia to establish a ‘Regional Mechanism of Emerging Infectious</w:t>
      </w:r>
      <w:r w:rsidR="00800179">
        <w:t xml:space="preserve"> </w:t>
      </w:r>
      <w:r>
        <w:t xml:space="preserve">Diseases Prevention and Control among EAS Participating Countries’ to </w:t>
      </w:r>
      <w:proofErr w:type="spellStart"/>
      <w:r>
        <w:t>realise</w:t>
      </w:r>
      <w:proofErr w:type="spellEnd"/>
      <w:r>
        <w:t xml:space="preserve"> the</w:t>
      </w:r>
      <w:r w:rsidR="00800179">
        <w:t xml:space="preserve"> </w:t>
      </w:r>
      <w:r>
        <w:t>decisions of the EAS Leaders and to further advance cooperation in this area, building</w:t>
      </w:r>
      <w:r w:rsidR="00800179">
        <w:t xml:space="preserve"> </w:t>
      </w:r>
      <w:r>
        <w:t>on the progress achieved at the meeting of the heads of agencies of the EAS</w:t>
      </w:r>
      <w:r w:rsidR="00800179">
        <w:t xml:space="preserve"> </w:t>
      </w:r>
      <w:r>
        <w:t xml:space="preserve">Participating Countries, responsible for the control of infectious diseases on </w:t>
      </w:r>
      <w:r w:rsidR="007920E5">
        <w:br/>
      </w:r>
      <w:r>
        <w:t>16-17</w:t>
      </w:r>
      <w:r w:rsidR="00800179">
        <w:t xml:space="preserve"> </w:t>
      </w:r>
      <w:r>
        <w:t>October 2019, which was initiated by Thailand and Russia, as well as at the EAS</w:t>
      </w:r>
      <w:r w:rsidR="00800179">
        <w:t xml:space="preserve"> </w:t>
      </w:r>
      <w:r>
        <w:t>Health Experts Meeting on 14 October 2020 cosponsored by Viet Nam, Indonesia,</w:t>
      </w:r>
      <w:r w:rsidR="00800179">
        <w:t xml:space="preserve"> </w:t>
      </w:r>
      <w:r>
        <w:t>Russia and China.</w:t>
      </w:r>
    </w:p>
    <w:p w14:paraId="1D8F71EE" w14:textId="77777777" w:rsidR="005F5EB7" w:rsidRDefault="005F5EB7" w:rsidP="005F5EB7">
      <w:pPr>
        <w:pStyle w:val="ListParagraph"/>
        <w:ind w:left="360"/>
      </w:pPr>
    </w:p>
    <w:p w14:paraId="1C55E991" w14:textId="6D16C4F9" w:rsidR="006C7FCE" w:rsidRDefault="006C7FCE" w:rsidP="005F5EB7">
      <w:pPr>
        <w:pStyle w:val="ListParagraph"/>
        <w:numPr>
          <w:ilvl w:val="0"/>
          <w:numId w:val="13"/>
        </w:numPr>
      </w:pPr>
      <w:r>
        <w:t>We recognised the importance of mental health as a critical public health issue</w:t>
      </w:r>
      <w:r w:rsidR="005F5EB7">
        <w:t xml:space="preserve"> </w:t>
      </w:r>
      <w:r>
        <w:t>which has been exacerbated by the COVID-19 pandemic and called for greater</w:t>
      </w:r>
      <w:r w:rsidR="005F5EB7">
        <w:t xml:space="preserve"> </w:t>
      </w:r>
      <w:r>
        <w:t>cooperation in mental health. We reaffirmed our commitment to the promotion of</w:t>
      </w:r>
      <w:r w:rsidR="005F5EB7">
        <w:t xml:space="preserve"> </w:t>
      </w:r>
      <w:r>
        <w:t>mental health as articulated in the EAS Leaders’ Statement on Mental Health</w:t>
      </w:r>
      <w:r w:rsidR="005F5EB7">
        <w:t xml:space="preserve"> </w:t>
      </w:r>
      <w:r>
        <w:t>Cooperation, adopted at the 16th East Asia Summit in October 2021. We looked</w:t>
      </w:r>
      <w:r w:rsidR="005F5EB7">
        <w:t xml:space="preserve"> </w:t>
      </w:r>
      <w:r>
        <w:t>forward to the successful convening of the 2nd EAS Workshop on Mental Health</w:t>
      </w:r>
      <w:r w:rsidR="005F5EB7">
        <w:t xml:space="preserve"> </w:t>
      </w:r>
      <w:r>
        <w:t>Cooperation that will be co-hosted by Brunei Darussalam and Australia later this year</w:t>
      </w:r>
      <w:r w:rsidR="005F5EB7">
        <w:t xml:space="preserve"> </w:t>
      </w:r>
      <w:r>
        <w:t>which will provide opportunities to identify key mental health system challenges and</w:t>
      </w:r>
      <w:r w:rsidR="005F5EB7">
        <w:t xml:space="preserve"> </w:t>
      </w:r>
      <w:r>
        <w:t>opportunities for development and foster greater regional and cross-sectoral</w:t>
      </w:r>
      <w:r w:rsidR="005F5EB7">
        <w:t xml:space="preserve"> </w:t>
      </w:r>
      <w:r>
        <w:t xml:space="preserve">cooperation. We also looked forward to the </w:t>
      </w:r>
      <w:proofErr w:type="spellStart"/>
      <w:r>
        <w:t>finalisation</w:t>
      </w:r>
      <w:proofErr w:type="spellEnd"/>
      <w:r>
        <w:t xml:space="preserve"> of the EAS Joint Action Plan</w:t>
      </w:r>
      <w:r w:rsidR="005F5EB7">
        <w:t xml:space="preserve"> </w:t>
      </w:r>
      <w:r>
        <w:t>on Mental Health Cooperation that will provide a framework for action that would guide</w:t>
      </w:r>
      <w:r w:rsidR="005F5EB7">
        <w:t xml:space="preserve"> </w:t>
      </w:r>
      <w:r>
        <w:t>and outline activities and progress of the aims of the EAS Leaders’ Statement on</w:t>
      </w:r>
      <w:r w:rsidR="005F5EB7">
        <w:t xml:space="preserve"> </w:t>
      </w:r>
      <w:r>
        <w:t>Mental Health Cooperation.</w:t>
      </w:r>
    </w:p>
    <w:p w14:paraId="26EE2E47" w14:textId="77777777" w:rsidR="006C7FCE" w:rsidRDefault="006C7FCE" w:rsidP="000F4B14">
      <w:pPr>
        <w:pStyle w:val="Heading2"/>
      </w:pPr>
      <w:bookmarkStart w:id="8" w:name="_Toc187409790"/>
      <w:r>
        <w:t>Cooperation on Natural Disaster Management</w:t>
      </w:r>
      <w:bookmarkEnd w:id="8"/>
    </w:p>
    <w:p w14:paraId="7D56A7D4" w14:textId="4D2417FA" w:rsidR="006C7FCE" w:rsidRDefault="006C7FCE" w:rsidP="00564DBC">
      <w:pPr>
        <w:pStyle w:val="ListParagraph"/>
        <w:numPr>
          <w:ilvl w:val="0"/>
          <w:numId w:val="13"/>
        </w:numPr>
      </w:pPr>
      <w:r>
        <w:t>We reiterated our commitment to continuously support the implementation of</w:t>
      </w:r>
      <w:r w:rsidR="00564DBC">
        <w:t xml:space="preserve"> </w:t>
      </w:r>
      <w:r>
        <w:t>the ASEAN Agreement on Disaster Management and Emergency Response</w:t>
      </w:r>
      <w:r w:rsidR="00564DBC">
        <w:t xml:space="preserve"> </w:t>
      </w:r>
      <w:r>
        <w:t>(AADMER) and the current AADMER Work Programme 2021-2025. We reaffirmed</w:t>
      </w:r>
      <w:r w:rsidR="00564DBC">
        <w:t xml:space="preserve"> </w:t>
      </w:r>
      <w:r>
        <w:t>our support to enhance the implementation of the “ASEAN Declaration on One</w:t>
      </w:r>
      <w:r w:rsidR="00564DBC">
        <w:t xml:space="preserve"> </w:t>
      </w:r>
      <w:r>
        <w:t>ASEAN, One Response: ASEAN Responding to Disasters as One in the Region and</w:t>
      </w:r>
      <w:r w:rsidR="00564DBC">
        <w:t xml:space="preserve"> </w:t>
      </w:r>
      <w:r>
        <w:t>Outside the Region” to increase the speed, scale, and solidarity of ASEAN’s response,</w:t>
      </w:r>
      <w:r w:rsidR="00564DBC">
        <w:t xml:space="preserve"> </w:t>
      </w:r>
      <w:r>
        <w:t>and the strengthening of the capacity of the ASEAN Coordinating Centre for</w:t>
      </w:r>
      <w:r w:rsidR="00564DBC">
        <w:t xml:space="preserve"> </w:t>
      </w:r>
      <w:r>
        <w:t>Humanitarian Assistance on disaster management (AHA Centre) as the primary</w:t>
      </w:r>
      <w:r w:rsidR="00564DBC">
        <w:t xml:space="preserve"> </w:t>
      </w:r>
      <w:r>
        <w:t>ASEAN regional coordinating agency on disaster management and emergency</w:t>
      </w:r>
      <w:r w:rsidR="00564DBC">
        <w:t xml:space="preserve"> </w:t>
      </w:r>
      <w:r>
        <w:t>response. We also encouraged the EAS Participating Countries to forge stronger</w:t>
      </w:r>
      <w:r w:rsidR="00564DBC">
        <w:t xml:space="preserve"> </w:t>
      </w:r>
      <w:r>
        <w:t>collaboration to support ASEAN towards becoming a global leader in disaster</w:t>
      </w:r>
      <w:r w:rsidR="00564DBC">
        <w:t xml:space="preserve"> </w:t>
      </w:r>
      <w:r>
        <w:t>management as well as strengthening climate and disaster resilience for sustainable</w:t>
      </w:r>
      <w:r w:rsidR="00564DBC">
        <w:t xml:space="preserve"> </w:t>
      </w:r>
      <w:r>
        <w:t>development in accordance with the ASEAN Leaders’ Declaration on Sustainable</w:t>
      </w:r>
      <w:r w:rsidR="00564DBC">
        <w:t xml:space="preserve"> </w:t>
      </w:r>
      <w:r>
        <w:t>Resilience.</w:t>
      </w:r>
    </w:p>
    <w:p w14:paraId="6A4D7286" w14:textId="77777777" w:rsidR="00B6198F" w:rsidRDefault="00B6198F" w:rsidP="00B6198F">
      <w:pPr>
        <w:pStyle w:val="ListParagraph"/>
        <w:ind w:left="360"/>
      </w:pPr>
    </w:p>
    <w:p w14:paraId="1A7F5530" w14:textId="17708C14" w:rsidR="006C7FCE" w:rsidRDefault="006C7FCE" w:rsidP="00B6198F">
      <w:pPr>
        <w:pStyle w:val="ListParagraph"/>
        <w:numPr>
          <w:ilvl w:val="0"/>
          <w:numId w:val="13"/>
        </w:numPr>
      </w:pPr>
      <w:r>
        <w:t>We commended ASEAN’s commitment to strengthen resilience in light of the</w:t>
      </w:r>
      <w:r w:rsidR="00564DBC">
        <w:t xml:space="preserve"> </w:t>
      </w:r>
      <w:r>
        <w:t>20th Anniversary of the Indian Ocean Tsunami and expressed strong support to further</w:t>
      </w:r>
      <w:r w:rsidR="00564DBC">
        <w:t xml:space="preserve"> </w:t>
      </w:r>
      <w:r>
        <w:t>strengthen ASEAN’s early warning system, preparedness, and response. The EAS</w:t>
      </w:r>
      <w:r w:rsidR="00564DBC">
        <w:t xml:space="preserve"> </w:t>
      </w:r>
      <w:r>
        <w:t>Participating Countries looked forward to engaging, as appropriate, in the series of</w:t>
      </w:r>
      <w:r w:rsidR="00564DBC">
        <w:t xml:space="preserve"> </w:t>
      </w:r>
      <w:r>
        <w:t xml:space="preserve">commemorative events by ASEAN. We </w:t>
      </w:r>
      <w:proofErr w:type="spellStart"/>
      <w:r>
        <w:t>emphasised</w:t>
      </w:r>
      <w:proofErr w:type="spellEnd"/>
      <w:r>
        <w:t xml:space="preserve"> the importance of further</w:t>
      </w:r>
      <w:r w:rsidR="00564DBC">
        <w:t xml:space="preserve"> </w:t>
      </w:r>
      <w:r>
        <w:t>strengthening engagements between the ASEAN Committee on Disaster</w:t>
      </w:r>
      <w:r w:rsidR="00564DBC">
        <w:t xml:space="preserve"> </w:t>
      </w:r>
      <w:r>
        <w:t>Management (ACDM) and the National Disaster Management Organisations</w:t>
      </w:r>
      <w:r w:rsidR="00564DBC">
        <w:t xml:space="preserve"> </w:t>
      </w:r>
      <w:r>
        <w:t xml:space="preserve">(NDMOs) of </w:t>
      </w:r>
      <w:r w:rsidR="00D46BE4">
        <w:br/>
      </w:r>
      <w:r>
        <w:t>non-ASEAN EAS Participating Countries, through active participation in</w:t>
      </w:r>
      <w:r w:rsidR="00564DBC">
        <w:t xml:space="preserve"> </w:t>
      </w:r>
      <w:r>
        <w:t>ASEAN-led activities and practical joint collaborations, including through participation</w:t>
      </w:r>
      <w:r w:rsidR="00564DBC">
        <w:t xml:space="preserve"> </w:t>
      </w:r>
      <w:r>
        <w:t>in the ASEAN Regional Disaster Simulation Exercises (ARDEX). We also encouraged</w:t>
      </w:r>
      <w:r w:rsidR="00564DBC">
        <w:t xml:space="preserve"> </w:t>
      </w:r>
      <w:r>
        <w:t xml:space="preserve">the EAS Participating Countries to continue </w:t>
      </w:r>
      <w:r>
        <w:lastRenderedPageBreak/>
        <w:t>promoting cooperation in disaster</w:t>
      </w:r>
      <w:r w:rsidR="00564DBC">
        <w:t xml:space="preserve"> </w:t>
      </w:r>
      <w:r>
        <w:t xml:space="preserve">management including through the </w:t>
      </w:r>
      <w:proofErr w:type="spellStart"/>
      <w:r>
        <w:t>realisation</w:t>
      </w:r>
      <w:proofErr w:type="spellEnd"/>
      <w:r>
        <w:t xml:space="preserve"> of the </w:t>
      </w:r>
      <w:r w:rsidR="00D46BE4">
        <w:br/>
      </w:r>
      <w:r>
        <w:t>2014 EAS Statement on Rapid</w:t>
      </w:r>
      <w:r w:rsidR="00564DBC">
        <w:t xml:space="preserve"> </w:t>
      </w:r>
      <w:r>
        <w:t>Disaster Response to respond effectively to disasters in the region while respecting</w:t>
      </w:r>
      <w:r w:rsidR="00564DBC">
        <w:t xml:space="preserve"> </w:t>
      </w:r>
      <w:r>
        <w:t>ASEAN Centrality.</w:t>
      </w:r>
    </w:p>
    <w:p w14:paraId="21F3DB45" w14:textId="77777777" w:rsidR="006C7FCE" w:rsidRDefault="006C7FCE" w:rsidP="000F4B14">
      <w:pPr>
        <w:pStyle w:val="Heading2"/>
      </w:pPr>
      <w:bookmarkStart w:id="9" w:name="_Toc187409791"/>
      <w:r>
        <w:t>Cooperation on ASEAN Connectivity</w:t>
      </w:r>
      <w:bookmarkEnd w:id="9"/>
    </w:p>
    <w:p w14:paraId="4647191B" w14:textId="77777777" w:rsidR="005D7721" w:rsidRDefault="006C7FCE" w:rsidP="006C7FCE">
      <w:pPr>
        <w:pStyle w:val="ListParagraph"/>
        <w:numPr>
          <w:ilvl w:val="0"/>
          <w:numId w:val="13"/>
        </w:numPr>
      </w:pPr>
      <w:r>
        <w:t>We acknowledged the emphasis on ASEAN Connectivity this year under Lao</w:t>
      </w:r>
      <w:r w:rsidR="005D7721">
        <w:t xml:space="preserve"> </w:t>
      </w:r>
      <w:r>
        <w:t>PDR’s ASEAN Chairmanship theme of “ASEAN: Enhancing Connectivity and</w:t>
      </w:r>
      <w:r w:rsidR="005D7721">
        <w:t xml:space="preserve"> </w:t>
      </w:r>
      <w:r>
        <w:t>Resilience” and looked forward to further enhancing cooperation with non-ASEAN</w:t>
      </w:r>
      <w:r w:rsidR="005D7721">
        <w:t xml:space="preserve"> </w:t>
      </w:r>
      <w:r>
        <w:t>EAS Participating Countries in implementing the Master Plan on ASEAN Connectivity</w:t>
      </w:r>
      <w:r w:rsidR="005D7721">
        <w:t xml:space="preserve"> </w:t>
      </w:r>
      <w:r>
        <w:t>(MPAC) 2025 and its successor document, the ASEAN Connectivity Strategic Plan,</w:t>
      </w:r>
      <w:r w:rsidR="005D7721">
        <w:t xml:space="preserve"> </w:t>
      </w:r>
      <w:r>
        <w:t>contributing towards an inclusive, sustainable and resilient ASEAN Community Post</w:t>
      </w:r>
      <w:r w:rsidR="005D7721">
        <w:t xml:space="preserve"> </w:t>
      </w:r>
      <w:r>
        <w:t>2025 Vision. We encouraged the development of more tangible connectivity projects</w:t>
      </w:r>
      <w:r w:rsidR="005D7721">
        <w:t xml:space="preserve"> </w:t>
      </w:r>
      <w:r>
        <w:t>to support regional connectivity and advance the ASEAN Connectivity agenda.</w:t>
      </w:r>
    </w:p>
    <w:p w14:paraId="44C80164" w14:textId="77777777" w:rsidR="005D7721" w:rsidRDefault="005D7721" w:rsidP="005D7721">
      <w:pPr>
        <w:pStyle w:val="ListParagraph"/>
        <w:ind w:left="360"/>
      </w:pPr>
    </w:p>
    <w:p w14:paraId="6AD9B458" w14:textId="309AFC26" w:rsidR="006C7FCE" w:rsidRDefault="006C7FCE" w:rsidP="006C7FCE">
      <w:pPr>
        <w:pStyle w:val="ListParagraph"/>
        <w:numPr>
          <w:ilvl w:val="0"/>
          <w:numId w:val="13"/>
        </w:numPr>
      </w:pPr>
      <w:r>
        <w:t>We further reaffirmed the importance of promoting greater synergies among the</w:t>
      </w:r>
      <w:r w:rsidR="005D7721">
        <w:t xml:space="preserve"> </w:t>
      </w:r>
      <w:r>
        <w:t>various connectivity initiatives within and beyond the region. We appreciated the</w:t>
      </w:r>
      <w:r w:rsidR="005D7721">
        <w:t xml:space="preserve"> </w:t>
      </w:r>
      <w:r>
        <w:t>support of the non-ASEAN EAS Participating Countries for the implementation of the</w:t>
      </w:r>
      <w:r w:rsidR="005D7721">
        <w:t xml:space="preserve"> </w:t>
      </w:r>
      <w:r>
        <w:t xml:space="preserve">MPAC 2025 and </w:t>
      </w:r>
      <w:proofErr w:type="spellStart"/>
      <w:r>
        <w:t>emphasised</w:t>
      </w:r>
      <w:proofErr w:type="spellEnd"/>
      <w:r>
        <w:t xml:space="preserve"> the need for continued engagement between the</w:t>
      </w:r>
      <w:r w:rsidR="005D7721">
        <w:t xml:space="preserve"> </w:t>
      </w:r>
      <w:r>
        <w:t>ASEAN Connectivity Coordinating Committee (ACCC) and the non-ASEAN EAS</w:t>
      </w:r>
      <w:r w:rsidR="005D7721">
        <w:t xml:space="preserve"> </w:t>
      </w:r>
      <w:r>
        <w:t>Participating Countries through the annual ACCC Consultation with Dialogue Partners</w:t>
      </w:r>
      <w:r w:rsidR="005D7721">
        <w:t xml:space="preserve"> </w:t>
      </w:r>
      <w:r>
        <w:t>and Other External Partners on Connectivity and the annual ASEAN Connectivity</w:t>
      </w:r>
      <w:r w:rsidR="005D7721">
        <w:t xml:space="preserve"> </w:t>
      </w:r>
      <w:r>
        <w:t>Symposium. In this regard, we welcomed the participation of non-ASEAN EAS</w:t>
      </w:r>
      <w:r w:rsidR="005D7721">
        <w:t xml:space="preserve"> </w:t>
      </w:r>
      <w:r>
        <w:t>Participating Countries in the 15th ASEAN Connectivity Symposium held on 19 and 23</w:t>
      </w:r>
      <w:r w:rsidR="005D7721">
        <w:t xml:space="preserve"> </w:t>
      </w:r>
      <w:r>
        <w:t>August 2024, respectively in Lao PDR.</w:t>
      </w:r>
    </w:p>
    <w:p w14:paraId="3CE881E4" w14:textId="77777777" w:rsidR="006C7FCE" w:rsidRDefault="006C7FCE" w:rsidP="000F4B14">
      <w:pPr>
        <w:pStyle w:val="Heading2"/>
      </w:pPr>
      <w:bookmarkStart w:id="10" w:name="_Toc187409792"/>
      <w:r>
        <w:t>Economic Cooperation and Trade</w:t>
      </w:r>
      <w:bookmarkEnd w:id="10"/>
    </w:p>
    <w:p w14:paraId="51B8CBDC" w14:textId="53BA981B" w:rsidR="006C7FCE" w:rsidRDefault="006C7FCE" w:rsidP="005E7D3B">
      <w:pPr>
        <w:pStyle w:val="ListParagraph"/>
        <w:numPr>
          <w:ilvl w:val="0"/>
          <w:numId w:val="13"/>
        </w:numPr>
      </w:pPr>
      <w:r>
        <w:t>We reaffirmed commitment of World Trade Organization (WTO) Members to</w:t>
      </w:r>
      <w:r w:rsidR="005E7D3B">
        <w:t xml:space="preserve"> </w:t>
      </w:r>
      <w:r>
        <w:t>preserving and strengthening the multilateral trading system with the WTO at its core,</w:t>
      </w:r>
      <w:r w:rsidR="005E7D3B">
        <w:t xml:space="preserve"> </w:t>
      </w:r>
      <w:r>
        <w:t>to provide meaningful impetus to respond to current trade challenges, take advantage</w:t>
      </w:r>
      <w:r w:rsidR="005E7D3B">
        <w:t xml:space="preserve"> </w:t>
      </w:r>
      <w:r>
        <w:t>of available opportunities, and work towards necessary reform of the WTO to improve</w:t>
      </w:r>
      <w:r w:rsidR="005E7D3B">
        <w:t xml:space="preserve"> </w:t>
      </w:r>
      <w:r>
        <w:t xml:space="preserve">all its functions, including having a fully and </w:t>
      </w:r>
      <w:r w:rsidR="00D46BE4">
        <w:br/>
      </w:r>
      <w:r>
        <w:t>well-functioning dispute settlement</w:t>
      </w:r>
      <w:r w:rsidR="005E7D3B">
        <w:t xml:space="preserve"> </w:t>
      </w:r>
      <w:r>
        <w:t>system. We welcomed the accession of Timor-Leste to the WTO, which marks its path</w:t>
      </w:r>
      <w:r w:rsidR="005E7D3B">
        <w:t xml:space="preserve"> </w:t>
      </w:r>
      <w:r>
        <w:t xml:space="preserve">to becoming a strategic regional and global partner and a </w:t>
      </w:r>
      <w:proofErr w:type="gramStart"/>
      <w:r>
        <w:t>stepping stone</w:t>
      </w:r>
      <w:proofErr w:type="gramEnd"/>
      <w:r>
        <w:t xml:space="preserve"> to its</w:t>
      </w:r>
      <w:r w:rsidR="005E7D3B">
        <w:t xml:space="preserve"> </w:t>
      </w:r>
      <w:r>
        <w:t>accession to ASEAN.</w:t>
      </w:r>
    </w:p>
    <w:p w14:paraId="1568E453" w14:textId="77777777" w:rsidR="005E7D3B" w:rsidRDefault="005E7D3B" w:rsidP="005E7D3B">
      <w:pPr>
        <w:pStyle w:val="ListParagraph"/>
        <w:ind w:left="360"/>
      </w:pPr>
    </w:p>
    <w:p w14:paraId="2AC4AC04" w14:textId="0456EA58" w:rsidR="006C7FCE" w:rsidRDefault="006C7FCE" w:rsidP="005E7D3B">
      <w:pPr>
        <w:pStyle w:val="ListParagraph"/>
        <w:numPr>
          <w:ilvl w:val="0"/>
          <w:numId w:val="13"/>
        </w:numPr>
      </w:pPr>
      <w:r>
        <w:t>We reiterated the importance of strengthening economic relations among the</w:t>
      </w:r>
      <w:r w:rsidR="005E7D3B">
        <w:t xml:space="preserve"> </w:t>
      </w:r>
      <w:r>
        <w:t>EAS Participating Countries with ASEAN playing a central role. In this regard, we</w:t>
      </w:r>
      <w:r w:rsidR="005E7D3B">
        <w:t xml:space="preserve"> </w:t>
      </w:r>
      <w:r>
        <w:t>reaffirmed our commitment to enhancing economic cooperation among EAS</w:t>
      </w:r>
      <w:r w:rsidR="005E7D3B">
        <w:t xml:space="preserve"> </w:t>
      </w:r>
      <w:r>
        <w:t xml:space="preserve">Participating Countries in the areas of mutual interest, particularly in </w:t>
      </w:r>
      <w:proofErr w:type="spellStart"/>
      <w:r>
        <w:t>digitalisation</w:t>
      </w:r>
      <w:proofErr w:type="spellEnd"/>
      <w:r>
        <w:t>,</w:t>
      </w:r>
      <w:r w:rsidR="005E7D3B">
        <w:t xml:space="preserve"> </w:t>
      </w:r>
      <w:r>
        <w:t>green economy, renewable energy and supply chain resilience and connectivity,</w:t>
      </w:r>
      <w:r w:rsidR="005E7D3B">
        <w:t xml:space="preserve"> </w:t>
      </w:r>
      <w:r>
        <w:t>among others, to ensure regional resilience against future economic shocks and</w:t>
      </w:r>
      <w:r w:rsidR="005E7D3B">
        <w:t xml:space="preserve"> </w:t>
      </w:r>
      <w:r>
        <w:t>narrow the development gaps in the region. We underscored the importance of</w:t>
      </w:r>
      <w:r w:rsidR="005E7D3B">
        <w:t xml:space="preserve"> </w:t>
      </w:r>
      <w:r>
        <w:t>promoting circular economy approaches to unlock future growth in a more sustainable</w:t>
      </w:r>
      <w:r w:rsidR="005E7D3B">
        <w:t xml:space="preserve"> </w:t>
      </w:r>
      <w:r>
        <w:t>way and support transitions to sustainable growth in the region.</w:t>
      </w:r>
    </w:p>
    <w:p w14:paraId="60CD08B5" w14:textId="77777777" w:rsidR="005E7D3B" w:rsidRDefault="005E7D3B" w:rsidP="005E7D3B">
      <w:pPr>
        <w:pStyle w:val="ListParagraph"/>
        <w:ind w:left="360"/>
      </w:pPr>
    </w:p>
    <w:p w14:paraId="099ACA53" w14:textId="22C7A9E2" w:rsidR="006C7FCE" w:rsidRDefault="006C7FCE" w:rsidP="005E7D3B">
      <w:pPr>
        <w:pStyle w:val="ListParagraph"/>
        <w:numPr>
          <w:ilvl w:val="0"/>
          <w:numId w:val="13"/>
        </w:numPr>
      </w:pPr>
      <w:r>
        <w:t>We acknowledged the role and contribution of the Economic Research Institute</w:t>
      </w:r>
      <w:r w:rsidR="005E7D3B">
        <w:t xml:space="preserve"> </w:t>
      </w:r>
      <w:r>
        <w:t>for ASEAN and East Asia (ERIA) in the EAS process, through the research and</w:t>
      </w:r>
      <w:r w:rsidR="005E7D3B">
        <w:t xml:space="preserve"> </w:t>
      </w:r>
      <w:r>
        <w:t>analysis which is provided on issues critical to regional economic integration, including</w:t>
      </w:r>
      <w:r w:rsidR="005E7D3B">
        <w:t xml:space="preserve"> </w:t>
      </w:r>
      <w:r>
        <w:t>digital transformation, climate change, energy transition, among others. We noted, in</w:t>
      </w:r>
      <w:r w:rsidR="005E7D3B">
        <w:t xml:space="preserve"> </w:t>
      </w:r>
      <w:r>
        <w:t>particular, the paper presented by ERIA at the 12th EAS Economic Ministers’ Meeting</w:t>
      </w:r>
      <w:r w:rsidR="005E7D3B">
        <w:t xml:space="preserve"> </w:t>
      </w:r>
      <w:r>
        <w:t>(EAS-EMM), held in Vientiane on 21 September 2024, on Navigating the Path to a</w:t>
      </w:r>
      <w:r w:rsidR="005E7D3B">
        <w:t xml:space="preserve"> </w:t>
      </w:r>
      <w:r>
        <w:t>Net-Zero Economy: Decarbonization and Sustainability Initiatives in East Asia Summit</w:t>
      </w:r>
      <w:r w:rsidR="005E7D3B">
        <w:t xml:space="preserve"> </w:t>
      </w:r>
      <w:r>
        <w:t>(EAS) Countries.</w:t>
      </w:r>
    </w:p>
    <w:p w14:paraId="754AA392" w14:textId="77777777" w:rsidR="00D46BE4" w:rsidRDefault="00D46BE4" w:rsidP="00D46BE4"/>
    <w:p w14:paraId="125081CF" w14:textId="77777777" w:rsidR="006C7FCE" w:rsidRDefault="006C7FCE" w:rsidP="000F4B14">
      <w:pPr>
        <w:pStyle w:val="Heading2"/>
      </w:pPr>
      <w:bookmarkStart w:id="11" w:name="_Toc187409793"/>
      <w:r>
        <w:lastRenderedPageBreak/>
        <w:t>Poverty Alleviation</w:t>
      </w:r>
      <w:bookmarkEnd w:id="11"/>
    </w:p>
    <w:p w14:paraId="19A8700C" w14:textId="5DB85F14" w:rsidR="006C7FCE" w:rsidRDefault="006C7FCE" w:rsidP="005E7D3B">
      <w:pPr>
        <w:pStyle w:val="ListParagraph"/>
        <w:numPr>
          <w:ilvl w:val="0"/>
          <w:numId w:val="13"/>
        </w:numPr>
      </w:pPr>
      <w:r>
        <w:t>We commended the work of the ASEAN Senior Officials’ Meeting on Rural</w:t>
      </w:r>
      <w:r w:rsidR="005E7D3B">
        <w:t xml:space="preserve"> </w:t>
      </w:r>
      <w:r>
        <w:t>Development and Poverty Eradication (SOMRDPE) in advancing cooperation which</w:t>
      </w:r>
      <w:r w:rsidR="005E7D3B">
        <w:t xml:space="preserve"> </w:t>
      </w:r>
      <w:r>
        <w:t>aims to eradicate poverty such as through, among others, the annual convening of the</w:t>
      </w:r>
      <w:r w:rsidR="005E7D3B">
        <w:t xml:space="preserve"> </w:t>
      </w:r>
      <w:r>
        <w:t>ASEAN Public-Private-People Forum on Rural Development and Poverty Eradication.</w:t>
      </w:r>
      <w:r w:rsidR="005E7D3B">
        <w:t xml:space="preserve"> </w:t>
      </w:r>
      <w:r>
        <w:t>The Forum serves as an avenue for dialogue and sharing of information between</w:t>
      </w:r>
      <w:r w:rsidR="005E7D3B">
        <w:t xml:space="preserve"> </w:t>
      </w:r>
      <w:r>
        <w:t>ASEAN and its key stakeholders, including the EAS Participating Countries, towards</w:t>
      </w:r>
      <w:r w:rsidR="005E7D3B">
        <w:t xml:space="preserve"> </w:t>
      </w:r>
      <w:r>
        <w:t>closer relations and cooperation on shared ASEAN rural and poverty eradication</w:t>
      </w:r>
      <w:r w:rsidR="005E7D3B">
        <w:t xml:space="preserve"> </w:t>
      </w:r>
      <w:r>
        <w:t>agenda, such as transforming rural development through the ASEAN Village Network</w:t>
      </w:r>
      <w:r w:rsidR="005E7D3B">
        <w:t xml:space="preserve"> </w:t>
      </w:r>
      <w:r>
        <w:t>(AVN).</w:t>
      </w:r>
    </w:p>
    <w:p w14:paraId="29A96133" w14:textId="77777777" w:rsidR="004A1269" w:rsidRDefault="004A1269" w:rsidP="004A1269">
      <w:pPr>
        <w:pStyle w:val="ListParagraph"/>
        <w:ind w:left="360"/>
      </w:pPr>
    </w:p>
    <w:p w14:paraId="777A5A1D" w14:textId="0A243246" w:rsidR="006C7FCE" w:rsidRDefault="006C7FCE" w:rsidP="004A1269">
      <w:pPr>
        <w:pStyle w:val="ListParagraph"/>
        <w:numPr>
          <w:ilvl w:val="0"/>
          <w:numId w:val="13"/>
        </w:numPr>
      </w:pPr>
      <w:r>
        <w:t>We recognised the importance of advancing social protection agenda in the</w:t>
      </w:r>
      <w:r w:rsidR="00E265D0">
        <w:t xml:space="preserve"> </w:t>
      </w:r>
      <w:r>
        <w:t>EAS and beyond. We recognised further that for social protection to have greater</w:t>
      </w:r>
      <w:r w:rsidR="00E265D0">
        <w:t xml:space="preserve"> </w:t>
      </w:r>
      <w:r>
        <w:t>impact to the lives of the people, it must be adaptive to different risks and vulnerabilities</w:t>
      </w:r>
      <w:r w:rsidR="00E265D0">
        <w:t xml:space="preserve"> </w:t>
      </w:r>
      <w:r>
        <w:t xml:space="preserve">faced by the changes in the economy and </w:t>
      </w:r>
      <w:proofErr w:type="spellStart"/>
      <w:r>
        <w:t>labour</w:t>
      </w:r>
      <w:proofErr w:type="spellEnd"/>
      <w:r>
        <w:t xml:space="preserve"> markets and impacts of climate</w:t>
      </w:r>
      <w:r w:rsidR="00E265D0">
        <w:t xml:space="preserve"> </w:t>
      </w:r>
      <w:r>
        <w:t>change, disaster and economic crises across EAS Participating Countries, with</w:t>
      </w:r>
      <w:r w:rsidR="00E265D0">
        <w:t xml:space="preserve"> </w:t>
      </w:r>
      <w:r>
        <w:t>comprehensive and meaningful involvement of governments, private sectors,</w:t>
      </w:r>
      <w:r w:rsidR="00E265D0">
        <w:t xml:space="preserve"> </w:t>
      </w:r>
      <w:r>
        <w:t>development partners, civil society, and the service providers, as well as community</w:t>
      </w:r>
      <w:r w:rsidR="00E265D0">
        <w:t xml:space="preserve"> </w:t>
      </w:r>
      <w:r>
        <w:t>volunteers.</w:t>
      </w:r>
    </w:p>
    <w:p w14:paraId="04491493" w14:textId="77777777" w:rsidR="004A1269" w:rsidRDefault="004A1269" w:rsidP="004A1269">
      <w:pPr>
        <w:pStyle w:val="ListParagraph"/>
        <w:ind w:left="360"/>
      </w:pPr>
    </w:p>
    <w:p w14:paraId="130923EF" w14:textId="6D76DEAA" w:rsidR="006C7FCE" w:rsidRDefault="006C7FCE" w:rsidP="004A1269">
      <w:pPr>
        <w:pStyle w:val="ListParagraph"/>
        <w:numPr>
          <w:ilvl w:val="0"/>
          <w:numId w:val="13"/>
        </w:numPr>
      </w:pPr>
      <w:r>
        <w:t>We welcomed opportunities for sharing of good practices on strengthening</w:t>
      </w:r>
      <w:r w:rsidR="004A1269">
        <w:t xml:space="preserve"> </w:t>
      </w:r>
      <w:r>
        <w:t>social protection systems, especially those that address the needs of the most</w:t>
      </w:r>
      <w:r w:rsidR="004A1269">
        <w:t xml:space="preserve"> </w:t>
      </w:r>
      <w:r>
        <w:t>vulnerable sectors, in support to the implementation of the ASEAN Declaration on</w:t>
      </w:r>
      <w:r w:rsidR="004A1269">
        <w:t xml:space="preserve"> </w:t>
      </w:r>
      <w:r>
        <w:t>Strengthening Social Protection and its Regional Action Plan and the ASEAN</w:t>
      </w:r>
      <w:r w:rsidR="004A1269">
        <w:t xml:space="preserve"> </w:t>
      </w:r>
      <w:r>
        <w:t>Guidelines on Disaster Responsive Social Protection.</w:t>
      </w:r>
    </w:p>
    <w:p w14:paraId="43939836" w14:textId="77777777" w:rsidR="006C7FCE" w:rsidRDefault="006C7FCE" w:rsidP="000F4B14">
      <w:pPr>
        <w:pStyle w:val="Heading2"/>
      </w:pPr>
      <w:bookmarkStart w:id="12" w:name="_Toc187409794"/>
      <w:r>
        <w:t>Food Security</w:t>
      </w:r>
      <w:bookmarkEnd w:id="12"/>
    </w:p>
    <w:p w14:paraId="77BF2DDB" w14:textId="566F5AFF" w:rsidR="006C7FCE" w:rsidRDefault="006C7FCE" w:rsidP="004A1269">
      <w:pPr>
        <w:pStyle w:val="ListParagraph"/>
        <w:numPr>
          <w:ilvl w:val="0"/>
          <w:numId w:val="13"/>
        </w:numPr>
      </w:pPr>
      <w:r>
        <w:t>We reaffirmed our commitment to implementing the 2013 EAS Declaration on</w:t>
      </w:r>
      <w:r w:rsidR="004A1269">
        <w:t xml:space="preserve"> </w:t>
      </w:r>
      <w:r>
        <w:t>Food Security and stressed the need to further enhance food and nutrition security</w:t>
      </w:r>
      <w:r w:rsidR="004A1269">
        <w:t xml:space="preserve"> </w:t>
      </w:r>
      <w:r>
        <w:t>through the implementation of the new ASEAN Integrated Food Security (AIFS)</w:t>
      </w:r>
      <w:r w:rsidR="004A1269">
        <w:t xml:space="preserve"> </w:t>
      </w:r>
      <w:r>
        <w:t>Framework and the Strategic Plan of Action on Food Security (SPA-FS) 2021-2025.</w:t>
      </w:r>
      <w:r w:rsidR="004A1269">
        <w:t xml:space="preserve"> </w:t>
      </w:r>
      <w:r>
        <w:t>We expressed support to the Development of the ASEAN Action Plan on the</w:t>
      </w:r>
      <w:r w:rsidR="004A1269">
        <w:t xml:space="preserve"> </w:t>
      </w:r>
      <w:r>
        <w:t>implementation of the ASEAN Guidelines on Sustainable Agriculture and the</w:t>
      </w:r>
      <w:r w:rsidR="004A1269">
        <w:t xml:space="preserve"> </w:t>
      </w:r>
      <w:r>
        <w:t>implementation of the ASEAN Leaders’ Declaration on Strengthening Food Security</w:t>
      </w:r>
      <w:r w:rsidR="004A1269">
        <w:t xml:space="preserve"> </w:t>
      </w:r>
      <w:r>
        <w:t>and Nutrition in Response to Crises which was adopted in 2023 to take practical and</w:t>
      </w:r>
      <w:r w:rsidR="004A1269">
        <w:t xml:space="preserve"> </w:t>
      </w:r>
      <w:r>
        <w:t>concrete measures in strengthening local, regional and global food supply chains and</w:t>
      </w:r>
      <w:r w:rsidR="004A1269">
        <w:t xml:space="preserve"> </w:t>
      </w:r>
      <w:r>
        <w:t>logistics systems to ensure regional and global food security and nutrition.</w:t>
      </w:r>
    </w:p>
    <w:p w14:paraId="7C4F187A" w14:textId="77777777" w:rsidR="006C7FCE" w:rsidRDefault="006C7FCE" w:rsidP="00FA675D">
      <w:pPr>
        <w:pStyle w:val="Heading2"/>
      </w:pPr>
      <w:bookmarkStart w:id="13" w:name="_Toc187409795"/>
      <w:r>
        <w:t>Maritime Cooperation</w:t>
      </w:r>
      <w:bookmarkEnd w:id="13"/>
    </w:p>
    <w:p w14:paraId="313E6261" w14:textId="31ACC272" w:rsidR="006C7FCE" w:rsidRDefault="006C7FCE" w:rsidP="004A1269">
      <w:pPr>
        <w:pStyle w:val="ListParagraph"/>
        <w:numPr>
          <w:ilvl w:val="0"/>
          <w:numId w:val="13"/>
        </w:numPr>
      </w:pPr>
      <w:r>
        <w:t>We supported the strengthening of maritime cooperation among the EAS</w:t>
      </w:r>
      <w:r w:rsidR="004A1269">
        <w:t xml:space="preserve"> </w:t>
      </w:r>
      <w:r>
        <w:t>Participating Countries in accordance with international law, including the 1982 United</w:t>
      </w:r>
      <w:r w:rsidR="004A1269">
        <w:t xml:space="preserve"> </w:t>
      </w:r>
      <w:r>
        <w:t>Nations Convention on the Law of the Sea (UNCLOS), the 2015 EAS Statement on</w:t>
      </w:r>
      <w:r w:rsidR="004A1269">
        <w:t xml:space="preserve"> </w:t>
      </w:r>
      <w:r>
        <w:t>Enhancing Regional Maritime Cooperation, and the 2020 EAS Leaders’ Statement on</w:t>
      </w:r>
      <w:r w:rsidR="004A1269">
        <w:t xml:space="preserve"> </w:t>
      </w:r>
      <w:r>
        <w:t>Marine Sustainability, in a collective and comprehensive approach, at the same time</w:t>
      </w:r>
      <w:r w:rsidR="004A1269">
        <w:t xml:space="preserve"> </w:t>
      </w:r>
      <w:proofErr w:type="spellStart"/>
      <w:r>
        <w:t>emphasising</w:t>
      </w:r>
      <w:proofErr w:type="spellEnd"/>
      <w:r>
        <w:t xml:space="preserve"> the need to enhance the EAS’s complementarity with other ASEAN-led</w:t>
      </w:r>
      <w:r w:rsidR="004A1269">
        <w:t xml:space="preserve"> </w:t>
      </w:r>
      <w:r>
        <w:t xml:space="preserve">mechanisms such as the ASEAN Regional Forum (ARF), the ASEAN </w:t>
      </w:r>
      <w:proofErr w:type="spellStart"/>
      <w:r>
        <w:t>Defence</w:t>
      </w:r>
      <w:proofErr w:type="spellEnd"/>
      <w:r w:rsidR="004A1269">
        <w:t xml:space="preserve"> </w:t>
      </w:r>
      <w:r>
        <w:t>Ministers’ Meeting Plus (ADMM-Plus), and the Expanded ASEAN Maritime Forum</w:t>
      </w:r>
      <w:r w:rsidR="004A1269">
        <w:t xml:space="preserve"> </w:t>
      </w:r>
      <w:r>
        <w:t>(EAMF), with a view to avoiding duplication of work and increasing their operational</w:t>
      </w:r>
      <w:r w:rsidR="004A1269">
        <w:t xml:space="preserve"> </w:t>
      </w:r>
      <w:r>
        <w:t>effectiveness.</w:t>
      </w:r>
    </w:p>
    <w:p w14:paraId="5C97CA36" w14:textId="77777777" w:rsidR="005E31D3" w:rsidRDefault="005E31D3" w:rsidP="005E31D3">
      <w:pPr>
        <w:pStyle w:val="ListParagraph"/>
        <w:ind w:left="360"/>
      </w:pPr>
    </w:p>
    <w:p w14:paraId="69F8C283" w14:textId="277487BB" w:rsidR="006C7FCE" w:rsidRDefault="006C7FCE" w:rsidP="005E31D3">
      <w:pPr>
        <w:pStyle w:val="ListParagraph"/>
        <w:numPr>
          <w:ilvl w:val="0"/>
          <w:numId w:val="13"/>
        </w:numPr>
      </w:pPr>
      <w:r>
        <w:t>We recognised the need to maintain and further strengthen stability in the</w:t>
      </w:r>
      <w:r w:rsidR="005E31D3">
        <w:t xml:space="preserve"> </w:t>
      </w:r>
      <w:r>
        <w:t>maritime sphere in our region and underlined the importance of strengthening maritime</w:t>
      </w:r>
      <w:r w:rsidR="005E31D3">
        <w:t xml:space="preserve"> </w:t>
      </w:r>
      <w:r>
        <w:t xml:space="preserve">cooperation and exploring new initiatives towards this end. We </w:t>
      </w:r>
      <w:proofErr w:type="gramStart"/>
      <w:r>
        <w:t>took into account</w:t>
      </w:r>
      <w:proofErr w:type="gramEnd"/>
      <w:r>
        <w:t xml:space="preserve"> the</w:t>
      </w:r>
      <w:r w:rsidR="005E31D3">
        <w:t xml:space="preserve"> </w:t>
      </w:r>
      <w:r>
        <w:t>cross-cutting nature of maritime cooperation, and noted the convening of related</w:t>
      </w:r>
      <w:r w:rsidR="005E31D3">
        <w:t xml:space="preserve"> </w:t>
      </w:r>
      <w:r>
        <w:t>activities such as the ASEAN Indo-Pacific Workshop on Marine Plastic Debris, co-hosted by Indonesia and New Zealand in Bali, 14-15 June 2023 and the EAS</w:t>
      </w:r>
      <w:r w:rsidR="005E31D3">
        <w:t xml:space="preserve"> </w:t>
      </w:r>
      <w:r>
        <w:t>Workshop on Developing Coastal Economy held in Bali, 4-5 August 2023. We also</w:t>
      </w:r>
      <w:r w:rsidR="005E31D3">
        <w:t xml:space="preserve"> </w:t>
      </w:r>
      <w:r>
        <w:t>welcomed the sixth reiteration of the EAS Conference on Maritime Security and</w:t>
      </w:r>
      <w:r w:rsidR="005E31D3">
        <w:t xml:space="preserve"> </w:t>
      </w:r>
      <w:r>
        <w:t xml:space="preserve">Cooperation hosted by India, </w:t>
      </w:r>
      <w:r w:rsidR="002B1131">
        <w:br/>
      </w:r>
      <w:r>
        <w:t>co-</w:t>
      </w:r>
      <w:proofErr w:type="spellStart"/>
      <w:r>
        <w:t>organised</w:t>
      </w:r>
      <w:proofErr w:type="spellEnd"/>
      <w:r>
        <w:t xml:space="preserve"> by Indonesia and Australia, on 4-5 July</w:t>
      </w:r>
      <w:r w:rsidR="005E31D3">
        <w:t xml:space="preserve"> </w:t>
      </w:r>
      <w:r>
        <w:t>2024 in Mumbai, India.</w:t>
      </w:r>
    </w:p>
    <w:p w14:paraId="074B1846" w14:textId="77777777" w:rsidR="006C7FCE" w:rsidRDefault="006C7FCE" w:rsidP="00FA675D">
      <w:pPr>
        <w:pStyle w:val="Heading2"/>
      </w:pPr>
      <w:bookmarkStart w:id="14" w:name="_Toc187409796"/>
      <w:r>
        <w:lastRenderedPageBreak/>
        <w:t>Tourism Cooperation</w:t>
      </w:r>
      <w:bookmarkEnd w:id="14"/>
    </w:p>
    <w:p w14:paraId="268D777F" w14:textId="403EB98A" w:rsidR="006C7FCE" w:rsidRDefault="006C7FCE" w:rsidP="005E31D3">
      <w:pPr>
        <w:pStyle w:val="ListParagraph"/>
        <w:numPr>
          <w:ilvl w:val="0"/>
          <w:numId w:val="13"/>
        </w:numPr>
      </w:pPr>
      <w:r>
        <w:t>As the tourism sector is one of the main contributors to economic growth,</w:t>
      </w:r>
      <w:r w:rsidR="005E31D3">
        <w:t xml:space="preserve"> </w:t>
      </w:r>
      <w:r>
        <w:t>employment, social benefits and livelihoods of local communities, we commended the</w:t>
      </w:r>
      <w:r w:rsidR="005E31D3">
        <w:t xml:space="preserve"> </w:t>
      </w:r>
      <w:r>
        <w:t>relentless efforts by the sector in implementing timely and innovative measures as</w:t>
      </w:r>
      <w:r w:rsidR="005E31D3">
        <w:t xml:space="preserve"> </w:t>
      </w:r>
      <w:r>
        <w:t>guided by the Post-COVID-19 Recovery Plan for ASEAN Tourism and the updated</w:t>
      </w:r>
      <w:r w:rsidR="005E31D3">
        <w:t xml:space="preserve"> </w:t>
      </w:r>
      <w:r>
        <w:t>ASEAN Tourism Strategic Plan (ATSP) 2016-2025. In this regard, we encouraged all</w:t>
      </w:r>
      <w:r w:rsidR="005E31D3">
        <w:t xml:space="preserve"> </w:t>
      </w:r>
      <w:r>
        <w:t>EAS Participating Countries to implement the EAS Leaders’ Statement on Economic</w:t>
      </w:r>
      <w:r w:rsidR="005E31D3">
        <w:t xml:space="preserve"> </w:t>
      </w:r>
      <w:r>
        <w:t xml:space="preserve">Growth through Tourism Recovery which was adopted at the 16th EAS on </w:t>
      </w:r>
      <w:r w:rsidR="002B1131">
        <w:br/>
      </w:r>
      <w:r>
        <w:t>27 October</w:t>
      </w:r>
      <w:r w:rsidR="005E31D3">
        <w:t xml:space="preserve"> </w:t>
      </w:r>
      <w:r>
        <w:t>2021 under the joint leadership of Thailand, Russia and India, through the existing</w:t>
      </w:r>
      <w:r w:rsidR="005E31D3">
        <w:t xml:space="preserve"> </w:t>
      </w:r>
      <w:r>
        <w:t>ASEAN tourism mechanisms with the Plus Ones and the Plus Three countries in line</w:t>
      </w:r>
      <w:r w:rsidR="005E31D3">
        <w:t xml:space="preserve"> </w:t>
      </w:r>
      <w:r>
        <w:t xml:space="preserve">with the </w:t>
      </w:r>
      <w:r w:rsidR="002B1131">
        <w:br/>
      </w:r>
      <w:r>
        <w:t>Post-COVID-19 Recovery Plan for ASEAN Tourism. We also supported the</w:t>
      </w:r>
      <w:r w:rsidR="005E31D3">
        <w:t xml:space="preserve"> </w:t>
      </w:r>
      <w:r>
        <w:t>development of an Action plan to implement the ASEAN Framework on Sustainable</w:t>
      </w:r>
      <w:r w:rsidR="005E31D3">
        <w:t xml:space="preserve"> </w:t>
      </w:r>
      <w:r>
        <w:t>Tourism Development in the post COVID-19 Era. We recognised that the EAS</w:t>
      </w:r>
      <w:r w:rsidR="005E31D3">
        <w:t xml:space="preserve"> </w:t>
      </w:r>
      <w:r>
        <w:t>Participating Countries are in the process of consideration of the proposal regarding</w:t>
      </w:r>
      <w:r w:rsidR="005E31D3">
        <w:t xml:space="preserve"> </w:t>
      </w:r>
      <w:r>
        <w:t>the possibility of holding dialogue on tourism among relevant agencies of the EAS</w:t>
      </w:r>
      <w:r w:rsidR="005E31D3">
        <w:t xml:space="preserve"> </w:t>
      </w:r>
      <w:r>
        <w:t>Participating Countries.</w:t>
      </w:r>
    </w:p>
    <w:p w14:paraId="1C2E1556" w14:textId="77777777" w:rsidR="006C7FCE" w:rsidRDefault="006C7FCE" w:rsidP="006F6A97">
      <w:pPr>
        <w:pStyle w:val="Heading2"/>
      </w:pPr>
      <w:bookmarkStart w:id="15" w:name="_Toc187409797"/>
      <w:r>
        <w:t>Advancement and Empowerment of Women and Youth Participation</w:t>
      </w:r>
      <w:bookmarkEnd w:id="15"/>
    </w:p>
    <w:p w14:paraId="036ACDC3" w14:textId="3042B8A9" w:rsidR="006C7FCE" w:rsidRDefault="006C7FCE" w:rsidP="006F6A97">
      <w:pPr>
        <w:pStyle w:val="ListParagraph"/>
        <w:numPr>
          <w:ilvl w:val="0"/>
          <w:numId w:val="13"/>
        </w:numPr>
      </w:pPr>
      <w:r>
        <w:t>We expressed support for strengthening cooperation towards advancing equal</w:t>
      </w:r>
      <w:r w:rsidR="006F6A97">
        <w:t xml:space="preserve"> </w:t>
      </w:r>
      <w:r>
        <w:t>participation, leadership and empowerment of women and youth in the region,</w:t>
      </w:r>
      <w:r w:rsidR="006F6A97">
        <w:t xml:space="preserve"> </w:t>
      </w:r>
      <w:r>
        <w:t>including through the ambit of the ASEAN Committee on Women (ACW) and the</w:t>
      </w:r>
      <w:r w:rsidR="006F6A97">
        <w:t xml:space="preserve"> </w:t>
      </w:r>
      <w:r>
        <w:t>ASEAN Commission on the Promotion and Protection of the Rights of Women and</w:t>
      </w:r>
      <w:r w:rsidR="006F6A97">
        <w:t xml:space="preserve"> </w:t>
      </w:r>
      <w:r>
        <w:t>Children (ACWC). Numerous regional initiatives to advance gender equality have</w:t>
      </w:r>
      <w:r w:rsidR="006F6A97">
        <w:t xml:space="preserve"> </w:t>
      </w:r>
      <w:r>
        <w:t>been finalised and implemented, involving key stakeholders, including the EAS</w:t>
      </w:r>
      <w:r w:rsidR="006F6A97">
        <w:t xml:space="preserve"> </w:t>
      </w:r>
      <w:r>
        <w:t>Participating Countries.</w:t>
      </w:r>
    </w:p>
    <w:p w14:paraId="6BB79962" w14:textId="77777777" w:rsidR="006F6A97" w:rsidRDefault="006F6A97" w:rsidP="006F6A97">
      <w:pPr>
        <w:pStyle w:val="ListParagraph"/>
        <w:ind w:left="360"/>
      </w:pPr>
    </w:p>
    <w:p w14:paraId="17D1D08A" w14:textId="1DB2B432" w:rsidR="006C7FCE" w:rsidRDefault="006C7FCE" w:rsidP="006F6A97">
      <w:pPr>
        <w:pStyle w:val="ListParagraph"/>
        <w:numPr>
          <w:ilvl w:val="0"/>
          <w:numId w:val="13"/>
        </w:numPr>
      </w:pPr>
      <w:r>
        <w:t xml:space="preserve">We </w:t>
      </w:r>
      <w:proofErr w:type="spellStart"/>
      <w:r>
        <w:t>emphasised</w:t>
      </w:r>
      <w:proofErr w:type="spellEnd"/>
      <w:r>
        <w:t xml:space="preserve"> the importance of promoting regional cooperation in</w:t>
      </w:r>
      <w:r w:rsidR="006F6A97">
        <w:t xml:space="preserve"> </w:t>
      </w:r>
      <w:r>
        <w:t>articulating and advancing women’s economic empowerment and entrepreneurship</w:t>
      </w:r>
      <w:r w:rsidR="006F6A97">
        <w:t xml:space="preserve"> </w:t>
      </w:r>
      <w:r>
        <w:t>as a key driver toward inclusive and sustainable growth in the region. We further</w:t>
      </w:r>
      <w:r w:rsidR="006F6A97">
        <w:t xml:space="preserve"> </w:t>
      </w:r>
      <w:r>
        <w:t>highlighted the indispensable contribution of care work, both paid and unpaid, to</w:t>
      </w:r>
      <w:r w:rsidR="006F6A97">
        <w:t xml:space="preserve"> </w:t>
      </w:r>
      <w:r>
        <w:t>sustainable development, social cohesion, gender equality and women’s</w:t>
      </w:r>
      <w:r w:rsidR="006F6A97">
        <w:t xml:space="preserve"> </w:t>
      </w:r>
      <w:r>
        <w:t>empowerment which is increasingly shaping the cooperation and dialogue between</w:t>
      </w:r>
      <w:r w:rsidR="006F6A97">
        <w:t xml:space="preserve"> </w:t>
      </w:r>
      <w:r>
        <w:t xml:space="preserve">ASEAN and EAS Participating Countries. We also </w:t>
      </w:r>
      <w:proofErr w:type="spellStart"/>
      <w:r>
        <w:t>emphasised</w:t>
      </w:r>
      <w:proofErr w:type="spellEnd"/>
      <w:r>
        <w:t xml:space="preserve"> the importance of</w:t>
      </w:r>
      <w:r w:rsidR="006F6A97">
        <w:t xml:space="preserve"> </w:t>
      </w:r>
      <w:r>
        <w:t>youth economic empowerment and entrepreneurship, including through inclusive and</w:t>
      </w:r>
      <w:r w:rsidR="006F6A97">
        <w:t xml:space="preserve"> </w:t>
      </w:r>
      <w:r>
        <w:t>equitable innovation, trade, business, human capital development, and financial</w:t>
      </w:r>
      <w:r w:rsidR="006F6A97">
        <w:t xml:space="preserve"> </w:t>
      </w:r>
      <w:r>
        <w:t>inclusion.</w:t>
      </w:r>
    </w:p>
    <w:p w14:paraId="4A7F87C4" w14:textId="77777777" w:rsidR="006F6A97" w:rsidRDefault="006F6A97" w:rsidP="006F6A97">
      <w:pPr>
        <w:pStyle w:val="ListParagraph"/>
        <w:ind w:left="360"/>
      </w:pPr>
    </w:p>
    <w:p w14:paraId="22FBCE1C" w14:textId="0AF0948C" w:rsidR="006C7FCE" w:rsidRDefault="006C7FCE" w:rsidP="006F6A97">
      <w:pPr>
        <w:pStyle w:val="ListParagraph"/>
        <w:numPr>
          <w:ilvl w:val="0"/>
          <w:numId w:val="13"/>
        </w:numPr>
      </w:pPr>
      <w:r>
        <w:t>We recognised child online protection as an urgent agenda that affects the</w:t>
      </w:r>
      <w:r w:rsidR="006F6A97">
        <w:t xml:space="preserve"> </w:t>
      </w:r>
      <w:r>
        <w:t>region. We commended the initiative of the Senior Officials Meeting on Social Welfare</w:t>
      </w:r>
      <w:r w:rsidR="006F6A97">
        <w:t xml:space="preserve"> </w:t>
      </w:r>
      <w:r>
        <w:t>and Development (SOMSWD) and the ASEAN Commission on the Promotion and</w:t>
      </w:r>
      <w:r w:rsidR="006F6A97">
        <w:t xml:space="preserve"> </w:t>
      </w:r>
      <w:r>
        <w:t>Protection of the Rights of Women and Children (ACWC) in safeguarding the rights of</w:t>
      </w:r>
      <w:r w:rsidR="006F6A97">
        <w:t xml:space="preserve"> </w:t>
      </w:r>
      <w:r>
        <w:t>children in the digital space through convening the annual ASEAN ICT Forum with</w:t>
      </w:r>
      <w:r w:rsidR="006F6A97">
        <w:t xml:space="preserve"> </w:t>
      </w:r>
      <w:r>
        <w:t>wider participation of the private sector from the IT and Communication industries. We</w:t>
      </w:r>
      <w:r w:rsidR="006F6A97">
        <w:t xml:space="preserve"> </w:t>
      </w:r>
      <w:r>
        <w:t>expressed support in further accelerating the implementation of the ASEAN Regional</w:t>
      </w:r>
      <w:r w:rsidR="006F6A97">
        <w:t xml:space="preserve"> </w:t>
      </w:r>
      <w:r>
        <w:t>Plan of Action for the Protection of the Rights of Children from All Forms of Online</w:t>
      </w:r>
      <w:r w:rsidR="006F6A97">
        <w:t xml:space="preserve"> </w:t>
      </w:r>
      <w:r>
        <w:t>Exploitation and Abuse (ASEAN RPA on COEA) through collaboration on a common</w:t>
      </w:r>
      <w:r w:rsidR="006F6A97">
        <w:t xml:space="preserve"> </w:t>
      </w:r>
      <w:r>
        <w:t>agenda, including knowledge exchange and shared advocacy on child protection</w:t>
      </w:r>
      <w:r w:rsidR="006F6A97">
        <w:t xml:space="preserve"> </w:t>
      </w:r>
      <w:r>
        <w:t>online.</w:t>
      </w:r>
    </w:p>
    <w:p w14:paraId="23E63ADE" w14:textId="77777777" w:rsidR="00811330" w:rsidRDefault="00811330" w:rsidP="00811330">
      <w:pPr>
        <w:pStyle w:val="ListParagraph"/>
        <w:ind w:left="360"/>
      </w:pPr>
    </w:p>
    <w:p w14:paraId="01FC22E4" w14:textId="4160C151" w:rsidR="006C7FCE" w:rsidRDefault="006C7FCE" w:rsidP="00811330">
      <w:pPr>
        <w:pStyle w:val="ListParagraph"/>
        <w:numPr>
          <w:ilvl w:val="0"/>
          <w:numId w:val="13"/>
        </w:numPr>
      </w:pPr>
      <w:r>
        <w:t xml:space="preserve">We expressed concern on child </w:t>
      </w:r>
      <w:proofErr w:type="spellStart"/>
      <w:r>
        <w:t>labour</w:t>
      </w:r>
      <w:proofErr w:type="spellEnd"/>
      <w:r>
        <w:t xml:space="preserve"> across the region and expressed</w:t>
      </w:r>
      <w:r w:rsidR="00811330">
        <w:t xml:space="preserve"> </w:t>
      </w:r>
      <w:r>
        <w:t xml:space="preserve">support to preventing and eliminating the worst forms of child </w:t>
      </w:r>
      <w:proofErr w:type="spellStart"/>
      <w:r>
        <w:t>labour</w:t>
      </w:r>
      <w:proofErr w:type="spellEnd"/>
      <w:r>
        <w:t xml:space="preserve"> guided by the</w:t>
      </w:r>
      <w:r w:rsidR="00811330">
        <w:t xml:space="preserve"> </w:t>
      </w:r>
      <w:r>
        <w:t>ASEAN Roadmap on the Elimination of the Worst Forms of Child Labour by 2025. We</w:t>
      </w:r>
      <w:r w:rsidR="00811330">
        <w:t xml:space="preserve"> </w:t>
      </w:r>
      <w:r>
        <w:t xml:space="preserve">looked forward to the adoption of the </w:t>
      </w:r>
      <w:r w:rsidR="002B1131">
        <w:br/>
      </w:r>
      <w:r>
        <w:t>ASEAN Declaration on the Prevention and</w:t>
      </w:r>
      <w:r w:rsidR="00811330">
        <w:t xml:space="preserve"> </w:t>
      </w:r>
      <w:r>
        <w:t>Elimination of the Worst Forms of Child Labour during the 44th and 45th ASEAN</w:t>
      </w:r>
      <w:r w:rsidR="00811330">
        <w:t xml:space="preserve"> </w:t>
      </w:r>
      <w:r>
        <w:t>Summits spearheaded by the ASEAN Commission on the Promotion and Protection</w:t>
      </w:r>
      <w:r w:rsidR="00811330">
        <w:t xml:space="preserve"> </w:t>
      </w:r>
      <w:r>
        <w:t>of the Rights of Women and Children (ACWC) and the Senior Labour Officials Meeting</w:t>
      </w:r>
      <w:r w:rsidR="00811330">
        <w:t xml:space="preserve"> </w:t>
      </w:r>
      <w:r>
        <w:t>(SLOM).</w:t>
      </w:r>
    </w:p>
    <w:p w14:paraId="5360855E" w14:textId="77777777" w:rsidR="00A7491E" w:rsidRDefault="00A7491E" w:rsidP="00A7491E">
      <w:pPr>
        <w:pStyle w:val="ListParagraph"/>
        <w:ind w:left="360"/>
      </w:pPr>
    </w:p>
    <w:p w14:paraId="68530538" w14:textId="56D20D99" w:rsidR="006C7FCE" w:rsidRDefault="006C7FCE" w:rsidP="00A7491E">
      <w:pPr>
        <w:pStyle w:val="ListParagraph"/>
        <w:numPr>
          <w:ilvl w:val="0"/>
          <w:numId w:val="13"/>
        </w:numPr>
      </w:pPr>
      <w:r>
        <w:lastRenderedPageBreak/>
        <w:t>We expressed a commitment to advancing gender equality and social inclusion</w:t>
      </w:r>
      <w:r w:rsidR="00A7491E">
        <w:t xml:space="preserve"> </w:t>
      </w:r>
      <w:r>
        <w:t xml:space="preserve">through robust joint efforts in </w:t>
      </w:r>
      <w:proofErr w:type="spellStart"/>
      <w:r>
        <w:t>operationalising</w:t>
      </w:r>
      <w:proofErr w:type="spellEnd"/>
      <w:r>
        <w:t xml:space="preserve"> the ASEAN Gender Mainstreaming</w:t>
      </w:r>
      <w:r w:rsidR="00A7491E">
        <w:t xml:space="preserve"> </w:t>
      </w:r>
      <w:r>
        <w:t>Strategic Framework (AGMSF) and the ASEAN Enabling Masterplan 2025:</w:t>
      </w:r>
      <w:r w:rsidR="00A7491E">
        <w:t xml:space="preserve"> </w:t>
      </w:r>
      <w:r>
        <w:t>Mainstreaming the Rights of Persons with Disabilities in the three ASEAN Community</w:t>
      </w:r>
      <w:r w:rsidR="00A7491E">
        <w:t xml:space="preserve"> </w:t>
      </w:r>
      <w:r>
        <w:t>pillars ensuring gender, disability, and social inclusion rights are integral in the ongoing</w:t>
      </w:r>
      <w:r w:rsidR="00A7491E">
        <w:t xml:space="preserve"> </w:t>
      </w:r>
      <w:r>
        <w:t>and future collaborative initiatives among EAS Participating Countries.</w:t>
      </w:r>
    </w:p>
    <w:p w14:paraId="5168A214" w14:textId="50E44F1A" w:rsidR="00A7491E" w:rsidRDefault="00A7491E" w:rsidP="00A7491E">
      <w:pPr>
        <w:pStyle w:val="Heading1"/>
      </w:pPr>
      <w:bookmarkStart w:id="16" w:name="_Toc187409798"/>
      <w:r>
        <w:t>R</w:t>
      </w:r>
      <w:r>
        <w:t>egional and International Issues</w:t>
      </w:r>
      <w:bookmarkEnd w:id="16"/>
    </w:p>
    <w:p w14:paraId="25A79EEF" w14:textId="77777777" w:rsidR="00A7491E" w:rsidRDefault="00A7491E" w:rsidP="00A7491E">
      <w:pPr>
        <w:pStyle w:val="ListParagraph"/>
        <w:numPr>
          <w:ilvl w:val="0"/>
          <w:numId w:val="13"/>
        </w:numPr>
      </w:pPr>
      <w:r>
        <w:t>We expressed concern over the recent developments in the Korean Peninsula</w:t>
      </w:r>
      <w:r>
        <w:t xml:space="preserve"> </w:t>
      </w:r>
      <w:r>
        <w:t>and stressed the importance of continued peaceful dialogue among all concerned</w:t>
      </w:r>
      <w:r>
        <w:t xml:space="preserve"> </w:t>
      </w:r>
      <w:r>
        <w:t xml:space="preserve">parties in order to </w:t>
      </w:r>
      <w:proofErr w:type="spellStart"/>
      <w:r>
        <w:t>realise</w:t>
      </w:r>
      <w:proofErr w:type="spellEnd"/>
      <w:r>
        <w:t xml:space="preserve"> lasting peace and stability in a </w:t>
      </w:r>
      <w:proofErr w:type="spellStart"/>
      <w:r>
        <w:t>denuclearised</w:t>
      </w:r>
      <w:proofErr w:type="spellEnd"/>
      <w:r>
        <w:t xml:space="preserve"> Korean</w:t>
      </w:r>
      <w:r>
        <w:t xml:space="preserve"> </w:t>
      </w:r>
      <w:r>
        <w:t>Peninsula. Some countries expressed grave concern over the recent surge in the</w:t>
      </w:r>
      <w:r>
        <w:t xml:space="preserve"> </w:t>
      </w:r>
      <w:r>
        <w:t>Democratic People’s Republic of Korea’s (DPRK) missile testing and launches and</w:t>
      </w:r>
      <w:r>
        <w:t xml:space="preserve"> </w:t>
      </w:r>
      <w:r>
        <w:t>the increased tension in the Korean Peninsula, which are a worrisome development</w:t>
      </w:r>
      <w:r>
        <w:t xml:space="preserve"> </w:t>
      </w:r>
      <w:r>
        <w:t>that threatens peace and stability in the region. Some countries called on the DPRK</w:t>
      </w:r>
      <w:r>
        <w:t xml:space="preserve"> </w:t>
      </w:r>
      <w:r>
        <w:t>to comply fully with all relevant UNSC resolutions and we called for peaceful dialogue</w:t>
      </w:r>
      <w:r>
        <w:t xml:space="preserve"> </w:t>
      </w:r>
      <w:r>
        <w:t>and consultation among the concerned parties, and continuing working towards the</w:t>
      </w:r>
      <w:r>
        <w:t xml:space="preserve"> </w:t>
      </w:r>
      <w:proofErr w:type="spellStart"/>
      <w:r>
        <w:t>realisation</w:t>
      </w:r>
      <w:proofErr w:type="spellEnd"/>
      <w:r>
        <w:t xml:space="preserve"> of lasting peace, and stability in a </w:t>
      </w:r>
      <w:proofErr w:type="spellStart"/>
      <w:r>
        <w:t>denuclearised</w:t>
      </w:r>
      <w:proofErr w:type="spellEnd"/>
      <w:r>
        <w:t xml:space="preserve"> Korean Peninsula. We</w:t>
      </w:r>
      <w:r>
        <w:t xml:space="preserve"> </w:t>
      </w:r>
      <w:r>
        <w:t>called for the full implementation of all relevant UNSC Resolutions. Some countries</w:t>
      </w:r>
      <w:r>
        <w:t xml:space="preserve"> </w:t>
      </w:r>
      <w:r>
        <w:t>noted international efforts to bring about the complete, verifiable, and irreversible</w:t>
      </w:r>
      <w:r>
        <w:t xml:space="preserve"> </w:t>
      </w:r>
      <w:proofErr w:type="spellStart"/>
      <w:r>
        <w:t>denuclearisation</w:t>
      </w:r>
      <w:proofErr w:type="spellEnd"/>
      <w:r>
        <w:t xml:space="preserve"> of the Korean Peninsula in a peaceful manner. Diplomatic efforts,</w:t>
      </w:r>
      <w:r>
        <w:t xml:space="preserve"> </w:t>
      </w:r>
      <w:r>
        <w:t>including the creation of a conducive environment for peaceful dialogue among all</w:t>
      </w:r>
      <w:r>
        <w:t xml:space="preserve"> </w:t>
      </w:r>
      <w:r>
        <w:t>concerned parties should remain a priority. We reiterated our readiness to play a</w:t>
      </w:r>
      <w:r>
        <w:t xml:space="preserve"> </w:t>
      </w:r>
      <w:r>
        <w:t xml:space="preserve">constructive role, including through </w:t>
      </w:r>
      <w:proofErr w:type="spellStart"/>
      <w:r>
        <w:t>utilising</w:t>
      </w:r>
      <w:proofErr w:type="spellEnd"/>
      <w:r>
        <w:t xml:space="preserve"> ASEAN-led platforms such as the ARF in</w:t>
      </w:r>
      <w:r>
        <w:t xml:space="preserve"> </w:t>
      </w:r>
      <w:r>
        <w:t>promoting a conducive atmosphere for peaceful dialogue amongst the concerned</w:t>
      </w:r>
      <w:r>
        <w:t xml:space="preserve"> </w:t>
      </w:r>
      <w:r>
        <w:t xml:space="preserve">parties. Some countries also </w:t>
      </w:r>
      <w:proofErr w:type="spellStart"/>
      <w:r>
        <w:t>emphasised</w:t>
      </w:r>
      <w:proofErr w:type="spellEnd"/>
      <w:r>
        <w:t xml:space="preserve"> the importance of addressing issues of</w:t>
      </w:r>
      <w:r>
        <w:t xml:space="preserve"> </w:t>
      </w:r>
      <w:r>
        <w:t>humanitarian concerns of the international community, including the immediate</w:t>
      </w:r>
      <w:r>
        <w:t xml:space="preserve"> </w:t>
      </w:r>
      <w:r>
        <w:t xml:space="preserve">resolution of the abductions and </w:t>
      </w:r>
      <w:proofErr w:type="gramStart"/>
      <w:r>
        <w:t>detainees</w:t>
      </w:r>
      <w:proofErr w:type="gramEnd"/>
      <w:r>
        <w:t xml:space="preserve"> issues.</w:t>
      </w:r>
    </w:p>
    <w:p w14:paraId="632C6B26" w14:textId="77777777" w:rsidR="00A7491E" w:rsidRDefault="00A7491E" w:rsidP="00A7491E">
      <w:pPr>
        <w:pStyle w:val="ListParagraph"/>
        <w:ind w:left="360"/>
      </w:pPr>
    </w:p>
    <w:p w14:paraId="2BBE8E56" w14:textId="37E526A1" w:rsidR="00812D8D" w:rsidRDefault="00A7491E" w:rsidP="00A7491E">
      <w:pPr>
        <w:pStyle w:val="ListParagraph"/>
        <w:numPr>
          <w:ilvl w:val="0"/>
          <w:numId w:val="13"/>
        </w:numPr>
      </w:pPr>
      <w:r>
        <w:t>We reaffirmed the importance of maintaining and promoting peace, security,</w:t>
      </w:r>
      <w:r w:rsidR="00D91315">
        <w:t xml:space="preserve"> </w:t>
      </w:r>
      <w:r>
        <w:t>stability, safety, and freedom of navigation in and overflight above the South China</w:t>
      </w:r>
      <w:r w:rsidR="00D91315">
        <w:t xml:space="preserve"> </w:t>
      </w:r>
      <w:r>
        <w:t>Sea and recognised the benefits of having the South China Sea as a sea of peace,</w:t>
      </w:r>
      <w:r w:rsidR="00D91315">
        <w:t xml:space="preserve"> </w:t>
      </w:r>
      <w:r>
        <w:t>stability, and prosperity. We reaffirmed the need to enhance mutual trust and</w:t>
      </w:r>
      <w:r w:rsidR="00D91315">
        <w:t xml:space="preserve"> </w:t>
      </w:r>
      <w:r>
        <w:t>confidence, exercise self-restraint in the conduct of activities that would complicate or</w:t>
      </w:r>
      <w:r w:rsidR="00D91315">
        <w:t xml:space="preserve"> </w:t>
      </w:r>
      <w:r>
        <w:t>escalate disputes and affect peace and stability and avoid actions that may further</w:t>
      </w:r>
      <w:r w:rsidR="00D91315">
        <w:t xml:space="preserve"> </w:t>
      </w:r>
      <w:r>
        <w:t>complicate the situation. We further reaffirmed the need to pursue peaceful resolution</w:t>
      </w:r>
      <w:r w:rsidR="00D91315">
        <w:t xml:space="preserve"> </w:t>
      </w:r>
      <w:r>
        <w:t>of disputes in accordance with the universally recognised principles of international</w:t>
      </w:r>
      <w:r w:rsidR="00D91315">
        <w:t xml:space="preserve"> </w:t>
      </w:r>
      <w:r>
        <w:t xml:space="preserve">law, including the </w:t>
      </w:r>
      <w:r w:rsidR="002B1131">
        <w:br/>
      </w:r>
      <w:r>
        <w:t xml:space="preserve">1982 UNCLOS. We </w:t>
      </w:r>
      <w:proofErr w:type="spellStart"/>
      <w:r>
        <w:t>emphasised</w:t>
      </w:r>
      <w:proofErr w:type="spellEnd"/>
      <w:r>
        <w:t xml:space="preserve"> the importance of self-restraint in</w:t>
      </w:r>
      <w:r w:rsidR="00D91315">
        <w:t xml:space="preserve"> </w:t>
      </w:r>
      <w:r>
        <w:t>the conduct of all activities by claimants and all other states, including those mentioned</w:t>
      </w:r>
      <w:r w:rsidR="00D91315">
        <w:t xml:space="preserve"> </w:t>
      </w:r>
      <w:r>
        <w:t>in the 2002 Declaration on the Conduct of Parties in the South China Sea (DOC) that</w:t>
      </w:r>
      <w:r w:rsidR="00D91315">
        <w:t xml:space="preserve"> </w:t>
      </w:r>
      <w:r>
        <w:t>could further complicate the situation and escalate tensions in the South China Sea.</w:t>
      </w:r>
      <w:r w:rsidR="00D91315">
        <w:t xml:space="preserve"> </w:t>
      </w:r>
      <w:r>
        <w:t>We underscored the importance of the full and effective implementation of the DOC in</w:t>
      </w:r>
      <w:r w:rsidR="00D91315">
        <w:t xml:space="preserve"> </w:t>
      </w:r>
      <w:r>
        <w:t>its entirety and committed to maintaining and promoting an environment conducive to</w:t>
      </w:r>
      <w:r w:rsidR="00D91315">
        <w:t xml:space="preserve"> </w:t>
      </w:r>
      <w:r>
        <w:t>the negotiations of an effective and substantive Code of Conduct in the South China</w:t>
      </w:r>
      <w:r w:rsidR="00D91315">
        <w:t xml:space="preserve"> </w:t>
      </w:r>
      <w:r>
        <w:t>Sea (COC) that is in accordance with International Law, including the 1982 UNCLOS.</w:t>
      </w:r>
    </w:p>
    <w:p w14:paraId="3EEB1E4D" w14:textId="77777777" w:rsidR="00812D8D" w:rsidRDefault="00812D8D" w:rsidP="00812D8D">
      <w:pPr>
        <w:pStyle w:val="ListParagraph"/>
        <w:ind w:left="360"/>
      </w:pPr>
    </w:p>
    <w:p w14:paraId="2A2C4B20" w14:textId="6D07BF09" w:rsidR="00CE18B5" w:rsidRDefault="00A7491E" w:rsidP="00A7491E">
      <w:pPr>
        <w:pStyle w:val="ListParagraph"/>
        <w:numPr>
          <w:ilvl w:val="0"/>
          <w:numId w:val="13"/>
        </w:numPr>
      </w:pPr>
      <w:r>
        <w:t>We discussed the developments in Myanmar and expressed our deep concern</w:t>
      </w:r>
      <w:r w:rsidR="00812D8D">
        <w:t xml:space="preserve"> </w:t>
      </w:r>
      <w:r>
        <w:t>over the escalation of conflicts and humanitarian situation. We reaffirmed our support</w:t>
      </w:r>
      <w:r w:rsidR="00812D8D">
        <w:t xml:space="preserve"> </w:t>
      </w:r>
      <w:r>
        <w:t xml:space="preserve">for the ASEAN Leaders’ </w:t>
      </w:r>
      <w:r w:rsidR="002B1131">
        <w:br/>
      </w:r>
      <w:r>
        <w:t>Five-Point Consensus (5PC), which remains the main</w:t>
      </w:r>
      <w:r w:rsidR="00812D8D">
        <w:t xml:space="preserve"> </w:t>
      </w:r>
      <w:r>
        <w:t>reference to address the political crisis in Myanmar. We also reaffirmed the relevant</w:t>
      </w:r>
      <w:r w:rsidR="00812D8D">
        <w:t xml:space="preserve"> </w:t>
      </w:r>
      <w:r>
        <w:t>decisions in the ASEAN Leaders’ Review and Decision on the implementation of the</w:t>
      </w:r>
      <w:r w:rsidR="00812D8D">
        <w:t xml:space="preserve"> </w:t>
      </w:r>
      <w:r>
        <w:t>Five-Point Consensus. We denounced the continued acts of violence against civilians</w:t>
      </w:r>
      <w:r w:rsidR="00812D8D">
        <w:t xml:space="preserve"> </w:t>
      </w:r>
      <w:r>
        <w:t>and public facilities and called for immediate cessation, and urged all parties involved</w:t>
      </w:r>
      <w:r w:rsidR="00812D8D">
        <w:t xml:space="preserve"> </w:t>
      </w:r>
      <w:r>
        <w:t>to take concrete action to immediately halt indiscriminate violence, denounce any</w:t>
      </w:r>
      <w:r w:rsidR="00812D8D">
        <w:t xml:space="preserve"> </w:t>
      </w:r>
      <w:r>
        <w:t>escalation, exercise utmost restraint, ensure the protection and safety of all civilians</w:t>
      </w:r>
      <w:r w:rsidR="00812D8D">
        <w:t xml:space="preserve"> </w:t>
      </w:r>
      <w:r>
        <w:t>and create a conducive environment for the delivery of humanitarian assistance and</w:t>
      </w:r>
      <w:r w:rsidR="00812D8D">
        <w:t xml:space="preserve"> </w:t>
      </w:r>
      <w:r>
        <w:t>inclusive national dialogue. We appreciated the ASEAN Chair’s efforts and</w:t>
      </w:r>
      <w:r w:rsidR="00812D8D">
        <w:t xml:space="preserve"> </w:t>
      </w:r>
      <w:r>
        <w:t>commended the Special Envoy of the ASEAN Chair on Myanmar, for his efforts to</w:t>
      </w:r>
      <w:r w:rsidR="00812D8D">
        <w:t xml:space="preserve"> </w:t>
      </w:r>
      <w:r>
        <w:t xml:space="preserve">continue reaching out to parties concerned in a sustainable manner </w:t>
      </w:r>
      <w:r>
        <w:lastRenderedPageBreak/>
        <w:t>to help the people</w:t>
      </w:r>
      <w:r w:rsidR="00812D8D">
        <w:t xml:space="preserve"> </w:t>
      </w:r>
      <w:r>
        <w:t>of Myanmar to achieve an inclusive and durable peaceful resolution that is Myanmar-owned and -led for peace, security and stability in the region. In this regard, we</w:t>
      </w:r>
      <w:r w:rsidR="00812D8D">
        <w:t xml:space="preserve"> </w:t>
      </w:r>
      <w:r>
        <w:t>acknowledged the convening of the informal consultation consisting of the current,</w:t>
      </w:r>
      <w:r w:rsidR="00812D8D">
        <w:t xml:space="preserve"> </w:t>
      </w:r>
      <w:r>
        <w:t>previous, and incoming Chairs of ASEAN on the implementation of the 5PC during the</w:t>
      </w:r>
      <w:r w:rsidR="00812D8D">
        <w:t xml:space="preserve"> </w:t>
      </w:r>
      <w:r>
        <w:t>57th AMM/PMCs and Related Meetings. We welcomed the adoption of the ASEAN</w:t>
      </w:r>
      <w:r w:rsidR="00812D8D">
        <w:t xml:space="preserve"> </w:t>
      </w:r>
      <w:r>
        <w:t>Leaders’ Review and Decision on the Implementation of the Five-Point Consensus.</w:t>
      </w:r>
      <w:r w:rsidR="00812D8D">
        <w:t xml:space="preserve"> </w:t>
      </w:r>
      <w:r>
        <w:t>We reaffirmed our commitment to the continued and sustainable strategies and</w:t>
      </w:r>
      <w:r w:rsidR="00812D8D">
        <w:t xml:space="preserve"> </w:t>
      </w:r>
      <w:r>
        <w:t>approaches to help the people of Myanmar find an inclusive and durable peaceful</w:t>
      </w:r>
      <w:r w:rsidR="00812D8D">
        <w:t xml:space="preserve"> </w:t>
      </w:r>
      <w:r>
        <w:t>resolution that is Myanmar-Owned and -Led for peace, security and stability in the</w:t>
      </w:r>
      <w:r w:rsidR="00812D8D">
        <w:t xml:space="preserve"> </w:t>
      </w:r>
      <w:r>
        <w:t>region.</w:t>
      </w:r>
    </w:p>
    <w:p w14:paraId="544559BD" w14:textId="77777777" w:rsidR="00CE18B5" w:rsidRDefault="00CE18B5" w:rsidP="00CE18B5">
      <w:pPr>
        <w:pStyle w:val="ListParagraph"/>
        <w:ind w:left="360"/>
      </w:pPr>
    </w:p>
    <w:p w14:paraId="43DAE364" w14:textId="77777777" w:rsidR="00DB2531" w:rsidRDefault="00A7491E" w:rsidP="00A7491E">
      <w:pPr>
        <w:pStyle w:val="ListParagraph"/>
        <w:numPr>
          <w:ilvl w:val="0"/>
          <w:numId w:val="13"/>
        </w:numPr>
      </w:pPr>
      <w:r>
        <w:t>With regard to Ukraine, as for all nations, we continued to reaffirm our respect</w:t>
      </w:r>
      <w:r w:rsidR="00CE18B5">
        <w:t xml:space="preserve"> </w:t>
      </w:r>
      <w:r>
        <w:t>for sovereignty, political independence, and territorial integrity. We reiterated our call</w:t>
      </w:r>
      <w:r w:rsidR="00CE18B5">
        <w:t xml:space="preserve"> </w:t>
      </w:r>
      <w:r>
        <w:t>for compliance with the UN Charter and international law. We underlined the</w:t>
      </w:r>
      <w:r w:rsidR="00CE18B5">
        <w:t xml:space="preserve"> </w:t>
      </w:r>
      <w:r>
        <w:t>importance of reaching a just and lasting peace based on the purposes and principles</w:t>
      </w:r>
      <w:r w:rsidR="00CE18B5">
        <w:t xml:space="preserve"> </w:t>
      </w:r>
      <w:r>
        <w:t>of the UN Charter in all their entirety and an immediate cessation of hostilities and the</w:t>
      </w:r>
      <w:r w:rsidR="00CE18B5">
        <w:t xml:space="preserve"> </w:t>
      </w:r>
      <w:r>
        <w:t>creation of enabling environment for peaceful resolution. We underlined the</w:t>
      </w:r>
      <w:r w:rsidR="00CE18B5">
        <w:t xml:space="preserve"> </w:t>
      </w:r>
      <w:r>
        <w:t>importance of an immediate cessation of hostilities and the serious engagement in a</w:t>
      </w:r>
      <w:r w:rsidR="00CE18B5">
        <w:t xml:space="preserve"> </w:t>
      </w:r>
      <w:r>
        <w:t>genuine dialogue for the peaceful resolution of the conflict. We supported the efforts</w:t>
      </w:r>
      <w:r w:rsidR="00CE18B5">
        <w:t xml:space="preserve"> </w:t>
      </w:r>
      <w:r>
        <w:t>of the UN Secretary-General in the search for peaceful solution. We also called for the</w:t>
      </w:r>
      <w:r w:rsidR="00CE18B5">
        <w:t xml:space="preserve"> </w:t>
      </w:r>
      <w:r>
        <w:t>facilitation of rapid, safe and unhindered access to humanitarian assistance for those</w:t>
      </w:r>
      <w:r w:rsidR="00CE18B5">
        <w:t xml:space="preserve"> </w:t>
      </w:r>
      <w:r>
        <w:t>in need in Ukraine, and for the protection of civilians, humanitarian personnel, and</w:t>
      </w:r>
      <w:r w:rsidR="00CE18B5">
        <w:t xml:space="preserve"> </w:t>
      </w:r>
      <w:r>
        <w:t>persons in vulnerable situations.</w:t>
      </w:r>
    </w:p>
    <w:p w14:paraId="537E3B42" w14:textId="77777777" w:rsidR="00DB2531" w:rsidRDefault="00DB2531" w:rsidP="00DB2531">
      <w:pPr>
        <w:pStyle w:val="ListParagraph"/>
        <w:ind w:left="360"/>
      </w:pPr>
    </w:p>
    <w:p w14:paraId="72C68B1F" w14:textId="0FFE1F79" w:rsidR="00A7491E" w:rsidRDefault="00A7491E" w:rsidP="00A7491E">
      <w:pPr>
        <w:pStyle w:val="ListParagraph"/>
        <w:numPr>
          <w:ilvl w:val="0"/>
          <w:numId w:val="13"/>
        </w:numPr>
      </w:pPr>
      <w:r>
        <w:t>We expressed grave concern over the dire humanitarian situation in Gaza,</w:t>
      </w:r>
      <w:r w:rsidR="00DB2531">
        <w:t xml:space="preserve"> </w:t>
      </w:r>
      <w:r>
        <w:t>which has been exacerbated following the 7 October attacks. We condemned all</w:t>
      </w:r>
      <w:r w:rsidR="00DB2531">
        <w:t xml:space="preserve"> </w:t>
      </w:r>
      <w:r>
        <w:t>attacks against civilians and civilian infrastructure, which have resulted in the alarming</w:t>
      </w:r>
      <w:r w:rsidR="00DB2531">
        <w:t xml:space="preserve"> </w:t>
      </w:r>
      <w:r>
        <w:t>number of casualties, particularly women and children, the restricted access to food,</w:t>
      </w:r>
      <w:r w:rsidR="00DB2531">
        <w:t xml:space="preserve"> </w:t>
      </w:r>
      <w:r>
        <w:t>water, and other basic needs, leading to the further deterioration of the humanitarian</w:t>
      </w:r>
      <w:r w:rsidR="00DB2531">
        <w:t xml:space="preserve"> </w:t>
      </w:r>
      <w:r>
        <w:t>crisis in Gaza. We urged all relevant parties to accept the ceasefire proposal as</w:t>
      </w:r>
      <w:r w:rsidR="00DB2531">
        <w:t xml:space="preserve"> </w:t>
      </w:r>
      <w:r>
        <w:t>outlined in paragraph 2 of UN Security Council Resolution 2735. We called for the</w:t>
      </w:r>
      <w:r w:rsidR="00DB2531">
        <w:t xml:space="preserve"> </w:t>
      </w:r>
      <w:r>
        <w:t>immediate and unconditional release of all hostages, especially 23 ASEAN nationals,</w:t>
      </w:r>
      <w:r w:rsidR="00DB2531">
        <w:t xml:space="preserve"> </w:t>
      </w:r>
      <w:r>
        <w:t>women, children, the sick and the elderly. We underscored the importance of release</w:t>
      </w:r>
      <w:r w:rsidR="00DB2531">
        <w:t xml:space="preserve"> </w:t>
      </w:r>
      <w:r>
        <w:t>from any arbitrary detention. We commended the efforts of various ASEAN Member</w:t>
      </w:r>
      <w:r w:rsidR="00DB2531">
        <w:t xml:space="preserve"> </w:t>
      </w:r>
      <w:r>
        <w:t>States in providing humanitarian assistance to Gaza, and urged all ASEAN Member</w:t>
      </w:r>
      <w:r w:rsidR="00DB2531">
        <w:t xml:space="preserve"> </w:t>
      </w:r>
      <w:r>
        <w:t>States and our external partners to continue providing and facilitating such assistance</w:t>
      </w:r>
      <w:r w:rsidR="00DB2531">
        <w:t xml:space="preserve"> </w:t>
      </w:r>
      <w:r>
        <w:t>for Gaza. We supported work of United Nations agencies on the ground and the UN</w:t>
      </w:r>
      <w:r w:rsidR="00DB2531">
        <w:t xml:space="preserve"> </w:t>
      </w:r>
      <w:r>
        <w:t>Senior Humanitarian and Reconstruction Coordinator for Gaza to discharge her task</w:t>
      </w:r>
      <w:r w:rsidR="00DB2531">
        <w:t xml:space="preserve"> </w:t>
      </w:r>
      <w:r>
        <w:t>effectively and efficiently, and to begin the work on post-conflict reconstruction. We</w:t>
      </w:r>
      <w:r w:rsidR="00DB2531">
        <w:t xml:space="preserve"> </w:t>
      </w:r>
      <w:r>
        <w:t>called for rapid, safe, unimpeded and sustained humanitarian access to all those in</w:t>
      </w:r>
      <w:r w:rsidR="00DB2531">
        <w:t xml:space="preserve"> </w:t>
      </w:r>
      <w:r>
        <w:t>need, including through increased capacity at border crossings, including by sea. We</w:t>
      </w:r>
      <w:r w:rsidR="00DB2531">
        <w:t xml:space="preserve"> </w:t>
      </w:r>
      <w:r>
        <w:t>called on all parties to the conflict to protect civilians and to abide by international</w:t>
      </w:r>
      <w:r w:rsidR="00DB2531">
        <w:t xml:space="preserve"> </w:t>
      </w:r>
      <w:r>
        <w:t>humanitarian law and international human rights law. We urged all parties concerned</w:t>
      </w:r>
      <w:r w:rsidR="00DB2531">
        <w:t xml:space="preserve"> </w:t>
      </w:r>
      <w:r>
        <w:t xml:space="preserve">to work towards a peaceful resolution to the conflict with a view to </w:t>
      </w:r>
      <w:proofErr w:type="spellStart"/>
      <w:r>
        <w:t>realising</w:t>
      </w:r>
      <w:proofErr w:type="spellEnd"/>
      <w:r>
        <w:t xml:space="preserve"> the two-State solution in accordance with international law and the relevant UNSC and UNGA</w:t>
      </w:r>
      <w:r w:rsidR="00DB2531">
        <w:t xml:space="preserve"> </w:t>
      </w:r>
      <w:r>
        <w:t>resolutions, including UNGA resolution A/RES/ES-10/23 on the Admission of New</w:t>
      </w:r>
      <w:r w:rsidR="00DB2531">
        <w:t xml:space="preserve"> </w:t>
      </w:r>
      <w:r>
        <w:t>Members to the UN dated 10 May 2024 which we all voted in favour. We took note,</w:t>
      </w:r>
      <w:r w:rsidR="00DB2531">
        <w:t xml:space="preserve"> </w:t>
      </w:r>
      <w:r>
        <w:t>and some of us underlined the importance of, the order on provisional measures</w:t>
      </w:r>
      <w:r w:rsidR="00DB2531">
        <w:t xml:space="preserve"> </w:t>
      </w:r>
      <w:r>
        <w:t>issued by the International Court of Justice (ICJ) on 26 January 2024. We</w:t>
      </w:r>
      <w:r w:rsidR="00DB2531">
        <w:t xml:space="preserve"> </w:t>
      </w:r>
      <w:r>
        <w:t>acknowledged the Advisory Opinion of the ICJ on 19 July 2024, which is of the opinion,</w:t>
      </w:r>
      <w:r w:rsidR="00DB2531">
        <w:t xml:space="preserve"> </w:t>
      </w:r>
      <w:r>
        <w:t>among others, that the United Nations, and especially the General Assembly, which</w:t>
      </w:r>
      <w:r w:rsidR="00DB2531">
        <w:t xml:space="preserve"> </w:t>
      </w:r>
      <w:r>
        <w:t>requested this opinion, and the Security Council, should consider the precise</w:t>
      </w:r>
      <w:r w:rsidR="00DB2531">
        <w:t xml:space="preserve"> </w:t>
      </w:r>
      <w:r>
        <w:t xml:space="preserve">modalities and further action required to </w:t>
      </w:r>
      <w:proofErr w:type="gramStart"/>
      <w:r>
        <w:t>bring to an end</w:t>
      </w:r>
      <w:proofErr w:type="gramEnd"/>
      <w:r>
        <w:t xml:space="preserve"> as rapidly as possible the</w:t>
      </w:r>
      <w:r w:rsidR="00DB2531">
        <w:t xml:space="preserve"> </w:t>
      </w:r>
      <w:r>
        <w:t>unlawful presence of the State of Israel in the Occupied Palestinian Territory. We</w:t>
      </w:r>
      <w:r w:rsidR="00DB2531">
        <w:t xml:space="preserve"> </w:t>
      </w:r>
      <w:r>
        <w:t>expressed great concern over the escalation of tension in the Middle East and called</w:t>
      </w:r>
      <w:r w:rsidR="00DB2531">
        <w:t xml:space="preserve"> </w:t>
      </w:r>
      <w:r>
        <w:t>on all parties concerned to exercise self-restraint, avoid acts that may aggravate the</w:t>
      </w:r>
      <w:r w:rsidR="00DB2531">
        <w:t xml:space="preserve"> </w:t>
      </w:r>
      <w:r>
        <w:t>situation, and resolve differences through diplomacy and dialogue in the interest of</w:t>
      </w:r>
      <w:r w:rsidR="00DB2531">
        <w:t xml:space="preserve"> </w:t>
      </w:r>
      <w:r>
        <w:t>maintaining peace and stability in the region.</w:t>
      </w:r>
    </w:p>
    <w:p w14:paraId="45D408D1" w14:textId="77777777" w:rsidR="00A7491E" w:rsidRDefault="00A7491E" w:rsidP="00DB2531">
      <w:pPr>
        <w:pStyle w:val="Heading1"/>
      </w:pPr>
      <w:bookmarkStart w:id="17" w:name="_Toc187409799"/>
      <w:r>
        <w:lastRenderedPageBreak/>
        <w:t>Other matters</w:t>
      </w:r>
      <w:bookmarkEnd w:id="17"/>
    </w:p>
    <w:p w14:paraId="159C8B78" w14:textId="5DCDAD7E" w:rsidR="00A7491E" w:rsidRPr="006C7FCE" w:rsidRDefault="00A7491E" w:rsidP="00DB2531">
      <w:pPr>
        <w:pStyle w:val="ListParagraph"/>
        <w:numPr>
          <w:ilvl w:val="0"/>
          <w:numId w:val="13"/>
        </w:numPr>
      </w:pPr>
      <w:r>
        <w:t>We look forward to the convening of the 20th East Asia Summit in Malaysia in</w:t>
      </w:r>
      <w:r w:rsidR="00DB2531">
        <w:t xml:space="preserve"> </w:t>
      </w:r>
      <w:r>
        <w:t>2025.</w:t>
      </w:r>
    </w:p>
    <w:sectPr w:rsidR="00A7491E" w:rsidRPr="006C7FCE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37062" w14:textId="77777777" w:rsidR="00DE0050" w:rsidRDefault="00DE0050" w:rsidP="00F61B4F">
      <w:pPr>
        <w:spacing w:before="0" w:after="0" w:line="240" w:lineRule="auto"/>
      </w:pPr>
      <w:r>
        <w:separator/>
      </w:r>
    </w:p>
  </w:endnote>
  <w:endnote w:type="continuationSeparator" w:id="0">
    <w:p w14:paraId="5E438223" w14:textId="77777777" w:rsidR="00DE0050" w:rsidRDefault="00DE0050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AD053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50A6AE6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7D850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2012319B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331E0" w14:textId="77777777" w:rsidR="00DE0050" w:rsidRDefault="00DE0050" w:rsidP="00F61B4F">
      <w:pPr>
        <w:spacing w:before="0" w:after="0" w:line="240" w:lineRule="auto"/>
      </w:pPr>
      <w:r>
        <w:separator/>
      </w:r>
    </w:p>
  </w:footnote>
  <w:footnote w:type="continuationSeparator" w:id="0">
    <w:p w14:paraId="428AFAB2" w14:textId="77777777" w:rsidR="00DE0050" w:rsidRDefault="00DE0050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95D2B" w14:textId="65FD55E3" w:rsidR="00B532E2" w:rsidRPr="00CD6026" w:rsidRDefault="005711BF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>
      <w:rPr>
        <w:rFonts w:cs="Arial"/>
        <w:caps/>
        <w:color w:val="808080"/>
        <w:sz w:val="16"/>
        <w:szCs w:val="16"/>
      </w:rPr>
      <w:t xml:space="preserve">2024 </w:t>
    </w:r>
    <w:r w:rsidRPr="005711BF">
      <w:rPr>
        <w:rFonts w:cs="Arial"/>
        <w:caps/>
        <w:color w:val="808080"/>
        <w:sz w:val="16"/>
        <w:szCs w:val="16"/>
      </w:rPr>
      <w:t xml:space="preserve">CHAIRMAN’S STATEMENT OF THE 19TH </w:t>
    </w:r>
    <w:r>
      <w:rPr>
        <w:rFonts w:cs="Arial"/>
        <w:caps/>
        <w:color w:val="808080"/>
        <w:sz w:val="16"/>
        <w:szCs w:val="16"/>
      </w:rPr>
      <w:t>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A0287"/>
    <w:multiLevelType w:val="hybridMultilevel"/>
    <w:tmpl w:val="55C02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125"/>
    <w:multiLevelType w:val="hybridMultilevel"/>
    <w:tmpl w:val="087CF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65236"/>
    <w:multiLevelType w:val="hybridMultilevel"/>
    <w:tmpl w:val="75D84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D42FF"/>
    <w:multiLevelType w:val="hybridMultilevel"/>
    <w:tmpl w:val="DD9E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37C55"/>
    <w:multiLevelType w:val="hybridMultilevel"/>
    <w:tmpl w:val="12EC4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4B4F"/>
    <w:multiLevelType w:val="hybridMultilevel"/>
    <w:tmpl w:val="91EEB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7A34"/>
    <w:multiLevelType w:val="hybridMultilevel"/>
    <w:tmpl w:val="C3507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905B1"/>
    <w:multiLevelType w:val="hybridMultilevel"/>
    <w:tmpl w:val="236E7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90DDA"/>
    <w:multiLevelType w:val="hybridMultilevel"/>
    <w:tmpl w:val="37088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25CC8"/>
    <w:multiLevelType w:val="hybridMultilevel"/>
    <w:tmpl w:val="65C47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A2D29"/>
    <w:multiLevelType w:val="hybridMultilevel"/>
    <w:tmpl w:val="82C67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22A99"/>
    <w:multiLevelType w:val="hybridMultilevel"/>
    <w:tmpl w:val="5AA86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9C27FF"/>
    <w:multiLevelType w:val="hybridMultilevel"/>
    <w:tmpl w:val="15640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E1397"/>
    <w:multiLevelType w:val="hybridMultilevel"/>
    <w:tmpl w:val="6ADAB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08217">
    <w:abstractNumId w:val="15"/>
  </w:num>
  <w:num w:numId="2" w16cid:durableId="875511078">
    <w:abstractNumId w:val="12"/>
  </w:num>
  <w:num w:numId="3" w16cid:durableId="646128590">
    <w:abstractNumId w:val="9"/>
  </w:num>
  <w:num w:numId="4" w16cid:durableId="965545355">
    <w:abstractNumId w:val="7"/>
  </w:num>
  <w:num w:numId="5" w16cid:durableId="1853914404">
    <w:abstractNumId w:val="6"/>
  </w:num>
  <w:num w:numId="6" w16cid:durableId="2058164572">
    <w:abstractNumId w:val="5"/>
  </w:num>
  <w:num w:numId="7" w16cid:durableId="667172534">
    <w:abstractNumId w:val="4"/>
  </w:num>
  <w:num w:numId="8" w16cid:durableId="1391492676">
    <w:abstractNumId w:val="8"/>
  </w:num>
  <w:num w:numId="9" w16cid:durableId="112212609">
    <w:abstractNumId w:val="3"/>
  </w:num>
  <w:num w:numId="10" w16cid:durableId="113721865">
    <w:abstractNumId w:val="2"/>
  </w:num>
  <w:num w:numId="11" w16cid:durableId="1099452706">
    <w:abstractNumId w:val="1"/>
  </w:num>
  <w:num w:numId="12" w16cid:durableId="1033845435">
    <w:abstractNumId w:val="0"/>
  </w:num>
  <w:num w:numId="13" w16cid:durableId="141969655">
    <w:abstractNumId w:val="23"/>
  </w:num>
  <w:num w:numId="14" w16cid:durableId="201594860">
    <w:abstractNumId w:val="21"/>
  </w:num>
  <w:num w:numId="15" w16cid:durableId="1022130353">
    <w:abstractNumId w:val="25"/>
  </w:num>
  <w:num w:numId="16" w16cid:durableId="649865519">
    <w:abstractNumId w:val="11"/>
  </w:num>
  <w:num w:numId="17" w16cid:durableId="209269905">
    <w:abstractNumId w:val="19"/>
  </w:num>
  <w:num w:numId="18" w16cid:durableId="668368879">
    <w:abstractNumId w:val="14"/>
  </w:num>
  <w:num w:numId="19" w16cid:durableId="789007108">
    <w:abstractNumId w:val="10"/>
  </w:num>
  <w:num w:numId="20" w16cid:durableId="1606385344">
    <w:abstractNumId w:val="16"/>
  </w:num>
  <w:num w:numId="21" w16cid:durableId="490024731">
    <w:abstractNumId w:val="17"/>
  </w:num>
  <w:num w:numId="22" w16cid:durableId="772870273">
    <w:abstractNumId w:val="18"/>
  </w:num>
  <w:num w:numId="23" w16cid:durableId="65685177">
    <w:abstractNumId w:val="20"/>
  </w:num>
  <w:num w:numId="24" w16cid:durableId="1686244441">
    <w:abstractNumId w:val="22"/>
  </w:num>
  <w:num w:numId="25" w16cid:durableId="115947291">
    <w:abstractNumId w:val="13"/>
  </w:num>
  <w:num w:numId="26" w16cid:durableId="1338387124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BF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0F4B14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1196"/>
    <w:rsid w:val="00153722"/>
    <w:rsid w:val="00155142"/>
    <w:rsid w:val="0015683A"/>
    <w:rsid w:val="001648EA"/>
    <w:rsid w:val="001669E3"/>
    <w:rsid w:val="001708B0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A7604"/>
    <w:rsid w:val="001B572F"/>
    <w:rsid w:val="001C50F5"/>
    <w:rsid w:val="001C7B98"/>
    <w:rsid w:val="001D116B"/>
    <w:rsid w:val="001D275E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5C5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1131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0C75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269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E6DA0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DBC"/>
    <w:rsid w:val="00564EBA"/>
    <w:rsid w:val="00565B5D"/>
    <w:rsid w:val="005701D2"/>
    <w:rsid w:val="005706A6"/>
    <w:rsid w:val="005711BF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D7721"/>
    <w:rsid w:val="005E0D13"/>
    <w:rsid w:val="005E264A"/>
    <w:rsid w:val="005E2E8D"/>
    <w:rsid w:val="005E31D3"/>
    <w:rsid w:val="005E6807"/>
    <w:rsid w:val="005E7D3B"/>
    <w:rsid w:val="005F25E1"/>
    <w:rsid w:val="005F5EB7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35A05"/>
    <w:rsid w:val="0064082A"/>
    <w:rsid w:val="00642035"/>
    <w:rsid w:val="0064206B"/>
    <w:rsid w:val="00646905"/>
    <w:rsid w:val="006477C3"/>
    <w:rsid w:val="006633EA"/>
    <w:rsid w:val="00665DD3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C7FCE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6F6A97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20E5"/>
    <w:rsid w:val="007951DD"/>
    <w:rsid w:val="007A006E"/>
    <w:rsid w:val="007A472F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24E8"/>
    <w:rsid w:val="007E4920"/>
    <w:rsid w:val="007E7C82"/>
    <w:rsid w:val="007F1538"/>
    <w:rsid w:val="007F2FCB"/>
    <w:rsid w:val="007F5026"/>
    <w:rsid w:val="00800179"/>
    <w:rsid w:val="008016D1"/>
    <w:rsid w:val="00803BE9"/>
    <w:rsid w:val="00811330"/>
    <w:rsid w:val="00812B21"/>
    <w:rsid w:val="00812D8D"/>
    <w:rsid w:val="00814493"/>
    <w:rsid w:val="008171B7"/>
    <w:rsid w:val="00820709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53417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491E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1CDF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198F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0A5A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212"/>
    <w:rsid w:val="00CC535D"/>
    <w:rsid w:val="00CC7B93"/>
    <w:rsid w:val="00CD2BE4"/>
    <w:rsid w:val="00CD5CC1"/>
    <w:rsid w:val="00CD6026"/>
    <w:rsid w:val="00CD6EC7"/>
    <w:rsid w:val="00CE087B"/>
    <w:rsid w:val="00CE18B5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728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6BE4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315"/>
    <w:rsid w:val="00D91710"/>
    <w:rsid w:val="00D92975"/>
    <w:rsid w:val="00DA4CF4"/>
    <w:rsid w:val="00DB2531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0050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65D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675D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CB917"/>
  <w15:docId w15:val="{D977C597-1940-324F-915F-673A510B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120" w:after="0"/>
      <w:ind w:left="200"/>
      <w:jc w:val="left"/>
      <w:outlineLvl w:val="9"/>
    </w:pPr>
    <w:rPr>
      <w:rFonts w:asciiTheme="minorHAnsi" w:hAnsiTheme="minorHAnsi" w:cstheme="minorHAnsi"/>
      <w:caps w:val="0"/>
      <w:sz w:val="22"/>
      <w:szCs w:val="22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0" w:after="0"/>
      <w:ind w:left="400"/>
      <w:jc w:val="left"/>
      <w:outlineLvl w:val="9"/>
    </w:pPr>
    <w:rPr>
      <w:rFonts w:asciiTheme="minorHAnsi" w:hAnsiTheme="minorHAnsi" w:cstheme="minorHAnsi"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/>
      <w:ind w:left="1600"/>
      <w:jc w:val="left"/>
    </w:pPr>
    <w:rPr>
      <w:rFonts w:asciiTheme="minorHAnsi" w:hAnsiTheme="minorHAnsi" w:cstheme="minorHAnsi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17</TotalTime>
  <Pages>12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39141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39</cp:revision>
  <cp:lastPrinted>2019-01-29T09:08:00Z</cp:lastPrinted>
  <dcterms:created xsi:type="dcterms:W3CDTF">2025-01-10T05:36:00Z</dcterms:created>
  <dcterms:modified xsi:type="dcterms:W3CDTF">2025-01-10T05:58:00Z</dcterms:modified>
</cp:coreProperties>
</file>