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93A72" w14:textId="77777777" w:rsidR="00C9231D" w:rsidRDefault="00C9231D" w:rsidP="00C9231D">
      <w:pPr>
        <w:pStyle w:val="CILTitle"/>
      </w:pPr>
      <w:r>
        <w:t xml:space="preserve">2024 JOINT MEDIA STATEMENT OF THE </w:t>
      </w:r>
      <w:r>
        <w:br/>
      </w:r>
      <w:r w:rsidRPr="005B76CB">
        <w:t>56</w:t>
      </w:r>
      <w:r>
        <w:t>TH</w:t>
      </w:r>
      <w:r w:rsidRPr="005B76CB">
        <w:t xml:space="preserve"> ASEAN ECONOMIC MINISTERS’ MEETING</w:t>
      </w:r>
    </w:p>
    <w:p w14:paraId="0613FA24" w14:textId="77777777" w:rsidR="00C9231D" w:rsidRDefault="00C9231D" w:rsidP="00C9231D">
      <w:pPr>
        <w:pStyle w:val="CILSubtitle"/>
      </w:pPr>
      <w:r>
        <w:t>Issued in Vientiane, Lao PDR on 17 September 2024</w:t>
      </w:r>
    </w:p>
    <w:sdt>
      <w:sdtPr>
        <w:id w:val="340282516"/>
        <w:docPartObj>
          <w:docPartGallery w:val="Table of Contents"/>
          <w:docPartUnique/>
        </w:docPartObj>
      </w:sdtPr>
      <w:sdtEndPr>
        <w:rPr>
          <w:rFonts w:ascii="Arial" w:eastAsia="Calibri" w:hAnsi="Arial"/>
          <w:noProof/>
          <w:color w:val="auto"/>
          <w:sz w:val="20"/>
          <w:szCs w:val="20"/>
        </w:rPr>
      </w:sdtEndPr>
      <w:sdtContent>
        <w:p w14:paraId="3B1FD0FD" w14:textId="089529EE" w:rsidR="00C9231D" w:rsidRPr="003F50EA" w:rsidRDefault="00C9231D">
          <w:pPr>
            <w:pStyle w:val="TOCHeading"/>
            <w:rPr>
              <w:rFonts w:ascii="Arial" w:hAnsi="Arial" w:cs="Arial"/>
              <w:sz w:val="20"/>
              <w:szCs w:val="20"/>
            </w:rPr>
          </w:pPr>
        </w:p>
        <w:p w14:paraId="0850B17A" w14:textId="1AB27734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r w:rsidRPr="003F50EA">
            <w:rPr>
              <w:rFonts w:ascii="Arial" w:hAnsi="Arial" w:cs="Arial"/>
              <w:b w:val="0"/>
              <w:bCs w:val="0"/>
              <w:sz w:val="20"/>
              <w:szCs w:val="20"/>
            </w:rPr>
            <w:fldChar w:fldCharType="begin"/>
          </w:r>
          <w:r w:rsidRPr="003F50EA">
            <w:rPr>
              <w:rFonts w:ascii="Arial" w:hAnsi="Arial" w:cs="Arial"/>
              <w:b w:val="0"/>
              <w:bCs w:val="0"/>
              <w:sz w:val="20"/>
              <w:szCs w:val="20"/>
            </w:rPr>
            <w:instrText xml:space="preserve"> TOC \o "1-3" \h \z \u </w:instrText>
          </w:r>
          <w:r w:rsidRPr="003F50EA">
            <w:rPr>
              <w:rFonts w:ascii="Arial" w:hAnsi="Arial" w:cs="Arial"/>
              <w:b w:val="0"/>
              <w:bCs w:val="0"/>
              <w:sz w:val="20"/>
              <w:szCs w:val="20"/>
            </w:rPr>
            <w:fldChar w:fldCharType="separate"/>
          </w:r>
          <w:hyperlink w:anchor="_Toc188631048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LAO PDR’S PRIORITY ECONOMIC DELIVERABLES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_Toc188631048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3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AB53C83" w14:textId="7FD8DEAF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49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TRADE IN GOODS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_Toc188631049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4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5DF20FE" w14:textId="69D049AE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50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ASEAN CUSTOMS INTEGRATION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_Toc188631050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4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017AFA" w14:textId="12367E3B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51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STANDARDS, TECHNICAL REGULATIONS, AND CONFORMITY ASSESSMENT PROCEDURES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_Toc188631051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5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FD7A654" w14:textId="3189A712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52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TRADE IN SERVICES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_Toc188631052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5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F14D8BB" w14:textId="5D33128C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53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INVESTMENT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_Toc188631053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6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DCB4D49" w14:textId="4C6C3DC4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54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COMPETITION POLICY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_Toc188631054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6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B60AAB6" w14:textId="2C4A4160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55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CONSUMER PROTECTION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_Toc188631055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7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681BCA4" w14:textId="131A375E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56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INTELLECTUAL PROPERTY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_Toc188631056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7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A2EC615" w14:textId="5147BB66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57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ELECTRONIC COMMERCE AND DIGITAL ECONOMY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_Toc188631057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7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F71D9B1" w14:textId="6EC2B99E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58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MICRO, SMALL AND MEDIUM ENTERPRISES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_Toc188631058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8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DB90869" w14:textId="26CE6007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59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PUBLIC-PRIVATE SECTOR ENGAGEMENT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_Toc188631059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8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E8464F5" w14:textId="6E9B0FCE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60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ASEAN COMMUNITY STATISTICAL SYSTEM (ACSS)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_Toc188631060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8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821E96B" w14:textId="7D915655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61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WORKING TOWARDS A GLOBAL ASEAN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_Toc188631061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9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8045C40" w14:textId="4FD92B6B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62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MULTILATERAL TRADING SYSTEM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_Toc188631062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9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53EDCD" w14:textId="5868A0D1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63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NARROWING THE DEVELOPMENT GAP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_Toc188631063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10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D69030" w14:textId="10BDD14D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64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ACHIEVING SUSTAINABLE GROWTH IN ASEAN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_Toc188631064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10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2665C8D" w14:textId="444A6433" w:rsidR="00C9231D" w:rsidRPr="003F50EA" w:rsidRDefault="00C9231D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8631065" w:history="1">
            <w:r w:rsidRPr="003F50EA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PROGRESS OF THE DEVELOPMENT OF AEC STRATEGIC PLAN 2026-2030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_Toc188631065 \h </w:instrTex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C6693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11</w:t>
            </w:r>
            <w:r w:rsidRPr="003F50EA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A151E0" w14:textId="74A61616" w:rsidR="00C9231D" w:rsidRDefault="00C9231D">
          <w:r w:rsidRPr="003F50EA">
            <w:rPr>
              <w:rFonts w:cs="Arial"/>
              <w:noProof/>
            </w:rPr>
            <w:fldChar w:fldCharType="end"/>
          </w:r>
        </w:p>
      </w:sdtContent>
    </w:sdt>
    <w:p w14:paraId="5DD1D401" w14:textId="77777777" w:rsidR="00C9231D" w:rsidRDefault="00C9231D">
      <w:pPr>
        <w:spacing w:before="0" w:after="0" w:line="240" w:lineRule="auto"/>
        <w:jc w:val="left"/>
        <w:rPr>
          <w:rFonts w:eastAsia="Batang" w:cs="Arial"/>
          <w:b/>
          <w:bCs/>
          <w:caps/>
          <w:kern w:val="32"/>
          <w:sz w:val="28"/>
          <w:szCs w:val="32"/>
          <w:lang w:val="en-GB" w:eastAsia="ko-KR"/>
        </w:rPr>
      </w:pPr>
      <w:r>
        <w:br w:type="page"/>
      </w:r>
    </w:p>
    <w:p w14:paraId="5B181951" w14:textId="33D06C27" w:rsidR="00DF288A" w:rsidRDefault="005B76CB" w:rsidP="005B76CB">
      <w:pPr>
        <w:pStyle w:val="CILTitle"/>
      </w:pPr>
      <w:r>
        <w:lastRenderedPageBreak/>
        <w:t xml:space="preserve">2024 JOINT MEDIA STATEMENT OF THE </w:t>
      </w:r>
      <w:r>
        <w:br/>
      </w:r>
      <w:r w:rsidRPr="005B76CB">
        <w:t>56</w:t>
      </w:r>
      <w:r>
        <w:t>TH</w:t>
      </w:r>
      <w:r w:rsidRPr="005B76CB">
        <w:t xml:space="preserve"> ASEAN ECONOMIC MINISTERS’ MEETING</w:t>
      </w:r>
    </w:p>
    <w:p w14:paraId="0934DFB4" w14:textId="65DAA165" w:rsidR="005B76CB" w:rsidRDefault="005B76CB" w:rsidP="005B76CB">
      <w:pPr>
        <w:pStyle w:val="CILSubtitle"/>
      </w:pPr>
      <w:r>
        <w:t>Issued in Vientiane, Lao PDR on 17 September 2024</w:t>
      </w:r>
    </w:p>
    <w:p w14:paraId="1FE7FDA9" w14:textId="77777777" w:rsidR="005B76CB" w:rsidRDefault="005B76CB" w:rsidP="005B76CB"/>
    <w:p w14:paraId="3EF26F50" w14:textId="38F06503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Fifty-Sixth ASEAN Economic Ministers (AEM) Meeting was held in Vientiane,</w:t>
      </w:r>
      <w:r w:rsidR="00814188">
        <w:t xml:space="preserve"> </w:t>
      </w:r>
      <w:r>
        <w:t xml:space="preserve">Lao PDR on </w:t>
      </w:r>
      <w:r w:rsidR="00CD321D">
        <w:br/>
      </w:r>
      <w:r>
        <w:t>17 September 2024. The Meeting, which was chaired by Lao PDR under the</w:t>
      </w:r>
      <w:r w:rsidR="00814188">
        <w:t xml:space="preserve"> </w:t>
      </w:r>
      <w:r>
        <w:t>theme “Enhancing Connectivity and Resilience” was preceded by a preparatory meeting</w:t>
      </w:r>
      <w:r w:rsidR="00814188">
        <w:t xml:space="preserve"> </w:t>
      </w:r>
      <w:r>
        <w:t>of the ASEAN Senior Economic Officials (SEOM) and joint meetings with the 38th ASEAN</w:t>
      </w:r>
      <w:r w:rsidR="00814188">
        <w:t xml:space="preserve"> </w:t>
      </w:r>
      <w:r>
        <w:t>Free Trade Area (AFTA) Council and the 27th ASEAN Investment Area (AIA) Council.</w:t>
      </w:r>
      <w:r w:rsidR="00814188">
        <w:t xml:space="preserve"> </w:t>
      </w:r>
      <w:r>
        <w:t>Responding to Regional and Global Developments</w:t>
      </w:r>
    </w:p>
    <w:p w14:paraId="79C64408" w14:textId="77777777" w:rsidR="00814188" w:rsidRDefault="00814188" w:rsidP="00814188">
      <w:pPr>
        <w:spacing w:before="0" w:after="0"/>
      </w:pPr>
    </w:p>
    <w:p w14:paraId="4355B153" w14:textId="1BDD5E66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was encouraged by the sustained growth momentum across the</w:t>
      </w:r>
      <w:r w:rsidR="00814188">
        <w:t xml:space="preserve"> </w:t>
      </w:r>
      <w:r>
        <w:t>region which, despite broader challenges facing the global economy, has shown</w:t>
      </w:r>
      <w:r w:rsidR="00814188">
        <w:t xml:space="preserve"> </w:t>
      </w:r>
      <w:r>
        <w:t>remarkable resilience over the past two years. The Meeting noted that ASEAN continues</w:t>
      </w:r>
      <w:r w:rsidR="00814188">
        <w:t xml:space="preserve"> </w:t>
      </w:r>
      <w:r>
        <w:t>to shine as a bright spot in the global economy in 2024, with prospects outpacing the</w:t>
      </w:r>
      <w:r w:rsidR="00814188">
        <w:t xml:space="preserve"> </w:t>
      </w:r>
      <w:r>
        <w:t>global outlook.</w:t>
      </w:r>
    </w:p>
    <w:p w14:paraId="59D24E89" w14:textId="77777777" w:rsidR="00814188" w:rsidRDefault="00814188" w:rsidP="00814188">
      <w:pPr>
        <w:spacing w:before="0" w:after="0"/>
      </w:pPr>
    </w:p>
    <w:p w14:paraId="321EDAB4" w14:textId="06308A79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reiterated ASEAN's unwavering commitment to regional economic</w:t>
      </w:r>
      <w:r w:rsidR="00814188">
        <w:t xml:space="preserve"> </w:t>
      </w:r>
      <w:r>
        <w:t>integration, acknowledging the formidable challenges posed by global economic</w:t>
      </w:r>
      <w:r w:rsidR="00814188">
        <w:t xml:space="preserve"> </w:t>
      </w:r>
      <w:r>
        <w:t>fragmentation, heightened geopolitical tensions, and the increasingly stringent trade</w:t>
      </w:r>
      <w:r w:rsidR="00814188">
        <w:t xml:space="preserve"> </w:t>
      </w:r>
      <w:r>
        <w:t xml:space="preserve">regulations related to </w:t>
      </w:r>
      <w:proofErr w:type="spellStart"/>
      <w:r>
        <w:t>decarbonisation</w:t>
      </w:r>
      <w:proofErr w:type="spellEnd"/>
      <w:r>
        <w:t>. The Meeting recognized that the ASEAN economy</w:t>
      </w:r>
      <w:r w:rsidR="00814188">
        <w:t xml:space="preserve"> </w:t>
      </w:r>
      <w:r>
        <w:t>expanded by 4.1 in 2023 and is projected to experience a robust growth of 4.6% in 2024</w:t>
      </w:r>
      <w:r w:rsidR="00814188">
        <w:t xml:space="preserve"> </w:t>
      </w:r>
      <w:r>
        <w:t>and 4.7% in 2025. The growth is expected to be driven by a solid improvement in both</w:t>
      </w:r>
      <w:r w:rsidR="00814188">
        <w:t xml:space="preserve"> </w:t>
      </w:r>
      <w:r>
        <w:t>domestic and external demand.1</w:t>
      </w:r>
      <w:r w:rsidR="00AC06C4">
        <w:rPr>
          <w:rStyle w:val="FootnoteReference"/>
        </w:rPr>
        <w:footnoteReference w:id="1"/>
      </w:r>
      <w:r>
        <w:t xml:space="preserve"> The resurgence in key sectors such as semiconductors</w:t>
      </w:r>
      <w:r w:rsidR="00814188">
        <w:t xml:space="preserve"> </w:t>
      </w:r>
      <w:r>
        <w:t>and electronics are the main catalysts to the resurgence in the overall demand.</w:t>
      </w:r>
      <w:r w:rsidR="00AC06C4">
        <w:rPr>
          <w:rStyle w:val="FootnoteReference"/>
        </w:rPr>
        <w:footnoteReference w:id="2"/>
      </w:r>
      <w:r>
        <w:t xml:space="preserve"> The</w:t>
      </w:r>
      <w:r w:rsidR="00814188">
        <w:t xml:space="preserve"> </w:t>
      </w:r>
      <w:r>
        <w:t>Meeting emphasized ASEAN's focus on promoting transformative sectors, such as the</w:t>
      </w:r>
      <w:r w:rsidR="00814188">
        <w:t xml:space="preserve"> </w:t>
      </w:r>
      <w:r>
        <w:t>digital and green economy, to reinforce ASEAN's position as the epicenter of growth.</w:t>
      </w:r>
    </w:p>
    <w:p w14:paraId="13689A42" w14:textId="77777777" w:rsidR="00AC06C4" w:rsidRDefault="00AC06C4" w:rsidP="00814188">
      <w:pPr>
        <w:spacing w:before="0" w:after="0"/>
      </w:pPr>
    </w:p>
    <w:p w14:paraId="5954618B" w14:textId="064587F5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highlighted ASEAN's resilience and attractiveness to foreign</w:t>
      </w:r>
      <w:r w:rsidR="00AC06C4">
        <w:t xml:space="preserve"> </w:t>
      </w:r>
      <w:r>
        <w:t>investors, with a modest increase in FDI of 0.3 percent to reach USD 229.8 billion despite</w:t>
      </w:r>
      <w:r w:rsidR="00AC06C4">
        <w:t xml:space="preserve"> </w:t>
      </w:r>
      <w:r>
        <w:t>significant headwinds in 2023. The Meeting underscored that despite a slight decrease in</w:t>
      </w:r>
      <w:r w:rsidR="00AC06C4">
        <w:t xml:space="preserve"> </w:t>
      </w:r>
      <w:r>
        <w:t>ASEAN's share in global trade and FDI, which now stand at 9.0% and 17.3% respectively,</w:t>
      </w:r>
      <w:r w:rsidR="00AC06C4">
        <w:t xml:space="preserve"> </w:t>
      </w:r>
      <w:r>
        <w:t>ASEAN remains committed to enhancing collaboration among ASEAN Member States</w:t>
      </w:r>
      <w:r w:rsidR="00AC06C4">
        <w:t xml:space="preserve"> </w:t>
      </w:r>
      <w:r>
        <w:t>and external partners.</w:t>
      </w:r>
    </w:p>
    <w:p w14:paraId="100D3BA7" w14:textId="77777777" w:rsidR="00AC06C4" w:rsidRDefault="00AC06C4" w:rsidP="00814188">
      <w:pPr>
        <w:spacing w:before="0" w:after="0"/>
      </w:pPr>
    </w:p>
    <w:p w14:paraId="5F0CBA0A" w14:textId="61223493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observed a steady recovery in tourist arrivals within ASEAN Member</w:t>
      </w:r>
      <w:r w:rsidR="00AC06C4">
        <w:t xml:space="preserve"> </w:t>
      </w:r>
      <w:r>
        <w:t>States, as evidenced by an estimated 134% year-on-year increase in international tourist</w:t>
      </w:r>
      <w:r w:rsidR="00AC06C4">
        <w:t xml:space="preserve"> </w:t>
      </w:r>
      <w:r>
        <w:t>arrivals in 2023, with about 101.9 million visitors (which was a 71% of pre-COVID 2019</w:t>
      </w:r>
      <w:r w:rsidR="00AC06C4">
        <w:t xml:space="preserve"> </w:t>
      </w:r>
      <w:r>
        <w:t>figures). The implementation of visa exemption policies for Chinese tourists by several</w:t>
      </w:r>
      <w:r w:rsidR="00AC06C4">
        <w:t xml:space="preserve"> </w:t>
      </w:r>
      <w:r>
        <w:t>ASEAN Member States also contributed to an increase in tourism revenue.</w:t>
      </w:r>
      <w:r w:rsidR="00AC06C4">
        <w:rPr>
          <w:rStyle w:val="FootnoteReference"/>
        </w:rPr>
        <w:footnoteReference w:id="3"/>
      </w:r>
      <w:r>
        <w:t xml:space="preserve"> The</w:t>
      </w:r>
      <w:r w:rsidR="00AC06C4">
        <w:t xml:space="preserve"> </w:t>
      </w:r>
      <w:r>
        <w:t>sustained growth in tourist arrivals is expected to generate positive spillover effects,</w:t>
      </w:r>
      <w:r w:rsidR="00AC06C4">
        <w:t xml:space="preserve"> </w:t>
      </w:r>
      <w:r>
        <w:t>stimulating consumption within the region.</w:t>
      </w:r>
      <w:r w:rsidR="00AC06C4">
        <w:rPr>
          <w:rStyle w:val="FootnoteReference"/>
        </w:rPr>
        <w:footnoteReference w:id="4"/>
      </w:r>
    </w:p>
    <w:p w14:paraId="22B48FF5" w14:textId="77777777" w:rsidR="00AC06C4" w:rsidRDefault="00AC06C4" w:rsidP="00814188">
      <w:pPr>
        <w:spacing w:before="0" w:after="0"/>
      </w:pPr>
    </w:p>
    <w:p w14:paraId="4A9F3E65" w14:textId="77777777" w:rsidR="00CD321D" w:rsidRDefault="00CD321D" w:rsidP="00CD321D">
      <w:pPr>
        <w:spacing w:before="0" w:after="0"/>
      </w:pPr>
    </w:p>
    <w:p w14:paraId="110BCF57" w14:textId="36147A29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The Meeting acknowledged ASEAN's resilience in trade and investment despite a</w:t>
      </w:r>
      <w:r w:rsidR="00AC06C4">
        <w:t xml:space="preserve"> </w:t>
      </w:r>
      <w:r>
        <w:t>contraction in total trade volume. The Meeting noted that total merchandise trade in 2023</w:t>
      </w:r>
      <w:r w:rsidR="00AC06C4">
        <w:t xml:space="preserve"> </w:t>
      </w:r>
      <w:r>
        <w:t>reached USD 3.5 trillion, reflecting a contraction of 8.3% due to a confluence of global</w:t>
      </w:r>
      <w:r w:rsidR="00AC06C4">
        <w:t xml:space="preserve"> </w:t>
      </w:r>
      <w:r>
        <w:t>factors, including geopolitical conflict that disrupted trade routes, increased shipping</w:t>
      </w:r>
      <w:r w:rsidR="00AC06C4">
        <w:t xml:space="preserve"> </w:t>
      </w:r>
      <w:r>
        <w:t>costs, and impacted supply chains. The Meeting was optimistic that the projected robust</w:t>
      </w:r>
      <w:r w:rsidR="00AC06C4">
        <w:t xml:space="preserve"> </w:t>
      </w:r>
      <w:r>
        <w:t>demand in 2024 will reinvigorate merchandise exports, leading to an overall improvement</w:t>
      </w:r>
      <w:r w:rsidR="00AC06C4">
        <w:t xml:space="preserve"> </w:t>
      </w:r>
      <w:r>
        <w:t>in trade performance.</w:t>
      </w:r>
      <w:r w:rsidR="00AC06C4">
        <w:rPr>
          <w:rStyle w:val="FootnoteReference"/>
        </w:rPr>
        <w:footnoteReference w:id="5"/>
      </w:r>
    </w:p>
    <w:p w14:paraId="39C15DA5" w14:textId="77777777" w:rsidR="00AC06C4" w:rsidRDefault="00AC06C4" w:rsidP="00814188">
      <w:pPr>
        <w:spacing w:before="0" w:after="0"/>
      </w:pPr>
    </w:p>
    <w:p w14:paraId="71980137" w14:textId="4FBE1312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underscored the potential escalation of geopolitical tensions or</w:t>
      </w:r>
      <w:r w:rsidR="00AC06C4">
        <w:t xml:space="preserve"> </w:t>
      </w:r>
      <w:r>
        <w:t>intensifying regional conflicts could adversely impact global growth through disruptions in</w:t>
      </w:r>
      <w:r w:rsidR="00AC06C4">
        <w:t xml:space="preserve"> </w:t>
      </w:r>
      <w:r>
        <w:t>supply chains commodity markets, trade flows, and interconnected financial systems.</w:t>
      </w:r>
      <w:r w:rsidR="00AC06C4">
        <w:t xml:space="preserve"> </w:t>
      </w:r>
      <w:r>
        <w:t>Additionally, the Meeting cautioned that a resurgence of protectionist policies and inward-oriented industrial strategies could exacerbate trade fragmentation, leading to further</w:t>
      </w:r>
      <w:r w:rsidR="00AC06C4">
        <w:t xml:space="preserve"> </w:t>
      </w:r>
      <w:r>
        <w:t>disruptions in trade networks, supply chains, and overall economic activity.</w:t>
      </w:r>
    </w:p>
    <w:p w14:paraId="14A394A2" w14:textId="77777777" w:rsidR="00AC06C4" w:rsidRDefault="00AC06C4" w:rsidP="00814188">
      <w:pPr>
        <w:spacing w:before="0" w:after="0"/>
      </w:pPr>
    </w:p>
    <w:p w14:paraId="7B230353" w14:textId="567CC52F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acknowledged that the policy uncertainty exhibited by major</w:t>
      </w:r>
      <w:r w:rsidR="00AC06C4">
        <w:t xml:space="preserve"> </w:t>
      </w:r>
      <w:r>
        <w:t>economies could have detrimental consequences for global economic growth.</w:t>
      </w:r>
      <w:r w:rsidR="00AC06C4">
        <w:t xml:space="preserve"> </w:t>
      </w:r>
      <w:r>
        <w:t>Furthermore, the impending U.S. Presidential election is anticipated to introduce</w:t>
      </w:r>
      <w:r w:rsidR="00AC06C4">
        <w:t xml:space="preserve"> </w:t>
      </w:r>
      <w:r>
        <w:t>heightened volatility within the financial markets. Nonetheless, the region's financial</w:t>
      </w:r>
      <w:r w:rsidR="00AC06C4">
        <w:t xml:space="preserve"> </w:t>
      </w:r>
      <w:r>
        <w:t>sector is projected to maintain stability.</w:t>
      </w:r>
    </w:p>
    <w:p w14:paraId="445668B7" w14:textId="77777777" w:rsidR="00AC06C4" w:rsidRDefault="00AC06C4" w:rsidP="00814188">
      <w:pPr>
        <w:spacing w:before="0" w:after="0"/>
      </w:pPr>
    </w:p>
    <w:p w14:paraId="2605C1B7" w14:textId="7F911C21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underscored the imperative to expedite the adoption of a sustainable</w:t>
      </w:r>
      <w:r w:rsidR="00AC06C4">
        <w:t xml:space="preserve"> </w:t>
      </w:r>
      <w:r>
        <w:t>growth model as a critical strategy to mitigate the adverse effects of climate change,</w:t>
      </w:r>
      <w:r w:rsidR="00AC06C4">
        <w:t xml:space="preserve"> </w:t>
      </w:r>
      <w:r>
        <w:t>particularly within the context of ASEAN's economic development. By transitioning to a</w:t>
      </w:r>
      <w:r w:rsidR="00AC06C4">
        <w:t xml:space="preserve"> </w:t>
      </w:r>
      <w:r>
        <w:t>more sustainable path, ASEAN can not only contribute to global efforts to combat climate</w:t>
      </w:r>
      <w:r w:rsidR="00E5495C">
        <w:t xml:space="preserve"> </w:t>
      </w:r>
      <w:r>
        <w:t>change but also unlock new economic opportunities, enhance energy security, and foster</w:t>
      </w:r>
      <w:r w:rsidR="00E5495C">
        <w:t xml:space="preserve"> </w:t>
      </w:r>
      <w:r>
        <w:t>sustainable job creation. This transition will involve investing in renewable energy</w:t>
      </w:r>
      <w:r w:rsidR="00E5495C">
        <w:t xml:space="preserve"> </w:t>
      </w:r>
      <w:r>
        <w:t>infrastructure, promoting energy efficiency, and adopting circular economic practices. By</w:t>
      </w:r>
      <w:r w:rsidR="00E5495C">
        <w:t xml:space="preserve"> </w:t>
      </w:r>
      <w:r>
        <w:t>embracing these measures, ASEAN can position itself as a leader in sustainable</w:t>
      </w:r>
      <w:r w:rsidR="00E5495C">
        <w:t xml:space="preserve"> </w:t>
      </w:r>
      <w:r>
        <w:t>development, attracting foreign investment, enhancing its global competitiveness, and</w:t>
      </w:r>
      <w:r w:rsidR="00E5495C">
        <w:t xml:space="preserve"> </w:t>
      </w:r>
      <w:r>
        <w:t>ensuring a more resilient and prosperous future for its member states.</w:t>
      </w:r>
    </w:p>
    <w:p w14:paraId="45E55216" w14:textId="77777777" w:rsidR="009B1374" w:rsidRDefault="009B1374" w:rsidP="00E5495C">
      <w:pPr>
        <w:pStyle w:val="Heading2"/>
      </w:pPr>
      <w:bookmarkStart w:id="0" w:name="_Toc188631048"/>
      <w:r>
        <w:t>Lao PDR’s Priority Economic Deliverables</w:t>
      </w:r>
      <w:bookmarkEnd w:id="0"/>
    </w:p>
    <w:p w14:paraId="4F850370" w14:textId="7FF2892B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discussed and welcomed the good progress in the implementation of</w:t>
      </w:r>
      <w:r w:rsidR="00E5495C">
        <w:t xml:space="preserve"> </w:t>
      </w:r>
      <w:r>
        <w:t>the seven 2024 Priority Economic Deliverables (PED) under the purview of AEM. The</w:t>
      </w:r>
      <w:r w:rsidR="00E5495C">
        <w:t xml:space="preserve"> </w:t>
      </w:r>
      <w:r>
        <w:t>Meeting acknowledged the importance of these PEDs in advancing the work of ASEAN</w:t>
      </w:r>
      <w:r w:rsidR="00E5495C">
        <w:t xml:space="preserve"> </w:t>
      </w:r>
      <w:r>
        <w:t>in deepening its economic integration, enhancing its connectivity and propelling its digital</w:t>
      </w:r>
      <w:r w:rsidR="00E5495C">
        <w:t xml:space="preserve"> </w:t>
      </w:r>
      <w:r>
        <w:t>transformation thereby, building a more resilient future for ASEAN.</w:t>
      </w:r>
    </w:p>
    <w:p w14:paraId="559C7F1B" w14:textId="77777777" w:rsidR="00E5495C" w:rsidRDefault="00E5495C" w:rsidP="00814188">
      <w:pPr>
        <w:spacing w:before="0" w:after="0"/>
      </w:pPr>
    </w:p>
    <w:p w14:paraId="41D22199" w14:textId="2A2DEA0F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endorsed the ASEAN Declaration on Supply Chain Connectivity to</w:t>
      </w:r>
      <w:r w:rsidR="00E5495C">
        <w:t xml:space="preserve"> </w:t>
      </w:r>
      <w:r>
        <w:t>the AEC Council for subsequent endorsement to the ASEAN Leaders at the forthcoming</w:t>
      </w:r>
      <w:r w:rsidR="00E5495C">
        <w:t xml:space="preserve"> </w:t>
      </w:r>
      <w:r>
        <w:t>ASEAN Summits in October 2024. The Meeting deliberated on the recommendations of</w:t>
      </w:r>
      <w:r w:rsidR="00E5495C">
        <w:t xml:space="preserve"> </w:t>
      </w:r>
      <w:r>
        <w:t>the Review of the ASEAN Framework Agreement on Intellectual Property Cooperation</w:t>
      </w:r>
      <w:r w:rsidR="00E5495C">
        <w:t xml:space="preserve"> </w:t>
      </w:r>
      <w:r>
        <w:t>(AFAIPC), and adopted the recommendation to upgrade the current AFAIPC (referred to</w:t>
      </w:r>
      <w:r w:rsidR="00E5495C">
        <w:t xml:space="preserve"> </w:t>
      </w:r>
      <w:r>
        <w:t>as AFAIPC 2.0) and tasked the AWGIPC to prepare for the Guiding Principles for the</w:t>
      </w:r>
      <w:r w:rsidR="00E5495C">
        <w:t xml:space="preserve"> </w:t>
      </w:r>
      <w:r>
        <w:t>Negotiations of the AFAIPC 2.0, and to launch the AFAIPC 2.0 negotiations, as soon as</w:t>
      </w:r>
      <w:r w:rsidR="00E5495C">
        <w:t xml:space="preserve"> </w:t>
      </w:r>
      <w:r>
        <w:t>possible, in 2025.</w:t>
      </w:r>
    </w:p>
    <w:p w14:paraId="189C671C" w14:textId="77777777" w:rsidR="00E5495C" w:rsidRDefault="00E5495C" w:rsidP="00814188">
      <w:pPr>
        <w:spacing w:before="0" w:after="0"/>
      </w:pPr>
    </w:p>
    <w:p w14:paraId="0C1897EE" w14:textId="77777777" w:rsidR="00F70FB8" w:rsidRDefault="00F70FB8" w:rsidP="00814188">
      <w:pPr>
        <w:spacing w:before="0" w:after="0"/>
      </w:pPr>
    </w:p>
    <w:p w14:paraId="795FE099" w14:textId="77777777" w:rsidR="00F70FB8" w:rsidRDefault="00F70FB8" w:rsidP="00814188">
      <w:pPr>
        <w:spacing w:before="0" w:after="0"/>
      </w:pPr>
    </w:p>
    <w:p w14:paraId="7FBF78C4" w14:textId="77777777" w:rsidR="00F70FB8" w:rsidRDefault="00F70FB8" w:rsidP="00814188">
      <w:pPr>
        <w:spacing w:before="0" w:after="0"/>
      </w:pPr>
    </w:p>
    <w:p w14:paraId="726BBAD7" w14:textId="77777777" w:rsidR="00F70FB8" w:rsidRDefault="00F70FB8" w:rsidP="00814188">
      <w:pPr>
        <w:spacing w:before="0" w:after="0"/>
      </w:pPr>
    </w:p>
    <w:p w14:paraId="5219B459" w14:textId="77777777" w:rsidR="00F70FB8" w:rsidRDefault="00F70FB8" w:rsidP="00814188">
      <w:pPr>
        <w:spacing w:before="0" w:after="0"/>
      </w:pPr>
    </w:p>
    <w:p w14:paraId="31BEEF05" w14:textId="3D97D317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The Meeting welcomed the progress to achieve the substantial conclusion of the</w:t>
      </w:r>
      <w:r w:rsidR="00E5495C">
        <w:t xml:space="preserve"> </w:t>
      </w:r>
      <w:r>
        <w:t>negotiations for the upgrade of the ASEAN-China FTA 3.0 and encouraged the officials</w:t>
      </w:r>
      <w:r w:rsidR="00E5495C">
        <w:t xml:space="preserve"> </w:t>
      </w:r>
      <w:r>
        <w:t>to meet the agreed target of achieving the substantial conclusion within 2024. The</w:t>
      </w:r>
      <w:r w:rsidR="00E5495C">
        <w:t xml:space="preserve"> </w:t>
      </w:r>
      <w:r>
        <w:t>Meeting affirmed its commitment to ratify the 2nd Protocol on the Agreement on the</w:t>
      </w:r>
      <w:r w:rsidR="00E5495C">
        <w:t xml:space="preserve"> </w:t>
      </w:r>
      <w:r>
        <w:t>ASEAN-Australia-New Zealand Free Trade Area and urged all Parties to ensure its timely</w:t>
      </w:r>
      <w:r w:rsidR="00E5495C">
        <w:t xml:space="preserve"> </w:t>
      </w:r>
      <w:r>
        <w:t>entry-into-force. The Meeting discussed and expressed satisfaction on the</w:t>
      </w:r>
      <w:r w:rsidR="00E5495C">
        <w:t xml:space="preserve"> </w:t>
      </w:r>
      <w:r>
        <w:t>implementation status of the three PEDs that support and are foundational to the</w:t>
      </w:r>
      <w:r w:rsidR="00E5495C">
        <w:t xml:space="preserve"> </w:t>
      </w:r>
      <w:r>
        <w:t>acceleration of the ASEAN digital transformation namely, the Study on the New</w:t>
      </w:r>
      <w:r w:rsidR="00E5495C">
        <w:t xml:space="preserve"> </w:t>
      </w:r>
      <w:r>
        <w:t>Generation ASEAN Single Window, Implementation Roadmap to Establish Regionally</w:t>
      </w:r>
      <w:r w:rsidR="00E5495C">
        <w:t xml:space="preserve"> </w:t>
      </w:r>
      <w:r>
        <w:t>Comparable and Recognised Unique Business Identification (UBIN) in ASEAN, and the</w:t>
      </w:r>
      <w:r w:rsidR="00E5495C">
        <w:t xml:space="preserve"> </w:t>
      </w:r>
      <w:r>
        <w:t>Roadmap on Digital Trade Standards, and looked forward to their timely completion in</w:t>
      </w:r>
      <w:r w:rsidR="00E5495C">
        <w:t xml:space="preserve"> </w:t>
      </w:r>
      <w:r>
        <w:t>the fourth quarter of this year.</w:t>
      </w:r>
    </w:p>
    <w:p w14:paraId="11A2BAD8" w14:textId="61A1E2E1" w:rsidR="00E1320C" w:rsidRDefault="009B1374" w:rsidP="00E1320C">
      <w:pPr>
        <w:pStyle w:val="Heading2"/>
      </w:pPr>
      <w:bookmarkStart w:id="1" w:name="_Toc188631049"/>
      <w:r>
        <w:t>Trade in Goods</w:t>
      </w:r>
      <w:bookmarkEnd w:id="1"/>
    </w:p>
    <w:p w14:paraId="46C64B4D" w14:textId="74CB2165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noted the significant progress made on the ASEAN Trade in Goods</w:t>
      </w:r>
      <w:r w:rsidR="00E1320C">
        <w:t xml:space="preserve"> </w:t>
      </w:r>
      <w:r>
        <w:t>Agreement (ATIGA) upgrade negotiations. The Meeting reaffirmed its commitment to</w:t>
      </w:r>
      <w:r w:rsidR="00E1320C">
        <w:t xml:space="preserve"> </w:t>
      </w:r>
      <w:r>
        <w:t>ensuring that the upgraded ATIGA would be a modern, comprehensive, forward-looking</w:t>
      </w:r>
      <w:r w:rsidR="00E1320C">
        <w:t xml:space="preserve"> </w:t>
      </w:r>
      <w:r>
        <w:t>agreement, covering traditional and emerging elements relevant to business communities</w:t>
      </w:r>
      <w:r w:rsidR="00E1320C">
        <w:t xml:space="preserve"> </w:t>
      </w:r>
      <w:r>
        <w:t>and more responsive to regional and global developments. The Meeting looked forward</w:t>
      </w:r>
      <w:r w:rsidR="00E1320C">
        <w:t xml:space="preserve"> </w:t>
      </w:r>
      <w:r>
        <w:t>to concluding the ATIGA upgrade negotiations by the end of the first quarter of 2025, and</w:t>
      </w:r>
      <w:r w:rsidR="00E1320C">
        <w:t xml:space="preserve"> </w:t>
      </w:r>
      <w:r>
        <w:t>for the agreement to be signed at the sidelines of the 57th AEM – 39th AFTA Council in</w:t>
      </w:r>
      <w:r w:rsidR="00E1320C">
        <w:t xml:space="preserve"> </w:t>
      </w:r>
      <w:r>
        <w:t>September 2025.</w:t>
      </w:r>
    </w:p>
    <w:p w14:paraId="1C4CE56E" w14:textId="77777777" w:rsidR="00E1320C" w:rsidRDefault="00E1320C" w:rsidP="00814188">
      <w:pPr>
        <w:spacing w:before="0" w:after="0"/>
      </w:pPr>
    </w:p>
    <w:p w14:paraId="4AC2EAEB" w14:textId="3B946E38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welcomed the full implementation of the issuance and acceptance of</w:t>
      </w:r>
      <w:r w:rsidR="00E1320C">
        <w:t xml:space="preserve"> </w:t>
      </w:r>
      <w:r>
        <w:t>e-Form D by all AMS from 1 January 2024. The Meeting encouraged AMS to abide by</w:t>
      </w:r>
      <w:r w:rsidR="00E1320C">
        <w:t xml:space="preserve"> </w:t>
      </w:r>
      <w:r>
        <w:t>the decision not to request hard copies of Certificate of Origin Form D for the purpose of</w:t>
      </w:r>
      <w:r w:rsidR="00E1320C">
        <w:t xml:space="preserve"> </w:t>
      </w:r>
      <w:r>
        <w:t>applying for preferential tariff treatment unless in cases of system downtime. The Meeting</w:t>
      </w:r>
      <w:r w:rsidR="00E1320C">
        <w:t xml:space="preserve"> </w:t>
      </w:r>
      <w:r>
        <w:t>also encouraged AMS to discuss and resolve implementation issues under ATIGA in a</w:t>
      </w:r>
      <w:r w:rsidR="00E1320C">
        <w:t xml:space="preserve"> </w:t>
      </w:r>
      <w:r>
        <w:t>timely manner to ensure a smooth flow of trade with the region.</w:t>
      </w:r>
    </w:p>
    <w:p w14:paraId="1595AAB6" w14:textId="77777777" w:rsidR="00E1320C" w:rsidRDefault="00E1320C" w:rsidP="00814188">
      <w:pPr>
        <w:spacing w:before="0" w:after="0"/>
      </w:pPr>
    </w:p>
    <w:p w14:paraId="23B30D20" w14:textId="695FEB51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welcomed Viet Nam as the 9th ASEAN Member States joining the</w:t>
      </w:r>
      <w:r w:rsidR="00E1320C">
        <w:t xml:space="preserve"> </w:t>
      </w:r>
      <w:r>
        <w:t>exchange of ASEAN Customs Declaration Document (ACDD) in May 2024 and looked</w:t>
      </w:r>
      <w:r w:rsidR="00E1320C">
        <w:t xml:space="preserve"> </w:t>
      </w:r>
      <w:r>
        <w:t>forward to the full implementation of ACDD in 2024.</w:t>
      </w:r>
    </w:p>
    <w:p w14:paraId="3720579C" w14:textId="77777777" w:rsidR="00E1320C" w:rsidRDefault="00E1320C" w:rsidP="00814188">
      <w:pPr>
        <w:spacing w:before="0" w:after="0"/>
      </w:pPr>
    </w:p>
    <w:p w14:paraId="5FDFC68D" w14:textId="408FFA26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also welcomed the Philippines as the 3rd ASEAN Member States</w:t>
      </w:r>
      <w:r w:rsidR="00E1320C">
        <w:t xml:space="preserve"> </w:t>
      </w:r>
      <w:r>
        <w:t>joining the exchange of electronic Phytosanitary (e-Phyto) certificate in June 2024 and</w:t>
      </w:r>
      <w:r w:rsidR="00E1320C">
        <w:t xml:space="preserve"> </w:t>
      </w:r>
      <w:r>
        <w:t>looked forward for the other ASEAN Member States to join the e-Phyto exchange.</w:t>
      </w:r>
    </w:p>
    <w:p w14:paraId="7C7A0A74" w14:textId="77777777" w:rsidR="00E1320C" w:rsidRDefault="00E1320C" w:rsidP="00814188">
      <w:pPr>
        <w:spacing w:before="0" w:after="0"/>
      </w:pPr>
    </w:p>
    <w:p w14:paraId="701C3787" w14:textId="67416EF4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noted the ongoing discussions on technical and legal solutions to</w:t>
      </w:r>
      <w:r w:rsidR="00E1320C">
        <w:t xml:space="preserve"> </w:t>
      </w:r>
      <w:r>
        <w:t>enable the interoperability of the ASEAN Single Windows (ASW) to exchange the cross-border electronic trade documents with the ASEAN’s Dialogue Partners.</w:t>
      </w:r>
    </w:p>
    <w:p w14:paraId="058B26E4" w14:textId="77777777" w:rsidR="009B1374" w:rsidRDefault="009B1374" w:rsidP="00E1320C">
      <w:pPr>
        <w:pStyle w:val="Heading2"/>
      </w:pPr>
      <w:bookmarkStart w:id="2" w:name="_Toc188631050"/>
      <w:r>
        <w:t>ASEAN Customs Integration</w:t>
      </w:r>
      <w:bookmarkEnd w:id="2"/>
    </w:p>
    <w:p w14:paraId="2273345C" w14:textId="3F289333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welcomed the signing of the Mutual Recognition Arrangement (MRA)</w:t>
      </w:r>
      <w:r w:rsidR="00E1320C">
        <w:t xml:space="preserve"> </w:t>
      </w:r>
      <w:r>
        <w:t xml:space="preserve">on </w:t>
      </w:r>
      <w:proofErr w:type="spellStart"/>
      <w:r>
        <w:t>Authorised</w:t>
      </w:r>
      <w:proofErr w:type="spellEnd"/>
      <w:r>
        <w:t xml:space="preserve"> Economic Operator (AEO) on 19 September 2023 to provide a predictable</w:t>
      </w:r>
      <w:r w:rsidR="00E1320C">
        <w:t xml:space="preserve"> </w:t>
      </w:r>
      <w:r>
        <w:t>and transparent trading environment among AMS. The Meeting also commended the</w:t>
      </w:r>
      <w:r w:rsidR="00E1320C">
        <w:t xml:space="preserve"> </w:t>
      </w:r>
      <w:r>
        <w:t>positive progress of six AMS, namely Brunei Darussalam, Indonesia, Malaysia, the</w:t>
      </w:r>
      <w:r w:rsidR="00E1320C">
        <w:t xml:space="preserve"> </w:t>
      </w:r>
      <w:r>
        <w:t>Philippines, Singapore, and Thailand, in implementing the 1st Pilot ASEAN AEO MRA</w:t>
      </w:r>
      <w:r w:rsidR="00E1320C">
        <w:t xml:space="preserve"> </w:t>
      </w:r>
      <w:r>
        <w:t xml:space="preserve">(AAMRA) Pathfinder, while the 2nd Pathfinder Pilot for the four (4) remaining </w:t>
      </w:r>
      <w:proofErr w:type="gramStart"/>
      <w:r>
        <w:t>AMS</w:t>
      </w:r>
      <w:proofErr w:type="gramEnd"/>
      <w:r>
        <w:t>, namely</w:t>
      </w:r>
      <w:r w:rsidR="00E1320C">
        <w:t xml:space="preserve"> </w:t>
      </w:r>
      <w:r>
        <w:t>Cambodia, Lao PDR, Myanmar, and Viet Nam could commence in early 2025. As of</w:t>
      </w:r>
      <w:r w:rsidR="00E1320C">
        <w:t xml:space="preserve"> </w:t>
      </w:r>
      <w:r>
        <w:t>August 2024, Brunei Darussalam, Malaysia, Singapore, and Thailand have fully</w:t>
      </w:r>
      <w:r w:rsidR="00E1320C">
        <w:t xml:space="preserve"> </w:t>
      </w:r>
      <w:r>
        <w:t>implemented the AAMRA, while Indonesia and the Philippines would fully implement it in</w:t>
      </w:r>
      <w:r w:rsidR="00E1320C">
        <w:t xml:space="preserve"> </w:t>
      </w:r>
      <w:r>
        <w:t xml:space="preserve">the </w:t>
      </w:r>
      <w:r w:rsidR="00F70FB8">
        <w:br/>
      </w:r>
      <w:r>
        <w:t xml:space="preserve">4th quarter of 2024. In the meantime, the four (4) remaining </w:t>
      </w:r>
      <w:proofErr w:type="gramStart"/>
      <w:r>
        <w:t>AMS</w:t>
      </w:r>
      <w:proofErr w:type="gramEnd"/>
      <w:r>
        <w:t xml:space="preserve"> would aim to fully</w:t>
      </w:r>
      <w:r w:rsidR="00E1320C">
        <w:t xml:space="preserve"> </w:t>
      </w:r>
      <w:r>
        <w:t>implement the AAMRA in 2025. In line with the goal of the ASEAN Economic Community</w:t>
      </w:r>
      <w:r w:rsidR="00E1320C">
        <w:t xml:space="preserve"> </w:t>
      </w:r>
      <w:r>
        <w:t>Blueprint 2025, which aims to achieve a highly integrated and cohesive ASEAN economy,</w:t>
      </w:r>
      <w:r w:rsidR="00E1320C">
        <w:t xml:space="preserve"> </w:t>
      </w:r>
      <w:r>
        <w:t xml:space="preserve">the AAMRA could enhance </w:t>
      </w:r>
      <w:r>
        <w:lastRenderedPageBreak/>
        <w:t>trade by reducing regulatory burden and facilitating the</w:t>
      </w:r>
      <w:r w:rsidR="00E1320C">
        <w:t xml:space="preserve"> </w:t>
      </w:r>
      <w:r>
        <w:t>movement of goods within ASEAN with improved predictability of cargo movement.</w:t>
      </w:r>
    </w:p>
    <w:p w14:paraId="03B6A6E7" w14:textId="77777777" w:rsidR="00E1320C" w:rsidRDefault="00E1320C" w:rsidP="00814188">
      <w:pPr>
        <w:spacing w:before="0" w:after="0"/>
      </w:pPr>
    </w:p>
    <w:p w14:paraId="0F358C02" w14:textId="64100A51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welcomed Myanmar as the 7th ASEAN Customs Transit System</w:t>
      </w:r>
      <w:r w:rsidR="00E1320C">
        <w:t xml:space="preserve"> </w:t>
      </w:r>
      <w:r>
        <w:t>(ACTS) Participating Member State (PMS), on 1 March 2024. Principal traders engaging</w:t>
      </w:r>
      <w:r w:rsidR="00E1320C">
        <w:t xml:space="preserve"> </w:t>
      </w:r>
      <w:r>
        <w:t>in ACTS movements to Myanmar as the destination can benefit from streamlined customs</w:t>
      </w:r>
      <w:r w:rsidR="00E1320C">
        <w:t xml:space="preserve"> </w:t>
      </w:r>
      <w:r>
        <w:t>transit procedures, potentially enhancing intra-ASEAN trade. The Meeting encouraged all</w:t>
      </w:r>
      <w:r w:rsidR="00E1320C">
        <w:t xml:space="preserve"> </w:t>
      </w:r>
      <w:r>
        <w:t xml:space="preserve">PMS to intensify public awareness efforts to attract more principal traders to </w:t>
      </w:r>
      <w:proofErr w:type="spellStart"/>
      <w:r>
        <w:t>utilise</w:t>
      </w:r>
      <w:proofErr w:type="spellEnd"/>
      <w:r>
        <w:t xml:space="preserve"> the</w:t>
      </w:r>
      <w:r w:rsidR="00E1320C">
        <w:t xml:space="preserve"> </w:t>
      </w:r>
      <w:r>
        <w:t>ACTS.</w:t>
      </w:r>
    </w:p>
    <w:p w14:paraId="1448E532" w14:textId="77777777" w:rsidR="009B1374" w:rsidRDefault="009B1374" w:rsidP="00E1320C">
      <w:pPr>
        <w:pStyle w:val="Heading2"/>
      </w:pPr>
      <w:bookmarkStart w:id="3" w:name="_Toc188631051"/>
      <w:r>
        <w:t>Standards, Technical Regulations, and Conformity Assessment Procedures</w:t>
      </w:r>
      <w:bookmarkEnd w:id="3"/>
    </w:p>
    <w:p w14:paraId="6F4BB8BC" w14:textId="2CBF2D59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was pleased with the completion of the “Roadmap of ASEAN</w:t>
      </w:r>
      <w:r w:rsidR="00E1320C">
        <w:t xml:space="preserve"> </w:t>
      </w:r>
      <w:proofErr w:type="spellStart"/>
      <w:r>
        <w:t>Harmonised</w:t>
      </w:r>
      <w:proofErr w:type="spellEnd"/>
      <w:r>
        <w:t xml:space="preserve"> Standards to Support Sustainable Development Goals (SDG)</w:t>
      </w:r>
      <w:r w:rsidR="00E1320C">
        <w:t xml:space="preserve"> </w:t>
      </w:r>
      <w:r>
        <w:t xml:space="preserve">Implementation” and the </w:t>
      </w:r>
      <w:proofErr w:type="spellStart"/>
      <w:r>
        <w:t>harmonisation</w:t>
      </w:r>
      <w:proofErr w:type="spellEnd"/>
      <w:r>
        <w:t xml:space="preserve"> of eighteen new standards in the priority sectors.</w:t>
      </w:r>
      <w:r w:rsidR="00E1320C">
        <w:t xml:space="preserve"> </w:t>
      </w:r>
      <w:r>
        <w:t>The Meeting noted the progress on the development of the Roadmap on Digital Trade</w:t>
      </w:r>
      <w:r w:rsidR="00E1320C">
        <w:t xml:space="preserve"> </w:t>
      </w:r>
      <w:r>
        <w:t>Standards (DTS) in ASEAN by 2024. The Roadmap on DTS in ASEAN will propose the</w:t>
      </w:r>
      <w:r w:rsidR="00E1320C">
        <w:t xml:space="preserve"> </w:t>
      </w:r>
      <w:r>
        <w:t xml:space="preserve">development of a strategic framework for achieving a collaborative </w:t>
      </w:r>
      <w:proofErr w:type="spellStart"/>
      <w:r>
        <w:t>harmonisation</w:t>
      </w:r>
      <w:proofErr w:type="spellEnd"/>
      <w:r>
        <w:t xml:space="preserve"> of</w:t>
      </w:r>
      <w:r w:rsidR="00E1320C">
        <w:t xml:space="preserve"> </w:t>
      </w:r>
      <w:r>
        <w:t>digital trade standards, capacity building, including policy recommendations that would</w:t>
      </w:r>
      <w:r w:rsidR="00E1320C">
        <w:t xml:space="preserve"> </w:t>
      </w:r>
      <w:r>
        <w:t>contribute to a facilitative digital trade in a digitally integrated ASEAN.</w:t>
      </w:r>
    </w:p>
    <w:p w14:paraId="55F1EF2D" w14:textId="77777777" w:rsidR="00E1320C" w:rsidRDefault="00E1320C" w:rsidP="00814188">
      <w:pPr>
        <w:spacing w:before="0" w:after="0"/>
      </w:pPr>
    </w:p>
    <w:p w14:paraId="34FA8211" w14:textId="066F7430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acknowledged the signing of the “ASEAN Food Safety Regulatory</w:t>
      </w:r>
      <w:r w:rsidR="00E1320C">
        <w:t xml:space="preserve"> </w:t>
      </w:r>
      <w:r>
        <w:t>Framework Agreement” and the “ASEAN Sectoral Mutual Recognition Arrangement</w:t>
      </w:r>
      <w:r w:rsidR="00E1320C">
        <w:t xml:space="preserve"> </w:t>
      </w:r>
      <w:r>
        <w:t>(MRA) on Building and Construction Materials” and looked forward to their entry-into-force</w:t>
      </w:r>
      <w:r w:rsidR="00E1320C">
        <w:t xml:space="preserve"> </w:t>
      </w:r>
      <w:r>
        <w:t>for expeditious implementation. The Meeting urged concerned AMS to timely submit</w:t>
      </w:r>
      <w:r w:rsidR="00E1320C">
        <w:t xml:space="preserve"> </w:t>
      </w:r>
      <w:r>
        <w:t>instruments of full powers for the signing of the ASEAN Framework Agreement on MRAs,</w:t>
      </w:r>
      <w:r w:rsidR="00E1320C">
        <w:t xml:space="preserve"> </w:t>
      </w:r>
      <w:r>
        <w:t>Protocol to Amend the ASEAN Sectoral MRA for Good Manufacturing Practice Inspection</w:t>
      </w:r>
      <w:r w:rsidR="00E1320C">
        <w:t xml:space="preserve"> </w:t>
      </w:r>
      <w:r>
        <w:t>of Manufacturers of Medicinal Products, ASEAN Agreement on Regulatory Framework</w:t>
      </w:r>
      <w:r w:rsidR="00E1320C">
        <w:t xml:space="preserve"> </w:t>
      </w:r>
      <w:r>
        <w:t>for Traditional Medicines, and ASEAN Agreement on Regulatory Framework for Health</w:t>
      </w:r>
      <w:r w:rsidR="00E1320C">
        <w:t xml:space="preserve"> </w:t>
      </w:r>
      <w:r>
        <w:t>Supplements.</w:t>
      </w:r>
    </w:p>
    <w:p w14:paraId="34768F22" w14:textId="77777777" w:rsidR="009B1374" w:rsidRDefault="009B1374" w:rsidP="00E1320C">
      <w:pPr>
        <w:pStyle w:val="Heading2"/>
      </w:pPr>
      <w:bookmarkStart w:id="4" w:name="_Toc188631052"/>
      <w:r>
        <w:t>Trade in Services</w:t>
      </w:r>
      <w:bookmarkEnd w:id="4"/>
    </w:p>
    <w:p w14:paraId="22BB12A1" w14:textId="12A3CF57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welcomed the adoption of the ASEAN Services Facilitation</w:t>
      </w:r>
      <w:r w:rsidR="00E1320C">
        <w:t xml:space="preserve"> </w:t>
      </w:r>
      <w:r>
        <w:t xml:space="preserve">Framework (ASFF) on </w:t>
      </w:r>
      <w:r w:rsidR="00F70FB8">
        <w:br/>
      </w:r>
      <w:r>
        <w:t>9 March 2024 during the 30th AEM Retreat and tasked the officials</w:t>
      </w:r>
      <w:r w:rsidR="00E1320C">
        <w:t xml:space="preserve"> </w:t>
      </w:r>
      <w:r>
        <w:t>to translate the Framework into actions for effective implementation. The ASFF is</w:t>
      </w:r>
      <w:r w:rsidR="00E1320C">
        <w:t xml:space="preserve"> </w:t>
      </w:r>
      <w:r>
        <w:t>expected to improve policy and regulatory environment, creating a more favourable and</w:t>
      </w:r>
      <w:r w:rsidR="00E1320C">
        <w:t xml:space="preserve"> </w:t>
      </w:r>
      <w:r>
        <w:t>predictable business setting for trade and investment in the region’s services sector.</w:t>
      </w:r>
    </w:p>
    <w:p w14:paraId="61AEA9B5" w14:textId="77777777" w:rsidR="00E1320C" w:rsidRDefault="00E1320C" w:rsidP="00814188">
      <w:pPr>
        <w:spacing w:before="0" w:after="0"/>
      </w:pPr>
    </w:p>
    <w:p w14:paraId="2CC0CDC8" w14:textId="7CBD3288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re-affirmed the importance of integration of trade in services in</w:t>
      </w:r>
      <w:r w:rsidR="00E1320C">
        <w:t xml:space="preserve"> </w:t>
      </w:r>
      <w:r>
        <w:t>ASEAN, and in this regard tasked the officials to step up efforts in ensuring timely and</w:t>
      </w:r>
      <w:r w:rsidR="00E1320C">
        <w:t xml:space="preserve"> </w:t>
      </w:r>
      <w:r>
        <w:t>effective completion of the Schedules of Non-Conforming Measures of the ASEAN Trade</w:t>
      </w:r>
      <w:r w:rsidR="00E1320C">
        <w:t xml:space="preserve"> </w:t>
      </w:r>
      <w:r>
        <w:t>in Services Agreement (ATISA) in conformity with the timeline and other related</w:t>
      </w:r>
      <w:r w:rsidR="00E1320C">
        <w:t xml:space="preserve"> </w:t>
      </w:r>
      <w:r>
        <w:t>provisions stipulated under the Agreement.</w:t>
      </w:r>
    </w:p>
    <w:p w14:paraId="2413F0B4" w14:textId="77777777" w:rsidR="00E1320C" w:rsidRDefault="00E1320C" w:rsidP="00814188">
      <w:pPr>
        <w:spacing w:before="0" w:after="0"/>
      </w:pPr>
    </w:p>
    <w:p w14:paraId="5F90FF37" w14:textId="12CF1556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also welcomed the signing completion of the Protocol to Amend the</w:t>
      </w:r>
      <w:r w:rsidR="00E1320C">
        <w:t xml:space="preserve"> </w:t>
      </w:r>
      <w:r>
        <w:t>ASEAN Agreement on the Movement of Natural Persons (MNP) on 7 March 2024 in</w:t>
      </w:r>
      <w:r w:rsidR="00E1320C">
        <w:t xml:space="preserve"> </w:t>
      </w:r>
      <w:r>
        <w:t>Manila, Philippines along with its entry into force on 5 June 2024 for Singapore and</w:t>
      </w:r>
      <w:r w:rsidR="00E1320C">
        <w:t xml:space="preserve"> </w:t>
      </w:r>
      <w:r>
        <w:t>Thailand, 19 August 2024 for Viet Nam and 26 August 2024 for Myanmar. The Meeting</w:t>
      </w:r>
      <w:r w:rsidR="00E1320C">
        <w:t xml:space="preserve"> </w:t>
      </w:r>
      <w:r>
        <w:t>urged the remaining Member States to expedite their ratification of the Protocol. The</w:t>
      </w:r>
      <w:r w:rsidR="00E1320C">
        <w:t xml:space="preserve"> </w:t>
      </w:r>
      <w:r>
        <w:t>Protocol will put into effect updated Schedules of Commitments that adopt a common</w:t>
      </w:r>
      <w:r w:rsidR="00E1320C">
        <w:t xml:space="preserve"> </w:t>
      </w:r>
      <w:r>
        <w:t>format which would be easier for stakeholders to understand and use, reflecting ASEAN’s</w:t>
      </w:r>
      <w:r w:rsidR="00E1320C">
        <w:t xml:space="preserve"> </w:t>
      </w:r>
      <w:r>
        <w:t>commitment to ensure seamless temporary cross-border movement of natural persons</w:t>
      </w:r>
      <w:r w:rsidR="00E1320C">
        <w:t xml:space="preserve"> </w:t>
      </w:r>
      <w:r>
        <w:t>involved in the provision of trade in goods, trade in services and investment which</w:t>
      </w:r>
      <w:r w:rsidR="00E1320C">
        <w:t xml:space="preserve"> </w:t>
      </w:r>
      <w:r>
        <w:t>contributes towards enhanced regional integration.</w:t>
      </w:r>
    </w:p>
    <w:p w14:paraId="4B1E6DD3" w14:textId="77777777" w:rsidR="00F70FB8" w:rsidRDefault="00F70FB8" w:rsidP="00E1320C">
      <w:pPr>
        <w:pStyle w:val="Heading2"/>
      </w:pPr>
      <w:bookmarkStart w:id="5" w:name="_Toc188631053"/>
    </w:p>
    <w:p w14:paraId="57740BF4" w14:textId="77777777" w:rsidR="00F70FB8" w:rsidRDefault="00F70FB8" w:rsidP="00E1320C">
      <w:pPr>
        <w:pStyle w:val="Heading2"/>
      </w:pPr>
    </w:p>
    <w:p w14:paraId="589BCF33" w14:textId="69680AD2" w:rsidR="009B1374" w:rsidRDefault="009B1374" w:rsidP="00E1320C">
      <w:pPr>
        <w:pStyle w:val="Heading2"/>
      </w:pPr>
      <w:r>
        <w:lastRenderedPageBreak/>
        <w:t>Investment</w:t>
      </w:r>
      <w:bookmarkEnd w:id="5"/>
    </w:p>
    <w:p w14:paraId="15910C5C" w14:textId="68D85B19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welcomed the commencement of signing of the Fifth Protocol to</w:t>
      </w:r>
      <w:r w:rsidR="00E1320C">
        <w:t xml:space="preserve"> </w:t>
      </w:r>
      <w:r>
        <w:t>Amend the ASEAN Comprehensive Investment Agreement (ACIA) on 16 September</w:t>
      </w:r>
      <w:r w:rsidR="00E1320C">
        <w:t xml:space="preserve"> </w:t>
      </w:r>
      <w:r>
        <w:t>2024 and looked forward to the completion of this signing within the year. This Protocol</w:t>
      </w:r>
      <w:r w:rsidR="00E1320C">
        <w:t xml:space="preserve"> </w:t>
      </w:r>
      <w:r>
        <w:t xml:space="preserve">provides for the </w:t>
      </w:r>
      <w:proofErr w:type="spellStart"/>
      <w:r>
        <w:t>operationalisation</w:t>
      </w:r>
      <w:proofErr w:type="spellEnd"/>
      <w:r>
        <w:t xml:space="preserve"> of the transition of the current single-annex reservation</w:t>
      </w:r>
      <w:r w:rsidR="00E1320C">
        <w:t xml:space="preserve"> </w:t>
      </w:r>
      <w:r>
        <w:t>list under the ACIA to a two-annex negative list which will include the reservations against</w:t>
      </w:r>
      <w:r w:rsidR="00E1320C">
        <w:t xml:space="preserve"> </w:t>
      </w:r>
      <w:r>
        <w:t>the obligation on Prohibition of Performance Requirements mandated under the Fourth</w:t>
      </w:r>
      <w:r w:rsidR="00E1320C">
        <w:t xml:space="preserve"> </w:t>
      </w:r>
      <w:r>
        <w:t>Protocol to Amend the ACIA; the expansion of the scope of the ACIA beyond</w:t>
      </w:r>
      <w:r w:rsidR="00E1320C">
        <w:t xml:space="preserve"> </w:t>
      </w:r>
      <w:r>
        <w:t>manufacturing, agriculture, fishery, forestry, mining and quarrying and their incidental</w:t>
      </w:r>
      <w:r w:rsidR="00E1320C">
        <w:t xml:space="preserve"> </w:t>
      </w:r>
      <w:r>
        <w:t>services; and the application of the ratchet mechanism to some Member States. These</w:t>
      </w:r>
      <w:r w:rsidR="00E1320C">
        <w:t xml:space="preserve"> </w:t>
      </w:r>
      <w:r>
        <w:t>features will provide even greater certainty and transparency to investors on the</w:t>
      </w:r>
      <w:r w:rsidR="00E1320C">
        <w:t xml:space="preserve"> </w:t>
      </w:r>
      <w:r>
        <w:t>investment regime in ASEAN as well as ensuring that ASEAN’s internal investment</w:t>
      </w:r>
      <w:r w:rsidR="00E1320C">
        <w:t xml:space="preserve"> </w:t>
      </w:r>
      <w:r>
        <w:t>agreement continued its relevance vis-à-vis ASEAN’s external Agreements. The Meetin</w:t>
      </w:r>
      <w:r w:rsidR="00E1320C">
        <w:t xml:space="preserve">g </w:t>
      </w:r>
      <w:r>
        <w:t xml:space="preserve">tasked officials to </w:t>
      </w:r>
      <w:proofErr w:type="spellStart"/>
      <w:r>
        <w:t>finalise</w:t>
      </w:r>
      <w:proofErr w:type="spellEnd"/>
      <w:r>
        <w:t xml:space="preserve"> the Schedule of Reservations and Non-Conforming Measures</w:t>
      </w:r>
      <w:r w:rsidR="00E1320C">
        <w:t xml:space="preserve"> </w:t>
      </w:r>
      <w:r>
        <w:t>within 180 days after the date of the signing.</w:t>
      </w:r>
    </w:p>
    <w:p w14:paraId="02756DD3" w14:textId="77777777" w:rsidR="00E1320C" w:rsidRDefault="00E1320C" w:rsidP="00814188">
      <w:pPr>
        <w:spacing w:before="0" w:after="0"/>
      </w:pPr>
    </w:p>
    <w:p w14:paraId="48011559" w14:textId="29130E93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noted the good progress of the development of the ASEAN</w:t>
      </w:r>
      <w:r w:rsidR="00E1320C">
        <w:t xml:space="preserve"> </w:t>
      </w:r>
      <w:r>
        <w:t>Sustainable Investment Guidelines (ASIG), which aims to guide ASEAN’s investment</w:t>
      </w:r>
      <w:r w:rsidR="00E1320C">
        <w:t xml:space="preserve"> </w:t>
      </w:r>
      <w:r>
        <w:t>policy in contributing to the achievement of Sustainable Development Goals (SDGs). The</w:t>
      </w:r>
      <w:r w:rsidR="00E1320C">
        <w:t xml:space="preserve"> </w:t>
      </w:r>
      <w:r>
        <w:t xml:space="preserve">Meeting tasked officials to </w:t>
      </w:r>
      <w:proofErr w:type="spellStart"/>
      <w:r>
        <w:t>finalise</w:t>
      </w:r>
      <w:proofErr w:type="spellEnd"/>
      <w:r>
        <w:t xml:space="preserve"> the ASEAN Sustainable Investment Guidelines within2024 for adoption next year.</w:t>
      </w:r>
    </w:p>
    <w:p w14:paraId="13D590E7" w14:textId="77777777" w:rsidR="00E1320C" w:rsidRDefault="00E1320C" w:rsidP="00814188">
      <w:pPr>
        <w:spacing w:before="0" w:after="0"/>
      </w:pPr>
    </w:p>
    <w:p w14:paraId="035F7255" w14:textId="7D94080C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welcomed the in-principle adoption of the ASEAN Regional</w:t>
      </w:r>
      <w:r w:rsidR="00E1320C">
        <w:t xml:space="preserve"> </w:t>
      </w:r>
      <w:r>
        <w:t>Investment Promotion Plan Phase 1 (2025-2026) as a living document which can be</w:t>
      </w:r>
      <w:r w:rsidR="00E1320C">
        <w:t xml:space="preserve"> </w:t>
      </w:r>
      <w:r>
        <w:t xml:space="preserve">updated as and when necessary, </w:t>
      </w:r>
      <w:proofErr w:type="gramStart"/>
      <w:r>
        <w:t>taking into account</w:t>
      </w:r>
      <w:proofErr w:type="gramEnd"/>
      <w:r>
        <w:t xml:space="preserve"> Member States’ available resources</w:t>
      </w:r>
      <w:r w:rsidR="00E1320C">
        <w:t xml:space="preserve"> </w:t>
      </w:r>
      <w:r>
        <w:t>and capacity, as well as their respective investment promotion strategies and priorities.</w:t>
      </w:r>
      <w:r w:rsidR="00E1320C">
        <w:t xml:space="preserve"> </w:t>
      </w:r>
      <w:r>
        <w:t>The Action Plan serves as a dynamic and comprehensive workplan for Member States to</w:t>
      </w:r>
      <w:r w:rsidR="00E1320C">
        <w:t xml:space="preserve"> </w:t>
      </w:r>
      <w:r>
        <w:t>collaborate on promoting investment across the ASEAN region and across the value</w:t>
      </w:r>
      <w:r w:rsidR="00E1320C">
        <w:t xml:space="preserve"> </w:t>
      </w:r>
      <w:r>
        <w:t>chain of activities, which had been developed in collaboration with the United Nations</w:t>
      </w:r>
      <w:r w:rsidR="00E1320C">
        <w:t xml:space="preserve"> </w:t>
      </w:r>
      <w:r>
        <w:t>Economic and Social Commission for Asia and the Pacific (UNESCAP) and will be</w:t>
      </w:r>
      <w:r w:rsidR="00E1320C">
        <w:t xml:space="preserve"> </w:t>
      </w:r>
      <w:r>
        <w:t>launched during the ASEAN Investment Forum in October 2024. The Meeting expressed</w:t>
      </w:r>
      <w:r w:rsidR="00E1320C">
        <w:t xml:space="preserve"> </w:t>
      </w:r>
      <w:r>
        <w:t>its appreciation to UNESCAP for its support to ASEAN’s investment integration process.</w:t>
      </w:r>
    </w:p>
    <w:p w14:paraId="50DFCE99" w14:textId="77777777" w:rsidR="00E1320C" w:rsidRDefault="00E1320C" w:rsidP="00814188">
      <w:pPr>
        <w:spacing w:before="0" w:after="0"/>
      </w:pPr>
    </w:p>
    <w:p w14:paraId="75FE4212" w14:textId="17C5C025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discussed the ASEAN Investment Report 2024: ASEAN Economic</w:t>
      </w:r>
      <w:r w:rsidR="00E1320C">
        <w:t xml:space="preserve"> </w:t>
      </w:r>
      <w:r>
        <w:t>Community and Foreign Direct Investment, which will also be finalised and launched at</w:t>
      </w:r>
      <w:r w:rsidR="00E1320C">
        <w:t xml:space="preserve"> </w:t>
      </w:r>
      <w:r>
        <w:t>the ASEAN Business and Investment Summit (ABIS) on 9 October 2024. The Report</w:t>
      </w:r>
      <w:r w:rsidR="00E1320C">
        <w:t xml:space="preserve"> </w:t>
      </w:r>
      <w:r>
        <w:t>highlights the latest FDI trends in the region, the achievement of the AEC 2025 Blueprint</w:t>
      </w:r>
      <w:r w:rsidR="00E1320C">
        <w:t xml:space="preserve"> </w:t>
      </w:r>
      <w:r>
        <w:t>for FDI as well as the prospective areas for priorities and policy imperatives for the next</w:t>
      </w:r>
      <w:r w:rsidR="00E1320C">
        <w:t xml:space="preserve"> </w:t>
      </w:r>
      <w:r>
        <w:t>decade. The Meeting expressed appreciation to the United Nations Trade and</w:t>
      </w:r>
      <w:r w:rsidR="00E1320C">
        <w:t xml:space="preserve"> </w:t>
      </w:r>
      <w:r>
        <w:t>Development (UNCTAD) for its continuing cooperation in preparing the Report, with</w:t>
      </w:r>
      <w:r w:rsidR="00E1320C">
        <w:t xml:space="preserve"> </w:t>
      </w:r>
      <w:r>
        <w:t>support from the Government of Australia.</w:t>
      </w:r>
    </w:p>
    <w:p w14:paraId="3A36D19A" w14:textId="77777777" w:rsidR="00E1320C" w:rsidRDefault="00E1320C" w:rsidP="00814188">
      <w:pPr>
        <w:spacing w:before="0" w:after="0"/>
      </w:pPr>
    </w:p>
    <w:p w14:paraId="3CD5E668" w14:textId="7418EA2B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also discussed the Policy Paper on Global Minimum Tax and its</w:t>
      </w:r>
      <w:r w:rsidR="00E1320C">
        <w:t xml:space="preserve"> </w:t>
      </w:r>
      <w:r>
        <w:t>potential implications on investment incentives and promotion in the region and</w:t>
      </w:r>
      <w:r w:rsidR="00E1320C">
        <w:t xml:space="preserve"> </w:t>
      </w:r>
      <w:r>
        <w:t>acknowledged the importance of closer coordination and further policy discussion in order</w:t>
      </w:r>
      <w:r w:rsidR="00E1320C">
        <w:t xml:space="preserve"> </w:t>
      </w:r>
      <w:r>
        <w:t>to sustain the investment growth within the region. The Meeting expressed its</w:t>
      </w:r>
      <w:r w:rsidR="00E1320C">
        <w:t xml:space="preserve"> </w:t>
      </w:r>
      <w:r>
        <w:t>appreciation to the Economic Research Institute for ASEAN and East Asia (ERIA) for its</w:t>
      </w:r>
      <w:r w:rsidR="00E1320C">
        <w:t xml:space="preserve"> </w:t>
      </w:r>
      <w:r>
        <w:t>support in providing the Policy Paper.</w:t>
      </w:r>
    </w:p>
    <w:p w14:paraId="74F4EEDB" w14:textId="77777777" w:rsidR="009B1374" w:rsidRDefault="009B1374" w:rsidP="00E1320C">
      <w:pPr>
        <w:pStyle w:val="Heading2"/>
      </w:pPr>
      <w:bookmarkStart w:id="6" w:name="_Toc188631054"/>
      <w:r>
        <w:t>Competition Policy</w:t>
      </w:r>
      <w:bookmarkEnd w:id="6"/>
    </w:p>
    <w:p w14:paraId="02DFE240" w14:textId="11C9E66C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commended the conclusion of the ASEAN Framework Agreement on</w:t>
      </w:r>
      <w:r w:rsidR="00E1320C">
        <w:t xml:space="preserve"> </w:t>
      </w:r>
      <w:r>
        <w:t>Competition (AFAC) at the 12th AFAC Negotiation in June 2024, Manila, Philippines. This</w:t>
      </w:r>
      <w:r w:rsidR="00E1320C">
        <w:t xml:space="preserve"> </w:t>
      </w:r>
      <w:r>
        <w:t>legally binding agreement signifies the ASEAN’s strong commitment to fostering a fair</w:t>
      </w:r>
      <w:r w:rsidR="00E1320C">
        <w:t xml:space="preserve"> </w:t>
      </w:r>
      <w:r>
        <w:t>and competitive business environment, crucial for enhancing economic efficiency,</w:t>
      </w:r>
      <w:r w:rsidR="00E1320C">
        <w:t xml:space="preserve"> </w:t>
      </w:r>
      <w:r>
        <w:t>inclusive growth, and development across the region. The Meeting looked forward to the</w:t>
      </w:r>
      <w:r w:rsidR="00E1320C">
        <w:t xml:space="preserve"> </w:t>
      </w:r>
      <w:r>
        <w:t>signing of AFAC in 2025.</w:t>
      </w:r>
    </w:p>
    <w:p w14:paraId="58C4C15A" w14:textId="77777777" w:rsidR="009B1374" w:rsidRDefault="009B1374" w:rsidP="00814188">
      <w:pPr>
        <w:spacing w:before="0" w:after="0"/>
      </w:pPr>
    </w:p>
    <w:p w14:paraId="7DEFF2B1" w14:textId="77777777" w:rsidR="001B38CF" w:rsidRDefault="001B38CF" w:rsidP="00814188">
      <w:pPr>
        <w:spacing w:before="0" w:after="0"/>
      </w:pPr>
    </w:p>
    <w:p w14:paraId="60E80AF7" w14:textId="145F3472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The Meeting also acknowledged progress on the ASEAN Heads of Competition</w:t>
      </w:r>
      <w:r>
        <w:t xml:space="preserve"> </w:t>
      </w:r>
      <w:r>
        <w:t>Agencies Joint Statement, underscoring our collective efforts to strengthen regional</w:t>
      </w:r>
      <w:r>
        <w:t xml:space="preserve"> </w:t>
      </w:r>
      <w:r>
        <w:t>cooperation in competition law and policy for a cohesive and competitive ASEAN market.</w:t>
      </w:r>
      <w:r>
        <w:t xml:space="preserve"> </w:t>
      </w:r>
      <w:r>
        <w:t>Additionally, the Meeting noted the ongoing updates to the 6th Edition of the Handbook</w:t>
      </w:r>
      <w:r>
        <w:t xml:space="preserve"> </w:t>
      </w:r>
      <w:r>
        <w:t>on Competition Policy and Law for Businesses, providing comprehensive insights into</w:t>
      </w:r>
      <w:r>
        <w:t xml:space="preserve"> </w:t>
      </w:r>
      <w:r>
        <w:t>competition regimes of ASEAN Member States, benefiting businesses and stakeholders</w:t>
      </w:r>
      <w:r>
        <w:t xml:space="preserve"> </w:t>
      </w:r>
      <w:r>
        <w:t>regionally and internationally. Despite achieving significant milestones, the Meeting</w:t>
      </w:r>
      <w:r>
        <w:t xml:space="preserve"> </w:t>
      </w:r>
      <w:r>
        <w:t>recognized the challenges with the ASEAN Merger Information Sharing Portal (MISP)</w:t>
      </w:r>
      <w:r>
        <w:t xml:space="preserve"> </w:t>
      </w:r>
      <w:r>
        <w:t>initiative due to procurement delays hindering progress. The Meeting emphasized the</w:t>
      </w:r>
      <w:r>
        <w:t xml:space="preserve"> </w:t>
      </w:r>
      <w:r>
        <w:t>urgency to expedite these processes to ensure the piloted MISP launches by year-end,</w:t>
      </w:r>
      <w:r>
        <w:t xml:space="preserve"> </w:t>
      </w:r>
      <w:r>
        <w:t>enhancing collaboration and efficiency in ASEAN's merger control efforts.</w:t>
      </w:r>
    </w:p>
    <w:p w14:paraId="2154B0AB" w14:textId="490A4DB6" w:rsidR="009B1374" w:rsidRDefault="009B1374" w:rsidP="009B1374">
      <w:pPr>
        <w:pStyle w:val="Heading2"/>
      </w:pPr>
      <w:bookmarkStart w:id="7" w:name="_Toc188631055"/>
      <w:r>
        <w:t>Consumer Protection</w:t>
      </w:r>
      <w:bookmarkEnd w:id="7"/>
    </w:p>
    <w:p w14:paraId="7AEFB2B2" w14:textId="10122BCD" w:rsidR="009B1374" w:rsidRDefault="009B1374" w:rsidP="00814188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was pleased with the ASEAN Committee on Consumer Protection's</w:t>
      </w:r>
      <w:r>
        <w:t xml:space="preserve"> </w:t>
      </w:r>
      <w:r>
        <w:t>(ACCP) endorsement of the ASEAN Guidelines on Unfair Contract Terms (UCT</w:t>
      </w:r>
      <w:r>
        <w:t xml:space="preserve"> </w:t>
      </w:r>
      <w:r>
        <w:t>Guidelines) on 20 February 2024. This milestone underscores ASEAN's commitment to</w:t>
      </w:r>
      <w:r>
        <w:t xml:space="preserve"> </w:t>
      </w:r>
      <w:r>
        <w:t>fostering consumer confidence and fair market practices. These guidelines set out</w:t>
      </w:r>
      <w:r>
        <w:t xml:space="preserve"> </w:t>
      </w:r>
      <w:r>
        <w:t xml:space="preserve">common definitions for fair and transparent </w:t>
      </w:r>
      <w:r w:rsidR="001B38CF">
        <w:br/>
      </w:r>
      <w:r>
        <w:t>business-to-consumer (B2C) contract terms,</w:t>
      </w:r>
      <w:r>
        <w:t xml:space="preserve"> </w:t>
      </w:r>
      <w:r>
        <w:t>including terms that are automatically deemed unenforceable in some jurisdictions, and</w:t>
      </w:r>
      <w:r>
        <w:t xml:space="preserve"> </w:t>
      </w:r>
      <w:r>
        <w:t>provide possible approaches for collaboration among consumer protection authorities,</w:t>
      </w:r>
      <w:r>
        <w:t xml:space="preserve"> </w:t>
      </w:r>
      <w:r>
        <w:t>competition bodies, consumer associations, and private sectors in the control of unfair</w:t>
      </w:r>
      <w:r>
        <w:t xml:space="preserve"> </w:t>
      </w:r>
      <w:r>
        <w:t>contract terms, consumer and seller or supplier education, as well as to facilitate</w:t>
      </w:r>
      <w:r>
        <w:t xml:space="preserve"> </w:t>
      </w:r>
      <w:r>
        <w:t>consumer access to advice and redress. The Meeting also commended the ACCP’s</w:t>
      </w:r>
      <w:r>
        <w:t xml:space="preserve"> </w:t>
      </w:r>
      <w:r>
        <w:t>efforts in spearheading a regional information campaign to raise awareness among</w:t>
      </w:r>
      <w:r>
        <w:t xml:space="preserve"> </w:t>
      </w:r>
      <w:r>
        <w:t>ASEAN consumers about their consumer rights under the UCT Guidelines. The Meeting</w:t>
      </w:r>
      <w:r>
        <w:t xml:space="preserve"> </w:t>
      </w:r>
      <w:r>
        <w:t>also welcomed the progress in developing the 3rd edition of the ASEAN Handbook on</w:t>
      </w:r>
      <w:r>
        <w:t xml:space="preserve"> </w:t>
      </w:r>
      <w:r>
        <w:t>Consumer Protection Laws and Regulations, which integrates emerging issues like digital</w:t>
      </w:r>
      <w:r>
        <w:t xml:space="preserve"> </w:t>
      </w:r>
      <w:r>
        <w:t>economy and sustainability, providing updated resources for consumers and</w:t>
      </w:r>
      <w:r>
        <w:t xml:space="preserve"> </w:t>
      </w:r>
      <w:r>
        <w:t>stakeholders across ASEAN. The handbook illustrates ASEAN's commitment to</w:t>
      </w:r>
      <w:r>
        <w:t xml:space="preserve"> </w:t>
      </w:r>
      <w:r>
        <w:t>empowering consumers with the knowledge and resources needed to make informed</w:t>
      </w:r>
      <w:r>
        <w:t xml:space="preserve"> </w:t>
      </w:r>
      <w:r>
        <w:t>decisions and exercise their consumer rights effectively.</w:t>
      </w:r>
    </w:p>
    <w:p w14:paraId="1DD087BC" w14:textId="77777777" w:rsidR="009B1374" w:rsidRDefault="009B1374" w:rsidP="009B1374">
      <w:pPr>
        <w:pStyle w:val="Heading2"/>
      </w:pPr>
      <w:bookmarkStart w:id="8" w:name="_Toc188631056"/>
      <w:r>
        <w:t>Intellectual Property</w:t>
      </w:r>
      <w:bookmarkEnd w:id="8"/>
    </w:p>
    <w:p w14:paraId="0D3B4FA1" w14:textId="58DA253F" w:rsidR="009B1374" w:rsidRDefault="009B1374" w:rsidP="007C2AED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commended the good progress of the Project to Develop the National</w:t>
      </w:r>
      <w:r>
        <w:t xml:space="preserve"> </w:t>
      </w:r>
      <w:r>
        <w:t>Policies and Laws relating to Genetic Resources Traditional Knowledge and Traditional</w:t>
      </w:r>
      <w:r>
        <w:t xml:space="preserve"> </w:t>
      </w:r>
      <w:r>
        <w:t>Cultural Expression (GRTKTCE), noting that it will enhance the rights of indigenous</w:t>
      </w:r>
      <w:r>
        <w:t xml:space="preserve"> </w:t>
      </w:r>
      <w:r>
        <w:t>people and preserve cultural heritage while promoting innovation. The meeting</w:t>
      </w:r>
      <w:r>
        <w:t xml:space="preserve"> </w:t>
      </w:r>
      <w:r>
        <w:t>underscored the urgency of providing ASEAN SMEs, start-ups, and innovators with</w:t>
      </w:r>
      <w:r>
        <w:t xml:space="preserve"> </w:t>
      </w:r>
      <w:r>
        <w:t>essential tools and knowledge to effectively value and manage their intellectual property</w:t>
      </w:r>
      <w:r>
        <w:t xml:space="preserve"> </w:t>
      </w:r>
      <w:r>
        <w:t>assets. This effort is being addressed through the ASEAN IP Valuation Roadmap, which</w:t>
      </w:r>
      <w:r>
        <w:t xml:space="preserve"> </w:t>
      </w:r>
      <w:r>
        <w:t>includes the development of an IP Valuation Toolkit. This toolkit will be further</w:t>
      </w:r>
      <w:r>
        <w:t xml:space="preserve"> </w:t>
      </w:r>
      <w:r>
        <w:t>disseminated to relevant stakeholders in each ASEAN Member State (AMS) through a</w:t>
      </w:r>
      <w:r>
        <w:t xml:space="preserve"> </w:t>
      </w:r>
      <w:r>
        <w:t>series of training sessions scheduled to take place between 2024 and 2025. By</w:t>
      </w:r>
      <w:r>
        <w:t xml:space="preserve"> </w:t>
      </w:r>
      <w:r>
        <w:t>enhancing IP valuation practices, this initiative supports SMEs and startups in making</w:t>
      </w:r>
      <w:r>
        <w:t xml:space="preserve"> </w:t>
      </w:r>
      <w:r>
        <w:t>informed business decisions, attracting investment, and protecting their innovations.</w:t>
      </w:r>
    </w:p>
    <w:p w14:paraId="376A80BF" w14:textId="77777777" w:rsidR="009B1374" w:rsidRDefault="009B1374" w:rsidP="009B1374">
      <w:pPr>
        <w:pStyle w:val="Heading2"/>
      </w:pPr>
      <w:bookmarkStart w:id="9" w:name="_Toc188631057"/>
      <w:r>
        <w:t>Electronic Commerce and Digital Economy</w:t>
      </w:r>
      <w:bookmarkEnd w:id="9"/>
    </w:p>
    <w:p w14:paraId="18AA8C8C" w14:textId="1C5B18F2" w:rsidR="009B1374" w:rsidRDefault="009B1374" w:rsidP="003D15DC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noted the progress of the negotiation for the Digital Economy</w:t>
      </w:r>
      <w:r>
        <w:t xml:space="preserve"> </w:t>
      </w:r>
      <w:r>
        <w:t>Framework Agreement (DEFA) and tasked officials to expedite the negotiations to</w:t>
      </w:r>
      <w:r>
        <w:t xml:space="preserve"> </w:t>
      </w:r>
      <w:r>
        <w:t>achieve a dynamic, comprehensive, forward-looking and future-proof DEFA that will seek</w:t>
      </w:r>
      <w:r>
        <w:t xml:space="preserve"> </w:t>
      </w:r>
      <w:r>
        <w:t xml:space="preserve">to improve on existing commitments, with a view to </w:t>
      </w:r>
      <w:proofErr w:type="spellStart"/>
      <w:r>
        <w:t>realising</w:t>
      </w:r>
      <w:proofErr w:type="spellEnd"/>
      <w:r>
        <w:t xml:space="preserve"> an ASEAN Digital Economy,</w:t>
      </w:r>
      <w:r>
        <w:t xml:space="preserve"> </w:t>
      </w:r>
      <w:r>
        <w:t>where the seamless and secure flow of goods, services, and data is underpinned by</w:t>
      </w:r>
      <w:r>
        <w:t xml:space="preserve"> </w:t>
      </w:r>
      <w:r>
        <w:t>enabling rules, regulation infrastructure, and talent as mandated by the ASEAN Leaders</w:t>
      </w:r>
      <w:r>
        <w:t xml:space="preserve"> </w:t>
      </w:r>
      <w:r>
        <w:t>Statement on the Development of DEFA at the 43rd ASEAN Summit on 5 September</w:t>
      </w:r>
      <w:r>
        <w:t xml:space="preserve"> </w:t>
      </w:r>
      <w:r>
        <w:t>2023. The Meeting looked forward to the timely completion of DEFA negotiations in 2025.</w:t>
      </w:r>
    </w:p>
    <w:p w14:paraId="72F4E1BE" w14:textId="77777777" w:rsidR="009B1374" w:rsidRDefault="009B1374" w:rsidP="003D15DC">
      <w:pPr>
        <w:spacing w:before="0" w:after="0"/>
      </w:pPr>
    </w:p>
    <w:p w14:paraId="3F834754" w14:textId="13F68215" w:rsidR="009B1374" w:rsidRDefault="009B1374" w:rsidP="003D15DC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acknowledged that ASEAN is at its third year on the implementation</w:t>
      </w:r>
      <w:r>
        <w:t xml:space="preserve"> </w:t>
      </w:r>
      <w:r>
        <w:t>of the Bandar Seri Begawan Roadmap, an ASEAN Digital Transformation Agenda to</w:t>
      </w:r>
      <w:r>
        <w:t xml:space="preserve"> </w:t>
      </w:r>
      <w:r>
        <w:t>Accelerate ASEAN’s Economic Recovery and Digital Economy Integration. The Meeting</w:t>
      </w:r>
      <w:r>
        <w:t xml:space="preserve"> </w:t>
      </w:r>
      <w:r>
        <w:t>noted the completion of 69% of the action items, as of August 2024, while the remaining</w:t>
      </w:r>
      <w:r>
        <w:t xml:space="preserve"> </w:t>
      </w:r>
      <w:r>
        <w:t>31% are all on-going, which are scheduled to be completed by 2025.</w:t>
      </w:r>
    </w:p>
    <w:p w14:paraId="2C0AAEB3" w14:textId="77777777" w:rsidR="009B1374" w:rsidRDefault="009B1374" w:rsidP="003D15DC">
      <w:pPr>
        <w:spacing w:before="0" w:after="0"/>
      </w:pPr>
    </w:p>
    <w:p w14:paraId="663C3865" w14:textId="097DD33C" w:rsidR="009B1374" w:rsidRDefault="009B1374" w:rsidP="003D15DC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also commended on the completion and endorsement of the ASEAN</w:t>
      </w:r>
      <w:r>
        <w:t xml:space="preserve"> </w:t>
      </w:r>
      <w:r>
        <w:t>Digital Integration Framework Action Plan Review (DIFAP) and the ASEAN Digital</w:t>
      </w:r>
      <w:r>
        <w:t xml:space="preserve"> </w:t>
      </w:r>
      <w:r>
        <w:t>Integration Index (ADII) 2.0 by the ASEAN Coordinating Committee on Electronic</w:t>
      </w:r>
      <w:r>
        <w:t xml:space="preserve"> </w:t>
      </w:r>
      <w:r>
        <w:t>Commerce and Digital Economy (ACCED).</w:t>
      </w:r>
    </w:p>
    <w:p w14:paraId="7E3B113E" w14:textId="77777777" w:rsidR="009B1374" w:rsidRDefault="009B1374" w:rsidP="009B1374">
      <w:pPr>
        <w:pStyle w:val="Heading2"/>
      </w:pPr>
      <w:bookmarkStart w:id="10" w:name="_Toc188631058"/>
      <w:r>
        <w:t>Micro, Small and Medium Enterprises</w:t>
      </w:r>
      <w:bookmarkEnd w:id="10"/>
    </w:p>
    <w:p w14:paraId="271E7001" w14:textId="2EB7ADA3" w:rsidR="009B1374" w:rsidRDefault="009B1374" w:rsidP="003D15DC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welcomed the progress of the Implementation Roadmap to establish</w:t>
      </w:r>
      <w:r>
        <w:t xml:space="preserve"> </w:t>
      </w:r>
      <w:r>
        <w:t>Regionally Comparable and Recognized Unique Business Identification Numbers (UBIN)</w:t>
      </w:r>
      <w:r>
        <w:t xml:space="preserve"> </w:t>
      </w:r>
      <w:r>
        <w:t xml:space="preserve">in ASEAN, supported by Australia, and looked forward to its </w:t>
      </w:r>
      <w:proofErr w:type="spellStart"/>
      <w:r>
        <w:t>finalisation</w:t>
      </w:r>
      <w:proofErr w:type="spellEnd"/>
      <w:r>
        <w:t>. The Meeting</w:t>
      </w:r>
      <w:r>
        <w:t xml:space="preserve"> </w:t>
      </w:r>
      <w:r>
        <w:t>underscored the significant impact of the deployment of UBIN on the ASEAN strategy to</w:t>
      </w:r>
      <w:r>
        <w:t xml:space="preserve"> </w:t>
      </w:r>
      <w:r>
        <w:t xml:space="preserve">develop the ASEAN Digital Economy and tasked officials to </w:t>
      </w:r>
      <w:proofErr w:type="spellStart"/>
      <w:r>
        <w:t>finalise</w:t>
      </w:r>
      <w:proofErr w:type="spellEnd"/>
      <w:r>
        <w:t xml:space="preserve"> the Implementation</w:t>
      </w:r>
      <w:r>
        <w:t xml:space="preserve"> </w:t>
      </w:r>
      <w:r>
        <w:t>Roadmap for expeditious implementation.</w:t>
      </w:r>
    </w:p>
    <w:p w14:paraId="73E4C76E" w14:textId="77777777" w:rsidR="009B1374" w:rsidRDefault="009B1374" w:rsidP="003D15DC">
      <w:pPr>
        <w:spacing w:before="0" w:after="0"/>
      </w:pPr>
    </w:p>
    <w:p w14:paraId="67288DCF" w14:textId="3AAFEF88" w:rsidR="009B1374" w:rsidRDefault="009B1374" w:rsidP="003D15DC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endorsed the ASEAN SME Policy Index 2024, developed with</w:t>
      </w:r>
      <w:r>
        <w:t xml:space="preserve"> </w:t>
      </w:r>
      <w:r>
        <w:t>technical support from the OECD and ERIA and funding support from the Governments</w:t>
      </w:r>
      <w:r>
        <w:t xml:space="preserve"> </w:t>
      </w:r>
      <w:r>
        <w:t>of Germany and Ireland, and welcomed the third edition of the policy index as a primary</w:t>
      </w:r>
      <w:r>
        <w:t xml:space="preserve"> </w:t>
      </w:r>
      <w:r>
        <w:t>document to benchmark MSME policies across ASEAN and inform the development of</w:t>
      </w:r>
      <w:r>
        <w:t xml:space="preserve"> </w:t>
      </w:r>
      <w:r>
        <w:t>MSME policies post-2025.</w:t>
      </w:r>
    </w:p>
    <w:p w14:paraId="5A2B86E2" w14:textId="77777777" w:rsidR="009B1374" w:rsidRDefault="009B1374" w:rsidP="003D15DC">
      <w:pPr>
        <w:spacing w:before="0" w:after="0"/>
      </w:pPr>
    </w:p>
    <w:p w14:paraId="47FA3C15" w14:textId="01B7DBB4" w:rsidR="009B1374" w:rsidRDefault="009B1374" w:rsidP="003D15DC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endorsed the Model Framework for an Inclusive Business (IB)</w:t>
      </w:r>
      <w:r>
        <w:t xml:space="preserve"> </w:t>
      </w:r>
      <w:r>
        <w:t>Accreditation System in ASEAN, developed with the technical assistance of the United</w:t>
      </w:r>
      <w:r>
        <w:t xml:space="preserve"> </w:t>
      </w:r>
      <w:r>
        <w:t>Nations Economic and Social Commission for Asia and the Pacific (ESCAP). The Model</w:t>
      </w:r>
      <w:r>
        <w:t xml:space="preserve"> </w:t>
      </w:r>
      <w:r>
        <w:t>Framework serves as a reference document for developing an IB Accreditation System</w:t>
      </w:r>
      <w:r>
        <w:t xml:space="preserve"> </w:t>
      </w:r>
      <w:r>
        <w:t>to recognise inclusive businesses in the region in ASEAN’s efforts to foster a more</w:t>
      </w:r>
      <w:r>
        <w:t xml:space="preserve"> </w:t>
      </w:r>
      <w:r>
        <w:t>inclusive and sustainable business environment in the region.</w:t>
      </w:r>
    </w:p>
    <w:p w14:paraId="37243CE2" w14:textId="04408AB0" w:rsidR="009B1374" w:rsidRDefault="009B1374" w:rsidP="009B1374">
      <w:pPr>
        <w:pStyle w:val="Heading2"/>
      </w:pPr>
      <w:bookmarkStart w:id="11" w:name="_Toc188631059"/>
      <w:r>
        <w:t>Public-Private Sector Engagement</w:t>
      </w:r>
      <w:bookmarkEnd w:id="11"/>
    </w:p>
    <w:p w14:paraId="4732B238" w14:textId="4A94F5DA" w:rsidR="009B1374" w:rsidRDefault="009B1374" w:rsidP="003D15DC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welcomed greater involvement and more structured participation of</w:t>
      </w:r>
      <w:r>
        <w:t xml:space="preserve"> </w:t>
      </w:r>
      <w:r>
        <w:t>the private sector in designing regional strategies and initiatives and identifying business</w:t>
      </w:r>
      <w:r>
        <w:t xml:space="preserve"> </w:t>
      </w:r>
      <w:r>
        <w:t xml:space="preserve">impediments to </w:t>
      </w:r>
      <w:proofErr w:type="spellStart"/>
      <w:r>
        <w:t>realising</w:t>
      </w:r>
      <w:proofErr w:type="spellEnd"/>
      <w:r>
        <w:t xml:space="preserve"> deeper regional economic integration. To achieve this, the</w:t>
      </w:r>
      <w:r>
        <w:t xml:space="preserve"> </w:t>
      </w:r>
      <w:r>
        <w:t>Meeting tasked the ASEAN-BAC to solidify its institutional role as apex private sector</w:t>
      </w:r>
      <w:r>
        <w:t xml:space="preserve"> </w:t>
      </w:r>
      <w:r>
        <w:t>body to take the lead in coordinating and conveying inputs from the various regional</w:t>
      </w:r>
      <w:r>
        <w:t xml:space="preserve"> </w:t>
      </w:r>
      <w:r>
        <w:t>business councils, business associations and business entities in their interactions with</w:t>
      </w:r>
      <w:r>
        <w:t xml:space="preserve"> </w:t>
      </w:r>
      <w:r>
        <w:t>various ASEAN sectoral bodies. In this regard, the Meeting endorsed the</w:t>
      </w:r>
      <w:r>
        <w:t xml:space="preserve"> </w:t>
      </w:r>
      <w:r>
        <w:t>recommendations to enhance the mechanism for the ASEAN-BAC engagement with</w:t>
      </w:r>
      <w:r>
        <w:t xml:space="preserve"> </w:t>
      </w:r>
      <w:r>
        <w:t>sectoral bodies under the AEC.</w:t>
      </w:r>
    </w:p>
    <w:p w14:paraId="41366B7F" w14:textId="2EFD0790" w:rsidR="009B1374" w:rsidRDefault="009B1374" w:rsidP="009B1374">
      <w:pPr>
        <w:pStyle w:val="Heading2"/>
      </w:pPr>
      <w:bookmarkStart w:id="12" w:name="_Toc188631060"/>
      <w:r>
        <w:t>ASEAN Community Statistical System (ACSS)</w:t>
      </w:r>
      <w:bookmarkEnd w:id="12"/>
    </w:p>
    <w:p w14:paraId="2896F54F" w14:textId="1860A090" w:rsidR="009B1374" w:rsidRDefault="009B1374" w:rsidP="003D15DC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commended the ACSS for its continued efforts in the enhancement</w:t>
      </w:r>
      <w:r>
        <w:t xml:space="preserve"> </w:t>
      </w:r>
      <w:r>
        <w:t xml:space="preserve">and </w:t>
      </w:r>
      <w:proofErr w:type="spellStart"/>
      <w:r>
        <w:t>harmonisation</w:t>
      </w:r>
      <w:proofErr w:type="spellEnd"/>
      <w:r>
        <w:t xml:space="preserve"> of key statistical areas relevant to the AEC integration monitoring. The</w:t>
      </w:r>
      <w:r>
        <w:t xml:space="preserve"> </w:t>
      </w:r>
      <w:r>
        <w:t>Meeting also welcomed the progress of ACSS initiatives in improving ASEAN statistical</w:t>
      </w:r>
      <w:r>
        <w:t xml:space="preserve"> </w:t>
      </w:r>
      <w:r>
        <w:t>capacity, including the drafting of ACSS post-2025 Action Plan, the review of ACSS</w:t>
      </w:r>
      <w:r>
        <w:t xml:space="preserve"> </w:t>
      </w:r>
      <w:r>
        <w:t>Monitoring and Evaluation Key Performance Indicators (M&amp;E KPIs), the development of</w:t>
      </w:r>
      <w:r>
        <w:t xml:space="preserve"> </w:t>
      </w:r>
      <w:r>
        <w:t>the Handbook for Mirror Analysis on International Merchandise Trade Statistics, and the</w:t>
      </w:r>
      <w:r>
        <w:t xml:space="preserve"> </w:t>
      </w:r>
      <w:r>
        <w:t xml:space="preserve">implementation of Pilot Project on Application Programming Interface (API) </w:t>
      </w:r>
      <w:proofErr w:type="spellStart"/>
      <w:r>
        <w:t>Utilisation</w:t>
      </w:r>
      <w:proofErr w:type="spellEnd"/>
      <w:r>
        <w:t xml:space="preserve"> for</w:t>
      </w:r>
      <w:r>
        <w:t xml:space="preserve"> </w:t>
      </w:r>
      <w:r>
        <w:t>AMS Data Submission.</w:t>
      </w:r>
    </w:p>
    <w:p w14:paraId="081E267D" w14:textId="77777777" w:rsidR="001B38CF" w:rsidRDefault="001B38CF" w:rsidP="009B1374">
      <w:pPr>
        <w:pStyle w:val="Heading2"/>
      </w:pPr>
      <w:bookmarkStart w:id="13" w:name="_Toc188631061"/>
    </w:p>
    <w:p w14:paraId="1C1A9CF7" w14:textId="77777777" w:rsidR="001B38CF" w:rsidRDefault="001B38CF" w:rsidP="009B1374">
      <w:pPr>
        <w:pStyle w:val="Heading2"/>
      </w:pPr>
    </w:p>
    <w:p w14:paraId="123B9971" w14:textId="07B73FE3" w:rsidR="009B1374" w:rsidRDefault="009B1374" w:rsidP="009B1374">
      <w:pPr>
        <w:pStyle w:val="Heading2"/>
      </w:pPr>
      <w:r>
        <w:lastRenderedPageBreak/>
        <w:t>Working towards a Global ASEAN</w:t>
      </w:r>
      <w:bookmarkEnd w:id="13"/>
    </w:p>
    <w:p w14:paraId="1EE2C0E5" w14:textId="60CD5515" w:rsidR="009B1374" w:rsidRDefault="009B1374" w:rsidP="004741C9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noted significant progress in strengthening economic cooperation</w:t>
      </w:r>
      <w:r>
        <w:t xml:space="preserve"> </w:t>
      </w:r>
      <w:r>
        <w:t>with external partners to reinforce the region’s strategy towards further integrating the</w:t>
      </w:r>
      <w:r>
        <w:t xml:space="preserve"> </w:t>
      </w:r>
      <w:r>
        <w:t>AEC into the global economy while ensuring ASEAN’s resiliency and responsiveness to</w:t>
      </w:r>
      <w:r>
        <w:t xml:space="preserve"> </w:t>
      </w:r>
      <w:r>
        <w:t>the evolving global economic landscape.</w:t>
      </w:r>
    </w:p>
    <w:p w14:paraId="5FB1730C" w14:textId="77777777" w:rsidR="009B1374" w:rsidRDefault="009B1374" w:rsidP="004741C9">
      <w:pPr>
        <w:spacing w:before="0" w:after="0"/>
      </w:pPr>
    </w:p>
    <w:p w14:paraId="58944662" w14:textId="45BA30F7" w:rsidR="009B1374" w:rsidRDefault="009B1374" w:rsidP="004741C9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underscored ASEAN’s efforts to upgrade and review the Free Trade</w:t>
      </w:r>
      <w:r>
        <w:t xml:space="preserve"> </w:t>
      </w:r>
      <w:r>
        <w:t>Agreements or Comprehensive Economic Partnerships with external partners to ensure</w:t>
      </w:r>
      <w:r>
        <w:t xml:space="preserve"> </w:t>
      </w:r>
      <w:r>
        <w:t>these Agreements remain modern, comprehensive, high-quality, and more responsive to</w:t>
      </w:r>
      <w:r>
        <w:t xml:space="preserve"> </w:t>
      </w:r>
      <w:r>
        <w:t>the needs of businesses operating their production networks in ASEAN. The Meeting</w:t>
      </w:r>
      <w:r>
        <w:t xml:space="preserve"> </w:t>
      </w:r>
      <w:r>
        <w:t>welcomed the significant progress towards the substantial conclusion of the ASEAN-China FTA 3.0 Upgrade Negotiations and reaffirmed their commitment to achieve the</w:t>
      </w:r>
      <w:r>
        <w:t xml:space="preserve"> </w:t>
      </w:r>
      <w:r>
        <w:t>substantial conclusion of the negotiations within this year, which will elevate the ASEAN-China trade and economic relations to a greater height. The Meeting noted the progress</w:t>
      </w:r>
      <w:r>
        <w:t xml:space="preserve"> </w:t>
      </w:r>
      <w:r>
        <w:t>in the ongoing negotiations to review the ASEAN-India Trade in Goods Agreement</w:t>
      </w:r>
      <w:r>
        <w:t xml:space="preserve"> </w:t>
      </w:r>
      <w:r>
        <w:t>(AITIGA) and the ASEAN-Canada Free Trade Area (ACAFTA). The Meeting encouraged</w:t>
      </w:r>
      <w:r>
        <w:t xml:space="preserve"> </w:t>
      </w:r>
      <w:r>
        <w:t>officials to expedite the pace of the negotiations and to conclude such negotiations within</w:t>
      </w:r>
      <w:r>
        <w:t xml:space="preserve"> </w:t>
      </w:r>
      <w:r>
        <w:t>their respective target dates.</w:t>
      </w:r>
    </w:p>
    <w:p w14:paraId="47BDBA94" w14:textId="77777777" w:rsidR="009B1374" w:rsidRDefault="009B1374" w:rsidP="004741C9">
      <w:pPr>
        <w:spacing w:before="0" w:after="0"/>
      </w:pPr>
    </w:p>
    <w:p w14:paraId="16DF7EE3" w14:textId="0DB3E639" w:rsidR="009B1374" w:rsidRDefault="009B1374" w:rsidP="004741C9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also looked forward to the early entry into force and effective</w:t>
      </w:r>
      <w:r>
        <w:t xml:space="preserve"> </w:t>
      </w:r>
      <w:r>
        <w:t>implementation of the Second Protocol to Amend the Agreement Establishing the</w:t>
      </w:r>
      <w:r>
        <w:t xml:space="preserve"> </w:t>
      </w:r>
      <w:r>
        <w:t>ASEAN-Australia-New Zealand Free Trade Area (AANZFTA), which will contribute to the</w:t>
      </w:r>
      <w:r>
        <w:t xml:space="preserve"> </w:t>
      </w:r>
      <w:r>
        <w:t>regional economic recovery and bring benefits to the business communities, especially</w:t>
      </w:r>
      <w:r>
        <w:t xml:space="preserve"> </w:t>
      </w:r>
      <w:r>
        <w:t xml:space="preserve">Micro, Small, and Medium Enterprises (MSMEs). The Meeting also </w:t>
      </w:r>
      <w:proofErr w:type="spellStart"/>
      <w:r>
        <w:t>emphasised</w:t>
      </w:r>
      <w:proofErr w:type="spellEnd"/>
      <w:r>
        <w:t xml:space="preserve"> the</w:t>
      </w:r>
      <w:r>
        <w:t xml:space="preserve"> </w:t>
      </w:r>
      <w:r>
        <w:t xml:space="preserve">importance of ensuring effective </w:t>
      </w:r>
      <w:proofErr w:type="spellStart"/>
      <w:r>
        <w:t>utilisation</w:t>
      </w:r>
      <w:proofErr w:type="spellEnd"/>
      <w:r>
        <w:t xml:space="preserve"> of all of ASEAN’s FTAs with the External</w:t>
      </w:r>
      <w:r>
        <w:t xml:space="preserve"> </w:t>
      </w:r>
      <w:r>
        <w:t>Partners to ensure that the FTAs contribute to the welfare of the people in the region.</w:t>
      </w:r>
    </w:p>
    <w:p w14:paraId="58E561D0" w14:textId="77777777" w:rsidR="009B1374" w:rsidRDefault="009B1374" w:rsidP="004741C9">
      <w:pPr>
        <w:spacing w:before="0" w:after="0"/>
      </w:pPr>
    </w:p>
    <w:p w14:paraId="625B4E9B" w14:textId="5D59D9F4" w:rsidR="009B1374" w:rsidRDefault="009B1374" w:rsidP="004741C9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welcomed the establishment of the Regional Comprehensive</w:t>
      </w:r>
      <w:r>
        <w:t xml:space="preserve"> </w:t>
      </w:r>
      <w:r>
        <w:t>Economic Partnership (RCEP) Support Unit, which will provide institutional support for</w:t>
      </w:r>
      <w:r>
        <w:t xml:space="preserve"> </w:t>
      </w:r>
      <w:r>
        <w:t>the implementation of the RCEP Agreement. The Meeting reaffirmed its commitment to</w:t>
      </w:r>
      <w:r>
        <w:t xml:space="preserve"> </w:t>
      </w:r>
      <w:r>
        <w:t>play a central role in the implementation of the RCEP Agreement. Noting the interests</w:t>
      </w:r>
      <w:r>
        <w:t xml:space="preserve"> </w:t>
      </w:r>
      <w:r>
        <w:t>from Hong Kong, China; Sri Lanka; and Chile to accede to the RCEP Agreement, th</w:t>
      </w:r>
      <w:r>
        <w:t xml:space="preserve">e </w:t>
      </w:r>
      <w:r>
        <w:t xml:space="preserve">Meeting encouraged officials to </w:t>
      </w:r>
      <w:proofErr w:type="spellStart"/>
      <w:r>
        <w:t>finalise</w:t>
      </w:r>
      <w:proofErr w:type="spellEnd"/>
      <w:r>
        <w:t xml:space="preserve"> the discussion on the RCEP accession</w:t>
      </w:r>
      <w:r>
        <w:t xml:space="preserve"> </w:t>
      </w:r>
      <w:r>
        <w:t>procedures in an expedient manner.</w:t>
      </w:r>
    </w:p>
    <w:p w14:paraId="6E1C1C72" w14:textId="13A4E8AA" w:rsidR="009B1374" w:rsidRDefault="009B1374" w:rsidP="009B1374">
      <w:pPr>
        <w:pStyle w:val="Heading2"/>
      </w:pPr>
      <w:bookmarkStart w:id="14" w:name="_Toc188631062"/>
      <w:r>
        <w:t>Multilateral Trading System</w:t>
      </w:r>
      <w:bookmarkEnd w:id="14"/>
    </w:p>
    <w:p w14:paraId="5B2D6D74" w14:textId="645FDC60" w:rsidR="009B1374" w:rsidRDefault="009B1374" w:rsidP="004741C9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acknowledged the successful conclusion of the Thirteenth World</w:t>
      </w:r>
      <w:r>
        <w:t xml:space="preserve"> </w:t>
      </w:r>
      <w:r>
        <w:t>Trade Organization (WTO) Ministerial Conference (MC13) held on 26 February – 2 March</w:t>
      </w:r>
      <w:r>
        <w:t xml:space="preserve"> </w:t>
      </w:r>
      <w:r>
        <w:t>2024 in Abu Dhabi, United Arab Emirates. The Meeting noted the outcomes of the MC13</w:t>
      </w:r>
      <w:r>
        <w:t xml:space="preserve"> </w:t>
      </w:r>
      <w:r>
        <w:t>including WTO Members’ resolve to preserve and strengthen the ability of the multilateral</w:t>
      </w:r>
      <w:r>
        <w:t xml:space="preserve"> </w:t>
      </w:r>
      <w:r>
        <w:t>trading system, with the WTO at its core, to provide meaningful impetus to respond to</w:t>
      </w:r>
      <w:r>
        <w:t xml:space="preserve"> </w:t>
      </w:r>
      <w:r>
        <w:t>current trade challenges, take advantage of available opportunities, and ensure the</w:t>
      </w:r>
      <w:r>
        <w:t xml:space="preserve"> </w:t>
      </w:r>
      <w:r>
        <w:t>WTO’s proper functioning. The Meeting, in particular, welcomed the Ministerial Decision</w:t>
      </w:r>
      <w:r>
        <w:t xml:space="preserve"> </w:t>
      </w:r>
      <w:r>
        <w:t>on the Accession of the Democratic Republic of Timor-Leste to the WTO Agreement. The</w:t>
      </w:r>
      <w:r>
        <w:t xml:space="preserve"> </w:t>
      </w:r>
      <w:r>
        <w:t xml:space="preserve">Meeting acknowledged that Timor-Leste’s accession to the WTO is an important </w:t>
      </w:r>
      <w:proofErr w:type="gramStart"/>
      <w:r>
        <w:t>stepping</w:t>
      </w:r>
      <w:r>
        <w:t xml:space="preserve"> </w:t>
      </w:r>
      <w:r>
        <w:t>stone</w:t>
      </w:r>
      <w:proofErr w:type="gramEnd"/>
      <w:r>
        <w:t xml:space="preserve"> for Timor-Leste’s accession to ASEAN. The Meeting was also pleased to note</w:t>
      </w:r>
      <w:r>
        <w:t xml:space="preserve"> </w:t>
      </w:r>
      <w:r>
        <w:t>specific outcomes of the WTO MC13 that reiterated the centrality of the development</w:t>
      </w:r>
      <w:r>
        <w:t xml:space="preserve"> </w:t>
      </w:r>
      <w:r>
        <w:t>dimension in the work of the WTO.</w:t>
      </w:r>
    </w:p>
    <w:p w14:paraId="571FEEFB" w14:textId="77777777" w:rsidR="00DC2E6B" w:rsidRDefault="00DC2E6B" w:rsidP="009B1374">
      <w:pPr>
        <w:pStyle w:val="Heading2"/>
      </w:pPr>
      <w:bookmarkStart w:id="15" w:name="_Toc188631063"/>
    </w:p>
    <w:p w14:paraId="06B25268" w14:textId="77777777" w:rsidR="00DC2E6B" w:rsidRDefault="00DC2E6B" w:rsidP="009B1374">
      <w:pPr>
        <w:pStyle w:val="Heading2"/>
      </w:pPr>
    </w:p>
    <w:p w14:paraId="3F57CA49" w14:textId="77777777" w:rsidR="00DC2E6B" w:rsidRDefault="00DC2E6B" w:rsidP="009B1374">
      <w:pPr>
        <w:pStyle w:val="Heading2"/>
      </w:pPr>
    </w:p>
    <w:p w14:paraId="526AAF1F" w14:textId="02101DE7" w:rsidR="009B1374" w:rsidRDefault="009B1374" w:rsidP="009B1374">
      <w:pPr>
        <w:pStyle w:val="Heading2"/>
      </w:pPr>
      <w:r>
        <w:lastRenderedPageBreak/>
        <w:t>Narrowing the Development Gap</w:t>
      </w:r>
      <w:bookmarkEnd w:id="15"/>
    </w:p>
    <w:p w14:paraId="26C2DF63" w14:textId="31D8320C" w:rsidR="009B1374" w:rsidRDefault="009B1374" w:rsidP="004741C9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underscored the importance of advancing sustainable growth within</w:t>
      </w:r>
      <w:r>
        <w:t xml:space="preserve"> </w:t>
      </w:r>
      <w:r>
        <w:t>the ASEAN region, with substantial highlight on the progress in implementing the IAI Work</w:t>
      </w:r>
      <w:r>
        <w:t xml:space="preserve"> </w:t>
      </w:r>
      <w:r>
        <w:t>Plan IV (2021-2025). The Meeting noted that, as of 28 August 2024, 95 projects have</w:t>
      </w:r>
      <w:r>
        <w:t xml:space="preserve"> </w:t>
      </w:r>
      <w:r>
        <w:t>been accredited, addressing 16 out of 24 actions (66.67%) in the five strategic areas and</w:t>
      </w:r>
      <w:r>
        <w:t xml:space="preserve"> </w:t>
      </w:r>
      <w:r>
        <w:t>all four of the enabling actions. The Meeting commended the successful conduct of the</w:t>
      </w:r>
      <w:r>
        <w:t xml:space="preserve"> </w:t>
      </w:r>
      <w:r>
        <w:t>Regional Workshop on ASEAN Integration: Enhancing the IAI Work Plan IV (2021-2025)</w:t>
      </w:r>
      <w:r>
        <w:t xml:space="preserve"> </w:t>
      </w:r>
      <w:r>
        <w:t xml:space="preserve">held on 2-3 April 2024 in </w:t>
      </w:r>
      <w:proofErr w:type="spellStart"/>
      <w:r>
        <w:t>Siem</w:t>
      </w:r>
      <w:proofErr w:type="spellEnd"/>
      <w:r>
        <w:t xml:space="preserve"> Reap as a crucial platform for the IAI Task Force to improve</w:t>
      </w:r>
      <w:r>
        <w:t xml:space="preserve"> </w:t>
      </w:r>
      <w:r>
        <w:t>coordination efforts and looked forward to implementing the workshop recommendations.</w:t>
      </w:r>
      <w:r>
        <w:t xml:space="preserve"> </w:t>
      </w:r>
      <w:r>
        <w:t>The Meeting further noted on the progress in developing the “Reframed Strategies for</w:t>
      </w:r>
      <w:r>
        <w:t xml:space="preserve"> </w:t>
      </w:r>
      <w:r>
        <w:t>Narrowing Development Gaps and Promoting Sustainable and Inclusive Economic</w:t>
      </w:r>
      <w:r>
        <w:t xml:space="preserve"> </w:t>
      </w:r>
      <w:r>
        <w:t>Growth in the ASEAN Region” as one of the Priority Economic Deliverables (PEDs) under</w:t>
      </w:r>
      <w:r>
        <w:t xml:space="preserve"> </w:t>
      </w:r>
      <w:r>
        <w:t>Lao PDR’s ASEAN Chairmanship this year. The Reframed Strategies is critical to address</w:t>
      </w:r>
      <w:r>
        <w:t xml:space="preserve"> </w:t>
      </w:r>
      <w:r>
        <w:t>the development gaps between and among AMS, respond to regional and global</w:t>
      </w:r>
      <w:r>
        <w:t xml:space="preserve"> </w:t>
      </w:r>
      <w:r>
        <w:t>challenges and ensure that ASEAN’s growth is inclusive, sustainable and resilient.</w:t>
      </w:r>
    </w:p>
    <w:p w14:paraId="14C42252" w14:textId="43657396" w:rsidR="009B1374" w:rsidRDefault="009B1374" w:rsidP="009B1374">
      <w:pPr>
        <w:pStyle w:val="Heading2"/>
      </w:pPr>
      <w:bookmarkStart w:id="16" w:name="_Toc188631064"/>
      <w:r>
        <w:t>Achieving Sustainable Growth in ASEAN</w:t>
      </w:r>
      <w:bookmarkEnd w:id="16"/>
    </w:p>
    <w:p w14:paraId="2973BD54" w14:textId="5E48B6FB" w:rsidR="009B1374" w:rsidRDefault="009B1374" w:rsidP="004741C9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reaffirmed ASEAN's dedication to driving sustainable growth and</w:t>
      </w:r>
      <w:r>
        <w:t xml:space="preserve"> </w:t>
      </w:r>
      <w:r>
        <w:t>environmental stewardship, reinforcing its commitment to a greener and more resilient</w:t>
      </w:r>
      <w:r>
        <w:t xml:space="preserve"> </w:t>
      </w:r>
      <w:r>
        <w:t>future through initiatives including the ASEAN Strategy for Carbon Neutrality, the</w:t>
      </w:r>
      <w:r>
        <w:t xml:space="preserve"> </w:t>
      </w:r>
      <w:r>
        <w:t>Framework for Circular Economy, and the ASEAN Blue Economy Framework. These</w:t>
      </w:r>
      <w:r>
        <w:t xml:space="preserve"> </w:t>
      </w:r>
      <w:r>
        <w:t>efforts not only contribute to global sustainability goals but also strengthen ASEAN's</w:t>
      </w:r>
      <w:r>
        <w:t xml:space="preserve"> </w:t>
      </w:r>
      <w:r>
        <w:t>position as a leader in sustainable development. The meeting acknowledged progress in</w:t>
      </w:r>
      <w:r>
        <w:t xml:space="preserve"> </w:t>
      </w:r>
      <w:r>
        <w:t>its sustainability agenda, including ongoing integration of circular economy elements into</w:t>
      </w:r>
      <w:r>
        <w:t xml:space="preserve"> </w:t>
      </w:r>
      <w:r>
        <w:t>the ASEAN Trade in Goods Agreement (ATIGA) and the establishment of the ASEAN</w:t>
      </w:r>
      <w:r>
        <w:t xml:space="preserve"> </w:t>
      </w:r>
      <w:r>
        <w:t>Task Force on Carbon Neutrality to oversee the implementation of the ASEAN Strategy</w:t>
      </w:r>
      <w:r>
        <w:t xml:space="preserve"> </w:t>
      </w:r>
      <w:r>
        <w:t>for Carbon Neutrality. The Meeting endorsed the Terms of Reference for the ASEAN Task</w:t>
      </w:r>
      <w:r>
        <w:t xml:space="preserve"> </w:t>
      </w:r>
      <w:r>
        <w:t>Force on Carbon Neutrality.</w:t>
      </w:r>
    </w:p>
    <w:p w14:paraId="0E634528" w14:textId="77777777" w:rsidR="009B1374" w:rsidRDefault="009B1374" w:rsidP="004741C9">
      <w:pPr>
        <w:spacing w:before="0" w:after="0"/>
      </w:pPr>
    </w:p>
    <w:p w14:paraId="7649DF4E" w14:textId="68CFBF8F" w:rsidR="009B1374" w:rsidRDefault="009B1374" w:rsidP="004741C9">
      <w:pPr>
        <w:pStyle w:val="ListParagraph"/>
        <w:numPr>
          <w:ilvl w:val="0"/>
          <w:numId w:val="14"/>
        </w:numPr>
        <w:spacing w:before="0" w:after="0"/>
        <w:ind w:left="360"/>
      </w:pPr>
      <w:r>
        <w:t xml:space="preserve">The Meeting </w:t>
      </w:r>
      <w:proofErr w:type="spellStart"/>
      <w:r>
        <w:t>emphasised</w:t>
      </w:r>
      <w:proofErr w:type="spellEnd"/>
      <w:r>
        <w:t xml:space="preserve"> that the ASEAN Power Grid (APG) is central to achieving</w:t>
      </w:r>
      <w:r>
        <w:t xml:space="preserve"> </w:t>
      </w:r>
      <w:r>
        <w:t>a more resilient and sustainable energy future for ASEAN, facilitating cross-border</w:t>
      </w:r>
      <w:r>
        <w:t xml:space="preserve"> </w:t>
      </w:r>
      <w:r>
        <w:t xml:space="preserve">electricity trade, and supporting the region’s long-term net-zero and </w:t>
      </w:r>
      <w:r>
        <w:t xml:space="preserve">decarbonization </w:t>
      </w:r>
      <w:r>
        <w:t xml:space="preserve">goals. The Meeting recognised the need to work towards </w:t>
      </w:r>
      <w:proofErr w:type="spellStart"/>
      <w:r>
        <w:t>realising</w:t>
      </w:r>
      <w:proofErr w:type="spellEnd"/>
      <w:r>
        <w:t xml:space="preserve"> the APG vision.</w:t>
      </w:r>
      <w:r>
        <w:t xml:space="preserve"> </w:t>
      </w:r>
      <w:r>
        <w:t>Collaborating with Development Partners</w:t>
      </w:r>
    </w:p>
    <w:p w14:paraId="7D9287DB" w14:textId="77777777" w:rsidR="009B1374" w:rsidRDefault="009B1374" w:rsidP="004741C9">
      <w:pPr>
        <w:spacing w:before="0" w:after="0"/>
      </w:pPr>
    </w:p>
    <w:p w14:paraId="56B8C67C" w14:textId="58A920BA" w:rsidR="009B1374" w:rsidRDefault="009B1374" w:rsidP="004741C9">
      <w:pPr>
        <w:pStyle w:val="ListParagraph"/>
        <w:numPr>
          <w:ilvl w:val="0"/>
          <w:numId w:val="14"/>
        </w:numPr>
        <w:spacing w:before="0" w:after="0"/>
        <w:ind w:left="360"/>
      </w:pPr>
      <w:r>
        <w:t>Economic Research Institute for ASEAN and East Asia (ERIA). The Meeting</w:t>
      </w:r>
      <w:r>
        <w:t xml:space="preserve"> </w:t>
      </w:r>
      <w:r>
        <w:t>expressed appreciation for ERIA’s support of the ASEAN economic integration,</w:t>
      </w:r>
      <w:r>
        <w:t xml:space="preserve"> </w:t>
      </w:r>
      <w:r>
        <w:t>particularly in supporting the development of Priority Economic Deliverables under Lao</w:t>
      </w:r>
      <w:r>
        <w:t xml:space="preserve"> </w:t>
      </w:r>
      <w:r>
        <w:t>PDR’s ASEAN Chairmanship 2024 in the narrowing development gap, agriculture,</w:t>
      </w:r>
      <w:r>
        <w:t xml:space="preserve"> </w:t>
      </w:r>
      <w:r>
        <w:t>energy, and tourism sector, as well as supporting the 2nd ASEAN Blue Economy Forum.</w:t>
      </w:r>
      <w:r>
        <w:t xml:space="preserve"> </w:t>
      </w:r>
      <w:r>
        <w:t>The Meeting commended ERIA’s support in the implementation of Piloting Good</w:t>
      </w:r>
      <w:r>
        <w:t xml:space="preserve"> </w:t>
      </w:r>
      <w:r>
        <w:t>Regulatory Practices in ASEAN for the Electric Vehicle and Batteries Industry in three</w:t>
      </w:r>
      <w:r>
        <w:t xml:space="preserve"> </w:t>
      </w:r>
      <w:r>
        <w:t>AMS, namely Indonesia, Lao PDR, and Malaysia. The Meeting appreciated ERIA’s</w:t>
      </w:r>
      <w:r>
        <w:t xml:space="preserve"> </w:t>
      </w:r>
      <w:r>
        <w:t>research activities, which contribute to deepening economic integration, narrowing the</w:t>
      </w:r>
      <w:r>
        <w:t xml:space="preserve"> </w:t>
      </w:r>
      <w:r>
        <w:t>development gap, and advancing sustainable economic development.</w:t>
      </w:r>
    </w:p>
    <w:p w14:paraId="25D40EEF" w14:textId="77777777" w:rsidR="009B1374" w:rsidRDefault="009B1374" w:rsidP="004741C9">
      <w:pPr>
        <w:spacing w:before="0" w:after="0"/>
      </w:pPr>
    </w:p>
    <w:p w14:paraId="70E20047" w14:textId="62F5E33E" w:rsidR="009B1374" w:rsidRDefault="009B1374" w:rsidP="004741C9">
      <w:pPr>
        <w:pStyle w:val="ListParagraph"/>
        <w:numPr>
          <w:ilvl w:val="0"/>
          <w:numId w:val="14"/>
        </w:numPr>
        <w:spacing w:before="0" w:after="0"/>
        <w:ind w:left="360"/>
      </w:pPr>
      <w:r>
        <w:t>World Intellectual Property Organization. The Meeting welcomed the good</w:t>
      </w:r>
      <w:r>
        <w:t xml:space="preserve"> </w:t>
      </w:r>
      <w:r>
        <w:t>progress of the 2023 ASEAN-WIPO Memorandum of Understanding (MoU), with 2</w:t>
      </w:r>
      <w:r>
        <w:t xml:space="preserve"> </w:t>
      </w:r>
      <w:r>
        <w:t>completed, 7 out of 23 key activities underway and others poised for launch. A standout</w:t>
      </w:r>
      <w:r>
        <w:t xml:space="preserve"> </w:t>
      </w:r>
      <w:r>
        <w:t>achievement is the ASEAN IP Register, launched at the 55th AEM, which has become an</w:t>
      </w:r>
      <w:r>
        <w:t xml:space="preserve"> </w:t>
      </w:r>
      <w:r>
        <w:t>essential resource for SMEs, startups, innovators, and investors, offering access to over</w:t>
      </w:r>
      <w:r>
        <w:t xml:space="preserve"> </w:t>
      </w:r>
      <w:r>
        <w:t>7.3 million IP registrations across ASEAN and attracting 50,000 daily hits, totaling 31</w:t>
      </w:r>
      <w:r>
        <w:t xml:space="preserve"> </w:t>
      </w:r>
      <w:r>
        <w:t>million page views. The Register can be accessed through the ASEAN IP Portal, which</w:t>
      </w:r>
      <w:r>
        <w:t xml:space="preserve"> </w:t>
      </w:r>
      <w:r>
        <w:t>is a one-stop platform for ASEAN IP services and information. The Meeting also</w:t>
      </w:r>
      <w:r>
        <w:t xml:space="preserve"> </w:t>
      </w:r>
      <w:r>
        <w:t>acknowledged ongoing efforts by WIPO and ASEAN to enhance the IP Register with</w:t>
      </w:r>
      <w:r>
        <w:t xml:space="preserve"> </w:t>
      </w:r>
      <w:r>
        <w:t>advanced features, including the IP Portfolio Management Tool, AI-assisted trademark</w:t>
      </w:r>
      <w:r>
        <w:t xml:space="preserve"> </w:t>
      </w:r>
      <w:r>
        <w:t>classifications, and Business Intelligence data, among others. These initiatives are crucial</w:t>
      </w:r>
      <w:r>
        <w:t xml:space="preserve"> </w:t>
      </w:r>
      <w:r>
        <w:t xml:space="preserve">in promoting effective IP </w:t>
      </w:r>
      <w:r>
        <w:lastRenderedPageBreak/>
        <w:t>management and commercialization, further solidifying ASEAN’s</w:t>
      </w:r>
      <w:r>
        <w:t xml:space="preserve"> </w:t>
      </w:r>
      <w:r>
        <w:t>role as a hub for innovation and growth.</w:t>
      </w:r>
    </w:p>
    <w:p w14:paraId="6BB58D01" w14:textId="77777777" w:rsidR="009B1374" w:rsidRDefault="009B1374" w:rsidP="004741C9">
      <w:pPr>
        <w:spacing w:before="0" w:after="0"/>
      </w:pPr>
    </w:p>
    <w:p w14:paraId="2F9F43A7" w14:textId="7C0F4330" w:rsidR="009B1374" w:rsidRDefault="009B1374" w:rsidP="004741C9">
      <w:pPr>
        <w:pStyle w:val="ListParagraph"/>
        <w:numPr>
          <w:ilvl w:val="0"/>
          <w:numId w:val="14"/>
        </w:numPr>
        <w:spacing w:before="0" w:after="0"/>
        <w:ind w:left="360"/>
      </w:pPr>
      <w:r>
        <w:t>Technical Assistance and Capacity-Building. The Meeting expressed ASEAN’s</w:t>
      </w:r>
      <w:r>
        <w:t xml:space="preserve"> </w:t>
      </w:r>
      <w:r>
        <w:t>appreciation to its dialogue and development partners for the technical assistance and</w:t>
      </w:r>
      <w:r>
        <w:t xml:space="preserve"> </w:t>
      </w:r>
      <w:r>
        <w:t>capacity-building provided to ASEAN which contributed to AEC efforts in implementing</w:t>
      </w:r>
      <w:r>
        <w:t xml:space="preserve"> </w:t>
      </w:r>
      <w:r>
        <w:t>the AEC Blueprint 2025. The Meeting looked forward to their continued support and</w:t>
      </w:r>
      <w:r>
        <w:t xml:space="preserve"> </w:t>
      </w:r>
      <w:r>
        <w:t>partnership as ASEAN continues to deepen its economic integration and strengthen its</w:t>
      </w:r>
      <w:r>
        <w:t xml:space="preserve"> </w:t>
      </w:r>
      <w:r>
        <w:t>resilience.</w:t>
      </w:r>
    </w:p>
    <w:p w14:paraId="4DA69CD3" w14:textId="0BDB332E" w:rsidR="004741C9" w:rsidRPr="004741C9" w:rsidRDefault="009B1374" w:rsidP="004741C9">
      <w:pPr>
        <w:pStyle w:val="Heading2"/>
      </w:pPr>
      <w:bookmarkStart w:id="17" w:name="_Toc188631065"/>
      <w:r>
        <w:t>Progress of the Development of AEC Strategic Plan 2026-2030</w:t>
      </w:r>
      <w:bookmarkEnd w:id="17"/>
    </w:p>
    <w:p w14:paraId="4F902013" w14:textId="24C6F582" w:rsidR="005B76CB" w:rsidRPr="00E423E4" w:rsidRDefault="009B1374" w:rsidP="004741C9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commended the significant progress made by the High-Level Task</w:t>
      </w:r>
      <w:r>
        <w:t xml:space="preserve"> </w:t>
      </w:r>
      <w:r>
        <w:t>Force on ASEAN’s Economic Integration (HLTF-EI) in developing the ASEAN Economic</w:t>
      </w:r>
      <w:r>
        <w:t xml:space="preserve"> </w:t>
      </w:r>
      <w:r>
        <w:t>Community (AEC) Strategic Plan 2026 – 2030, which was informed through, amongst</w:t>
      </w:r>
      <w:r>
        <w:t xml:space="preserve"> </w:t>
      </w:r>
      <w:r>
        <w:t>others, extensive consultative engagements with key stakeholders, and a comprehensive</w:t>
      </w:r>
      <w:r>
        <w:t xml:space="preserve"> </w:t>
      </w:r>
      <w:r>
        <w:t>assessment carried out through the AEC Post-2025 Study. The Meeting looked forward</w:t>
      </w:r>
      <w:r>
        <w:t xml:space="preserve"> </w:t>
      </w:r>
      <w:r>
        <w:t xml:space="preserve">to the </w:t>
      </w:r>
      <w:proofErr w:type="spellStart"/>
      <w:r>
        <w:t>finalisation</w:t>
      </w:r>
      <w:proofErr w:type="spellEnd"/>
      <w:r>
        <w:t xml:space="preserve"> of the AEC Strategic Plan 2026 – 2030 in time for concurrent adoption</w:t>
      </w:r>
      <w:r>
        <w:t xml:space="preserve"> </w:t>
      </w:r>
      <w:r>
        <w:t>with ASEAN Community Vision 2045 and other pillar(s) Strategic Plan(s) by ASEAN</w:t>
      </w:r>
      <w:r>
        <w:t xml:space="preserve"> </w:t>
      </w:r>
      <w:r>
        <w:t>Leaders in 2025, charting for a resilient, innovative, and dynamic future pathway for the</w:t>
      </w:r>
      <w:r>
        <w:t xml:space="preserve"> </w:t>
      </w:r>
      <w:r>
        <w:t>region</w:t>
      </w:r>
      <w:r>
        <w:t>.</w:t>
      </w:r>
    </w:p>
    <w:sectPr w:rsidR="005B76CB" w:rsidRPr="00E423E4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BDE9B" w14:textId="77777777" w:rsidR="00523AA2" w:rsidRDefault="00523AA2" w:rsidP="00F61B4F">
      <w:pPr>
        <w:spacing w:before="0" w:after="0" w:line="240" w:lineRule="auto"/>
      </w:pPr>
      <w:r>
        <w:separator/>
      </w:r>
    </w:p>
  </w:endnote>
  <w:endnote w:type="continuationSeparator" w:id="0">
    <w:p w14:paraId="48068256" w14:textId="77777777" w:rsidR="00523AA2" w:rsidRDefault="00523AA2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DBD77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61CA6003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EA081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66F069C0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B9BB7" w14:textId="77777777" w:rsidR="00523AA2" w:rsidRDefault="00523AA2" w:rsidP="00F61B4F">
      <w:pPr>
        <w:spacing w:before="0" w:after="0" w:line="240" w:lineRule="auto"/>
      </w:pPr>
      <w:r>
        <w:separator/>
      </w:r>
    </w:p>
  </w:footnote>
  <w:footnote w:type="continuationSeparator" w:id="0">
    <w:p w14:paraId="21507455" w14:textId="77777777" w:rsidR="00523AA2" w:rsidRDefault="00523AA2" w:rsidP="00F61B4F">
      <w:pPr>
        <w:spacing w:before="0" w:after="0" w:line="240" w:lineRule="auto"/>
      </w:pPr>
      <w:r>
        <w:continuationSeparator/>
      </w:r>
    </w:p>
  </w:footnote>
  <w:footnote w:id="1">
    <w:p w14:paraId="6D223893" w14:textId="0E378305" w:rsidR="00AC06C4" w:rsidRDefault="00AC06C4" w:rsidP="00281AE5">
      <w:pPr>
        <w:pStyle w:val="FootnoteText"/>
        <w:spacing w:before="0" w:after="0"/>
      </w:pPr>
      <w:r>
        <w:rPr>
          <w:rStyle w:val="FootnoteReference"/>
        </w:rPr>
        <w:footnoteRef/>
      </w:r>
      <w:r>
        <w:t xml:space="preserve"> </w:t>
      </w:r>
      <w:r>
        <w:t>ADB. (2024a, July). Asian Development Outlook July 2024</w:t>
      </w:r>
      <w:r>
        <w:t>.</w:t>
      </w:r>
    </w:p>
  </w:footnote>
  <w:footnote w:id="2">
    <w:p w14:paraId="503C90F9" w14:textId="13F2DB2E" w:rsidR="00AC06C4" w:rsidRDefault="00AC06C4" w:rsidP="00281AE5">
      <w:pPr>
        <w:pStyle w:val="FootnoteText"/>
        <w:spacing w:before="0" w:after="0"/>
      </w:pPr>
      <w:r>
        <w:rPr>
          <w:rStyle w:val="FootnoteReference"/>
        </w:rPr>
        <w:footnoteRef/>
      </w:r>
      <w:r>
        <w:t xml:space="preserve"> </w:t>
      </w:r>
      <w:r w:rsidRPr="00AC06C4">
        <w:t>McKinsey &amp; Company (2024, June 24). Southeast Asia quarterly economic review: Sustaining the momentum. https://www.mckinsey.com/featured-insights/future-of-asia/southeast-asia-quarterly-economic-review</w:t>
      </w:r>
    </w:p>
  </w:footnote>
  <w:footnote w:id="3">
    <w:p w14:paraId="693D94AD" w14:textId="5617D868" w:rsidR="00AC06C4" w:rsidRDefault="00AC06C4" w:rsidP="00281AE5">
      <w:pPr>
        <w:spacing w:before="0" w:after="0"/>
      </w:pPr>
      <w:r>
        <w:rPr>
          <w:rStyle w:val="FootnoteReference"/>
        </w:rPr>
        <w:footnoteRef/>
      </w:r>
      <w:r>
        <w:t xml:space="preserve"> </w:t>
      </w:r>
      <w:r w:rsidRPr="00AC06C4">
        <w:t>China Daily (2024, March 26). Visa free access lifts ASEAN tourism industry.</w:t>
      </w:r>
      <w:r>
        <w:t xml:space="preserve"> </w:t>
      </w:r>
      <w:r>
        <w:t>https://www.chinadailyhk.com/hk/article/382903</w:t>
      </w:r>
    </w:p>
  </w:footnote>
  <w:footnote w:id="4">
    <w:p w14:paraId="2C0E7253" w14:textId="27D27231" w:rsidR="00AC06C4" w:rsidRDefault="00AC06C4" w:rsidP="00281AE5">
      <w:pPr>
        <w:spacing w:before="0" w:after="0"/>
      </w:pPr>
      <w:r>
        <w:rPr>
          <w:rStyle w:val="FootnoteReference"/>
        </w:rPr>
        <w:footnoteRef/>
      </w:r>
      <w:r>
        <w:t xml:space="preserve"> </w:t>
      </w:r>
      <w:r>
        <w:t>ADB (2024a). Ibid.</w:t>
      </w:r>
    </w:p>
  </w:footnote>
  <w:footnote w:id="5">
    <w:p w14:paraId="3C9EC83A" w14:textId="679BFF81" w:rsidR="00AC06C4" w:rsidRDefault="00AC06C4" w:rsidP="00281AE5">
      <w:pPr>
        <w:pStyle w:val="FootnoteText"/>
        <w:spacing w:before="0" w:after="0"/>
      </w:pPr>
      <w:r>
        <w:rPr>
          <w:rStyle w:val="FootnoteReference"/>
        </w:rPr>
        <w:footnoteRef/>
      </w:r>
      <w:r>
        <w:t xml:space="preserve"> </w:t>
      </w:r>
      <w:r w:rsidRPr="00AC06C4">
        <w:t>ADB (2024b) April). Asian Development Outlook April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99A2A" w14:textId="3DDEE0F7" w:rsidR="00B532E2" w:rsidRPr="00CD6026" w:rsidRDefault="009B1374" w:rsidP="009B1374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 w:rsidRPr="009B1374">
      <w:rPr>
        <w:rFonts w:cs="Arial"/>
        <w:caps/>
        <w:color w:val="808080"/>
        <w:sz w:val="16"/>
        <w:szCs w:val="16"/>
      </w:rPr>
      <w:t>2024 JOINT MEDIA STATEMENT OF THE</w:t>
    </w:r>
    <w:r>
      <w:rPr>
        <w:rFonts w:cs="Arial"/>
        <w:caps/>
        <w:color w:val="808080"/>
        <w:sz w:val="16"/>
        <w:szCs w:val="16"/>
      </w:rPr>
      <w:t xml:space="preserve"> </w:t>
    </w:r>
    <w:r w:rsidRPr="009B1374">
      <w:rPr>
        <w:rFonts w:cs="Arial"/>
        <w:caps/>
        <w:color w:val="808080"/>
        <w:sz w:val="16"/>
        <w:szCs w:val="16"/>
      </w:rPr>
      <w:t>56TH A</w:t>
    </w:r>
    <w:r>
      <w:rPr>
        <w:rFonts w:cs="Arial"/>
        <w:caps/>
        <w:color w:val="808080"/>
        <w:sz w:val="16"/>
        <w:szCs w:val="16"/>
      </w:rPr>
      <w:t>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861C1"/>
    <w:multiLevelType w:val="hybridMultilevel"/>
    <w:tmpl w:val="07744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C1250"/>
    <w:multiLevelType w:val="hybridMultilevel"/>
    <w:tmpl w:val="6456C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F3FF7"/>
    <w:multiLevelType w:val="hybridMultilevel"/>
    <w:tmpl w:val="74543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6563D"/>
    <w:multiLevelType w:val="hybridMultilevel"/>
    <w:tmpl w:val="60BA2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47A33"/>
    <w:multiLevelType w:val="hybridMultilevel"/>
    <w:tmpl w:val="3C7A5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543FC"/>
    <w:multiLevelType w:val="hybridMultilevel"/>
    <w:tmpl w:val="B704B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F173D"/>
    <w:multiLevelType w:val="hybridMultilevel"/>
    <w:tmpl w:val="66787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56463"/>
    <w:multiLevelType w:val="hybridMultilevel"/>
    <w:tmpl w:val="F614E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24653"/>
    <w:multiLevelType w:val="hybridMultilevel"/>
    <w:tmpl w:val="60C00F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648F1"/>
    <w:multiLevelType w:val="hybridMultilevel"/>
    <w:tmpl w:val="2EBC3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A1CB2"/>
    <w:multiLevelType w:val="hybridMultilevel"/>
    <w:tmpl w:val="386E5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801">
    <w:abstractNumId w:val="20"/>
  </w:num>
  <w:num w:numId="2" w16cid:durableId="18700712">
    <w:abstractNumId w:val="17"/>
  </w:num>
  <w:num w:numId="3" w16cid:durableId="1322461811">
    <w:abstractNumId w:val="9"/>
  </w:num>
  <w:num w:numId="4" w16cid:durableId="1558277335">
    <w:abstractNumId w:val="7"/>
  </w:num>
  <w:num w:numId="5" w16cid:durableId="1520775613">
    <w:abstractNumId w:val="6"/>
  </w:num>
  <w:num w:numId="6" w16cid:durableId="197593915">
    <w:abstractNumId w:val="5"/>
  </w:num>
  <w:num w:numId="7" w16cid:durableId="1721905147">
    <w:abstractNumId w:val="4"/>
  </w:num>
  <w:num w:numId="8" w16cid:durableId="47807010">
    <w:abstractNumId w:val="8"/>
  </w:num>
  <w:num w:numId="9" w16cid:durableId="786856670">
    <w:abstractNumId w:val="3"/>
  </w:num>
  <w:num w:numId="10" w16cid:durableId="679625515">
    <w:abstractNumId w:val="2"/>
  </w:num>
  <w:num w:numId="11" w16cid:durableId="1006786895">
    <w:abstractNumId w:val="1"/>
  </w:num>
  <w:num w:numId="12" w16cid:durableId="1856654174">
    <w:abstractNumId w:val="0"/>
  </w:num>
  <w:num w:numId="13" w16cid:durableId="2084328627">
    <w:abstractNumId w:val="10"/>
  </w:num>
  <w:num w:numId="14" w16cid:durableId="2060393696">
    <w:abstractNumId w:val="14"/>
  </w:num>
  <w:num w:numId="15" w16cid:durableId="1654025184">
    <w:abstractNumId w:val="18"/>
  </w:num>
  <w:num w:numId="16" w16cid:durableId="260602996">
    <w:abstractNumId w:val="19"/>
  </w:num>
  <w:num w:numId="17" w16cid:durableId="1439905365">
    <w:abstractNumId w:val="16"/>
  </w:num>
  <w:num w:numId="18" w16cid:durableId="985088950">
    <w:abstractNumId w:val="21"/>
  </w:num>
  <w:num w:numId="19" w16cid:durableId="485359862">
    <w:abstractNumId w:val="13"/>
  </w:num>
  <w:num w:numId="20" w16cid:durableId="1465075890">
    <w:abstractNumId w:val="11"/>
  </w:num>
  <w:num w:numId="21" w16cid:durableId="924001552">
    <w:abstractNumId w:val="12"/>
  </w:num>
  <w:num w:numId="22" w16cid:durableId="1111972033">
    <w:abstractNumId w:val="15"/>
  </w:num>
  <w:num w:numId="23" w16cid:durableId="1442727198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CB"/>
    <w:rsid w:val="00000FB0"/>
    <w:rsid w:val="00002446"/>
    <w:rsid w:val="000043E5"/>
    <w:rsid w:val="00011723"/>
    <w:rsid w:val="00013D73"/>
    <w:rsid w:val="000173F4"/>
    <w:rsid w:val="00017CE0"/>
    <w:rsid w:val="00022AE1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5254"/>
    <w:rsid w:val="00055923"/>
    <w:rsid w:val="00061193"/>
    <w:rsid w:val="00061B8B"/>
    <w:rsid w:val="000627D9"/>
    <w:rsid w:val="00063C84"/>
    <w:rsid w:val="0007234F"/>
    <w:rsid w:val="000768A2"/>
    <w:rsid w:val="000771E0"/>
    <w:rsid w:val="00080879"/>
    <w:rsid w:val="00080FD6"/>
    <w:rsid w:val="00081E70"/>
    <w:rsid w:val="00082260"/>
    <w:rsid w:val="00083FFE"/>
    <w:rsid w:val="000922A6"/>
    <w:rsid w:val="0009558E"/>
    <w:rsid w:val="00097F77"/>
    <w:rsid w:val="000A329C"/>
    <w:rsid w:val="000B02EF"/>
    <w:rsid w:val="000B197F"/>
    <w:rsid w:val="000B335D"/>
    <w:rsid w:val="000C2967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302AA"/>
    <w:rsid w:val="00130E46"/>
    <w:rsid w:val="00133AB9"/>
    <w:rsid w:val="00143BCA"/>
    <w:rsid w:val="00144EA6"/>
    <w:rsid w:val="001450F7"/>
    <w:rsid w:val="00145215"/>
    <w:rsid w:val="001462AA"/>
    <w:rsid w:val="00153722"/>
    <w:rsid w:val="00155142"/>
    <w:rsid w:val="0015683A"/>
    <w:rsid w:val="001648EA"/>
    <w:rsid w:val="001669E3"/>
    <w:rsid w:val="001728AB"/>
    <w:rsid w:val="00172E71"/>
    <w:rsid w:val="00176298"/>
    <w:rsid w:val="0018065C"/>
    <w:rsid w:val="00183009"/>
    <w:rsid w:val="001837BF"/>
    <w:rsid w:val="00183EC5"/>
    <w:rsid w:val="00191FB7"/>
    <w:rsid w:val="00194639"/>
    <w:rsid w:val="0019674F"/>
    <w:rsid w:val="001A0777"/>
    <w:rsid w:val="001A31BD"/>
    <w:rsid w:val="001B38CF"/>
    <w:rsid w:val="001B572F"/>
    <w:rsid w:val="001C50F5"/>
    <w:rsid w:val="001C7B98"/>
    <w:rsid w:val="001D116B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C8A"/>
    <w:rsid w:val="002226CD"/>
    <w:rsid w:val="002238CF"/>
    <w:rsid w:val="00224582"/>
    <w:rsid w:val="00224E12"/>
    <w:rsid w:val="002251FC"/>
    <w:rsid w:val="002423B7"/>
    <w:rsid w:val="00244645"/>
    <w:rsid w:val="00245638"/>
    <w:rsid w:val="0025204F"/>
    <w:rsid w:val="002520E2"/>
    <w:rsid w:val="00256484"/>
    <w:rsid w:val="002566AC"/>
    <w:rsid w:val="00257575"/>
    <w:rsid w:val="00260086"/>
    <w:rsid w:val="00260DE8"/>
    <w:rsid w:val="00262BEE"/>
    <w:rsid w:val="002653B1"/>
    <w:rsid w:val="00274C7A"/>
    <w:rsid w:val="002750EF"/>
    <w:rsid w:val="00275D0D"/>
    <w:rsid w:val="00281AE5"/>
    <w:rsid w:val="00284792"/>
    <w:rsid w:val="002927F7"/>
    <w:rsid w:val="00294CBA"/>
    <w:rsid w:val="002952DD"/>
    <w:rsid w:val="00297B32"/>
    <w:rsid w:val="002A32A5"/>
    <w:rsid w:val="002A4172"/>
    <w:rsid w:val="002B2294"/>
    <w:rsid w:val="002B31DE"/>
    <w:rsid w:val="002B473E"/>
    <w:rsid w:val="002B5E84"/>
    <w:rsid w:val="002B7265"/>
    <w:rsid w:val="002C506E"/>
    <w:rsid w:val="002C5925"/>
    <w:rsid w:val="002C67E0"/>
    <w:rsid w:val="002D3A06"/>
    <w:rsid w:val="002E0A92"/>
    <w:rsid w:val="002E6283"/>
    <w:rsid w:val="002F1577"/>
    <w:rsid w:val="002F7DA0"/>
    <w:rsid w:val="0030037C"/>
    <w:rsid w:val="00303079"/>
    <w:rsid w:val="003035FA"/>
    <w:rsid w:val="003071F6"/>
    <w:rsid w:val="00311F81"/>
    <w:rsid w:val="00311F88"/>
    <w:rsid w:val="00312FB5"/>
    <w:rsid w:val="003150B5"/>
    <w:rsid w:val="00315409"/>
    <w:rsid w:val="00321387"/>
    <w:rsid w:val="0032159B"/>
    <w:rsid w:val="00321890"/>
    <w:rsid w:val="00325A2D"/>
    <w:rsid w:val="00326D39"/>
    <w:rsid w:val="003316EF"/>
    <w:rsid w:val="0033544F"/>
    <w:rsid w:val="00336CA3"/>
    <w:rsid w:val="003374CC"/>
    <w:rsid w:val="00340339"/>
    <w:rsid w:val="0034084B"/>
    <w:rsid w:val="00343E97"/>
    <w:rsid w:val="003463F9"/>
    <w:rsid w:val="00351FC7"/>
    <w:rsid w:val="00355356"/>
    <w:rsid w:val="003557B3"/>
    <w:rsid w:val="00361211"/>
    <w:rsid w:val="00363CA6"/>
    <w:rsid w:val="00363E88"/>
    <w:rsid w:val="0036654E"/>
    <w:rsid w:val="003762D5"/>
    <w:rsid w:val="00382037"/>
    <w:rsid w:val="00384CCD"/>
    <w:rsid w:val="00386AC0"/>
    <w:rsid w:val="003870B6"/>
    <w:rsid w:val="0039419F"/>
    <w:rsid w:val="003A2096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15DC"/>
    <w:rsid w:val="003D49AB"/>
    <w:rsid w:val="003D66C8"/>
    <w:rsid w:val="003D682E"/>
    <w:rsid w:val="003D6E5B"/>
    <w:rsid w:val="003E0C85"/>
    <w:rsid w:val="003E69D4"/>
    <w:rsid w:val="003F148C"/>
    <w:rsid w:val="003F1817"/>
    <w:rsid w:val="003F50EA"/>
    <w:rsid w:val="0040043F"/>
    <w:rsid w:val="00401F7F"/>
    <w:rsid w:val="00405210"/>
    <w:rsid w:val="00415F9F"/>
    <w:rsid w:val="0042164B"/>
    <w:rsid w:val="0042562D"/>
    <w:rsid w:val="00430AD3"/>
    <w:rsid w:val="00432B9B"/>
    <w:rsid w:val="004410EB"/>
    <w:rsid w:val="0044415C"/>
    <w:rsid w:val="00452091"/>
    <w:rsid w:val="0045262E"/>
    <w:rsid w:val="00453E7C"/>
    <w:rsid w:val="004540DD"/>
    <w:rsid w:val="00454C15"/>
    <w:rsid w:val="00457A36"/>
    <w:rsid w:val="00460285"/>
    <w:rsid w:val="00461169"/>
    <w:rsid w:val="0046281B"/>
    <w:rsid w:val="0046332F"/>
    <w:rsid w:val="00464378"/>
    <w:rsid w:val="00464582"/>
    <w:rsid w:val="004715DF"/>
    <w:rsid w:val="004741C9"/>
    <w:rsid w:val="0049074B"/>
    <w:rsid w:val="00495B5C"/>
    <w:rsid w:val="00496452"/>
    <w:rsid w:val="00497AE1"/>
    <w:rsid w:val="004A0B2F"/>
    <w:rsid w:val="004A0D08"/>
    <w:rsid w:val="004A1834"/>
    <w:rsid w:val="004A31A0"/>
    <w:rsid w:val="004A5865"/>
    <w:rsid w:val="004A58EA"/>
    <w:rsid w:val="004B263A"/>
    <w:rsid w:val="004B3D8B"/>
    <w:rsid w:val="004B5A7D"/>
    <w:rsid w:val="004B6693"/>
    <w:rsid w:val="004B7073"/>
    <w:rsid w:val="004B71DD"/>
    <w:rsid w:val="004C2B2B"/>
    <w:rsid w:val="004C33C2"/>
    <w:rsid w:val="004C5E25"/>
    <w:rsid w:val="004D6797"/>
    <w:rsid w:val="004E0ED9"/>
    <w:rsid w:val="004E1378"/>
    <w:rsid w:val="004E1B8D"/>
    <w:rsid w:val="004E2177"/>
    <w:rsid w:val="004F129B"/>
    <w:rsid w:val="004F21D5"/>
    <w:rsid w:val="00504C42"/>
    <w:rsid w:val="00507CA6"/>
    <w:rsid w:val="0051026B"/>
    <w:rsid w:val="00510555"/>
    <w:rsid w:val="0051224B"/>
    <w:rsid w:val="005146E7"/>
    <w:rsid w:val="00516331"/>
    <w:rsid w:val="005177D3"/>
    <w:rsid w:val="00522388"/>
    <w:rsid w:val="00523AA2"/>
    <w:rsid w:val="00525B71"/>
    <w:rsid w:val="005325F9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B76CB"/>
    <w:rsid w:val="005C087C"/>
    <w:rsid w:val="005C18C4"/>
    <w:rsid w:val="005C46EA"/>
    <w:rsid w:val="005C6ADE"/>
    <w:rsid w:val="005D3068"/>
    <w:rsid w:val="005D5714"/>
    <w:rsid w:val="005D59E8"/>
    <w:rsid w:val="005E0D13"/>
    <w:rsid w:val="005E264A"/>
    <w:rsid w:val="005E2E8D"/>
    <w:rsid w:val="005E6807"/>
    <w:rsid w:val="005F25E1"/>
    <w:rsid w:val="005F5FD1"/>
    <w:rsid w:val="005F6D34"/>
    <w:rsid w:val="00604FC9"/>
    <w:rsid w:val="006056CA"/>
    <w:rsid w:val="006077DA"/>
    <w:rsid w:val="00615E91"/>
    <w:rsid w:val="00617785"/>
    <w:rsid w:val="00620043"/>
    <w:rsid w:val="00624B74"/>
    <w:rsid w:val="0062758C"/>
    <w:rsid w:val="00627B91"/>
    <w:rsid w:val="0064082A"/>
    <w:rsid w:val="00642035"/>
    <w:rsid w:val="0064206B"/>
    <w:rsid w:val="00646905"/>
    <w:rsid w:val="006477C3"/>
    <w:rsid w:val="006633EA"/>
    <w:rsid w:val="00666445"/>
    <w:rsid w:val="006819D0"/>
    <w:rsid w:val="006829B2"/>
    <w:rsid w:val="00686294"/>
    <w:rsid w:val="006878B4"/>
    <w:rsid w:val="00695153"/>
    <w:rsid w:val="006953EA"/>
    <w:rsid w:val="006A181F"/>
    <w:rsid w:val="006A368A"/>
    <w:rsid w:val="006A5BC7"/>
    <w:rsid w:val="006B0864"/>
    <w:rsid w:val="006B6335"/>
    <w:rsid w:val="006C2FAC"/>
    <w:rsid w:val="006C6203"/>
    <w:rsid w:val="006C6B56"/>
    <w:rsid w:val="006C6EFB"/>
    <w:rsid w:val="006D1637"/>
    <w:rsid w:val="006D2062"/>
    <w:rsid w:val="006D35BA"/>
    <w:rsid w:val="006D61E5"/>
    <w:rsid w:val="006D6826"/>
    <w:rsid w:val="006D6EAA"/>
    <w:rsid w:val="006D6FA4"/>
    <w:rsid w:val="006E03F3"/>
    <w:rsid w:val="006E4F21"/>
    <w:rsid w:val="006E6F86"/>
    <w:rsid w:val="006F231A"/>
    <w:rsid w:val="00707B16"/>
    <w:rsid w:val="00711FF8"/>
    <w:rsid w:val="00716770"/>
    <w:rsid w:val="00721C1C"/>
    <w:rsid w:val="007231B2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19E4"/>
    <w:rsid w:val="00762A99"/>
    <w:rsid w:val="00776086"/>
    <w:rsid w:val="00787B08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2AED"/>
    <w:rsid w:val="007C74A6"/>
    <w:rsid w:val="007C7558"/>
    <w:rsid w:val="007D12D8"/>
    <w:rsid w:val="007D197A"/>
    <w:rsid w:val="007D2AC8"/>
    <w:rsid w:val="007D308E"/>
    <w:rsid w:val="007D4CB5"/>
    <w:rsid w:val="007E4920"/>
    <w:rsid w:val="007E7C82"/>
    <w:rsid w:val="007F1538"/>
    <w:rsid w:val="007F2FCB"/>
    <w:rsid w:val="007F5026"/>
    <w:rsid w:val="008016D1"/>
    <w:rsid w:val="00803BE9"/>
    <w:rsid w:val="00812B21"/>
    <w:rsid w:val="00814188"/>
    <w:rsid w:val="00814493"/>
    <w:rsid w:val="008171B7"/>
    <w:rsid w:val="00820B03"/>
    <w:rsid w:val="00821388"/>
    <w:rsid w:val="00822E73"/>
    <w:rsid w:val="00824DAD"/>
    <w:rsid w:val="00824DEF"/>
    <w:rsid w:val="008262AF"/>
    <w:rsid w:val="00841728"/>
    <w:rsid w:val="008419D9"/>
    <w:rsid w:val="0084289A"/>
    <w:rsid w:val="00850873"/>
    <w:rsid w:val="0086274F"/>
    <w:rsid w:val="00863AA4"/>
    <w:rsid w:val="00871D6D"/>
    <w:rsid w:val="00875863"/>
    <w:rsid w:val="008761FC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171B"/>
    <w:rsid w:val="008E41DC"/>
    <w:rsid w:val="008E5D7B"/>
    <w:rsid w:val="008E6E93"/>
    <w:rsid w:val="008E7703"/>
    <w:rsid w:val="008F5246"/>
    <w:rsid w:val="008F5F21"/>
    <w:rsid w:val="008F7A5C"/>
    <w:rsid w:val="009052CB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DC7"/>
    <w:rsid w:val="00974D05"/>
    <w:rsid w:val="0098008C"/>
    <w:rsid w:val="00982034"/>
    <w:rsid w:val="00982B34"/>
    <w:rsid w:val="009842E6"/>
    <w:rsid w:val="00991C17"/>
    <w:rsid w:val="00992233"/>
    <w:rsid w:val="009943AE"/>
    <w:rsid w:val="00996773"/>
    <w:rsid w:val="00996953"/>
    <w:rsid w:val="00997244"/>
    <w:rsid w:val="00997B54"/>
    <w:rsid w:val="009A068F"/>
    <w:rsid w:val="009A0BE7"/>
    <w:rsid w:val="009B12F0"/>
    <w:rsid w:val="009B1374"/>
    <w:rsid w:val="009B246D"/>
    <w:rsid w:val="009B6256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E21A2"/>
    <w:rsid w:val="009E2828"/>
    <w:rsid w:val="009E4818"/>
    <w:rsid w:val="009E6790"/>
    <w:rsid w:val="009E6EB7"/>
    <w:rsid w:val="009E763F"/>
    <w:rsid w:val="009F0F5A"/>
    <w:rsid w:val="00A0085A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4466D"/>
    <w:rsid w:val="00A5006A"/>
    <w:rsid w:val="00A551D1"/>
    <w:rsid w:val="00A60DBB"/>
    <w:rsid w:val="00A60F35"/>
    <w:rsid w:val="00A61CFF"/>
    <w:rsid w:val="00A62871"/>
    <w:rsid w:val="00A638C5"/>
    <w:rsid w:val="00A646B8"/>
    <w:rsid w:val="00A7627E"/>
    <w:rsid w:val="00A839BE"/>
    <w:rsid w:val="00A83F8F"/>
    <w:rsid w:val="00A90E8E"/>
    <w:rsid w:val="00A94579"/>
    <w:rsid w:val="00A95818"/>
    <w:rsid w:val="00A9590E"/>
    <w:rsid w:val="00AA6452"/>
    <w:rsid w:val="00AA6802"/>
    <w:rsid w:val="00AB26B5"/>
    <w:rsid w:val="00AB38E2"/>
    <w:rsid w:val="00AB6F60"/>
    <w:rsid w:val="00AB7A69"/>
    <w:rsid w:val="00AC06C4"/>
    <w:rsid w:val="00AC1691"/>
    <w:rsid w:val="00AC1CA8"/>
    <w:rsid w:val="00AC4C08"/>
    <w:rsid w:val="00AC7F91"/>
    <w:rsid w:val="00AD7A4B"/>
    <w:rsid w:val="00AE05B5"/>
    <w:rsid w:val="00AE3DEB"/>
    <w:rsid w:val="00AE6181"/>
    <w:rsid w:val="00AE64FF"/>
    <w:rsid w:val="00AF1254"/>
    <w:rsid w:val="00AF5172"/>
    <w:rsid w:val="00AF5D32"/>
    <w:rsid w:val="00B01951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420A0"/>
    <w:rsid w:val="00B456B7"/>
    <w:rsid w:val="00B45912"/>
    <w:rsid w:val="00B5211D"/>
    <w:rsid w:val="00B52EFE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600A"/>
    <w:rsid w:val="00BA7E2B"/>
    <w:rsid w:val="00BB09CD"/>
    <w:rsid w:val="00BB2E42"/>
    <w:rsid w:val="00BB5610"/>
    <w:rsid w:val="00BC5DE2"/>
    <w:rsid w:val="00BD1600"/>
    <w:rsid w:val="00BD2E28"/>
    <w:rsid w:val="00BD36A4"/>
    <w:rsid w:val="00BD3EF7"/>
    <w:rsid w:val="00BE0B41"/>
    <w:rsid w:val="00BE0D36"/>
    <w:rsid w:val="00BE21D1"/>
    <w:rsid w:val="00BE47F3"/>
    <w:rsid w:val="00BE4E55"/>
    <w:rsid w:val="00BF3AB0"/>
    <w:rsid w:val="00BF5BA2"/>
    <w:rsid w:val="00BF7BA5"/>
    <w:rsid w:val="00C0692C"/>
    <w:rsid w:val="00C12E92"/>
    <w:rsid w:val="00C1575D"/>
    <w:rsid w:val="00C22B66"/>
    <w:rsid w:val="00C2709D"/>
    <w:rsid w:val="00C27F88"/>
    <w:rsid w:val="00C33322"/>
    <w:rsid w:val="00C3632D"/>
    <w:rsid w:val="00C436C7"/>
    <w:rsid w:val="00C4584B"/>
    <w:rsid w:val="00C479E0"/>
    <w:rsid w:val="00C539B9"/>
    <w:rsid w:val="00C55B05"/>
    <w:rsid w:val="00C55D41"/>
    <w:rsid w:val="00C573FC"/>
    <w:rsid w:val="00C6101A"/>
    <w:rsid w:val="00C61524"/>
    <w:rsid w:val="00C617E1"/>
    <w:rsid w:val="00C666BA"/>
    <w:rsid w:val="00C66937"/>
    <w:rsid w:val="00C73155"/>
    <w:rsid w:val="00C86BF0"/>
    <w:rsid w:val="00C9065C"/>
    <w:rsid w:val="00C90B5B"/>
    <w:rsid w:val="00C91236"/>
    <w:rsid w:val="00C921EF"/>
    <w:rsid w:val="00C9231D"/>
    <w:rsid w:val="00C92C9D"/>
    <w:rsid w:val="00CA21A1"/>
    <w:rsid w:val="00CA449F"/>
    <w:rsid w:val="00CA540E"/>
    <w:rsid w:val="00CA5A41"/>
    <w:rsid w:val="00CB0C6C"/>
    <w:rsid w:val="00CB2E1A"/>
    <w:rsid w:val="00CB485A"/>
    <w:rsid w:val="00CC2470"/>
    <w:rsid w:val="00CC2F8C"/>
    <w:rsid w:val="00CC449C"/>
    <w:rsid w:val="00CC535D"/>
    <w:rsid w:val="00CD2BE4"/>
    <w:rsid w:val="00CD321D"/>
    <w:rsid w:val="00CD5CC1"/>
    <w:rsid w:val="00CD6026"/>
    <w:rsid w:val="00CD6EC7"/>
    <w:rsid w:val="00CE087B"/>
    <w:rsid w:val="00CE31C8"/>
    <w:rsid w:val="00CE4330"/>
    <w:rsid w:val="00CE567F"/>
    <w:rsid w:val="00CE59E6"/>
    <w:rsid w:val="00CE7679"/>
    <w:rsid w:val="00CF277F"/>
    <w:rsid w:val="00CF4CBB"/>
    <w:rsid w:val="00D00ACC"/>
    <w:rsid w:val="00D0625E"/>
    <w:rsid w:val="00D07EE1"/>
    <w:rsid w:val="00D13015"/>
    <w:rsid w:val="00D133A2"/>
    <w:rsid w:val="00D13F5C"/>
    <w:rsid w:val="00D14607"/>
    <w:rsid w:val="00D15AD4"/>
    <w:rsid w:val="00D1649F"/>
    <w:rsid w:val="00D20538"/>
    <w:rsid w:val="00D211DC"/>
    <w:rsid w:val="00D250B0"/>
    <w:rsid w:val="00D368AA"/>
    <w:rsid w:val="00D40C72"/>
    <w:rsid w:val="00D43EA3"/>
    <w:rsid w:val="00D45FAB"/>
    <w:rsid w:val="00D472FE"/>
    <w:rsid w:val="00D51065"/>
    <w:rsid w:val="00D52236"/>
    <w:rsid w:val="00D528FE"/>
    <w:rsid w:val="00D56D91"/>
    <w:rsid w:val="00D67A09"/>
    <w:rsid w:val="00D712DE"/>
    <w:rsid w:val="00D75BF6"/>
    <w:rsid w:val="00D804A1"/>
    <w:rsid w:val="00D86B2E"/>
    <w:rsid w:val="00D901BD"/>
    <w:rsid w:val="00D91710"/>
    <w:rsid w:val="00D92975"/>
    <w:rsid w:val="00DA4CF4"/>
    <w:rsid w:val="00DB3B2A"/>
    <w:rsid w:val="00DB6E09"/>
    <w:rsid w:val="00DB7B56"/>
    <w:rsid w:val="00DC27F4"/>
    <w:rsid w:val="00DC2E6B"/>
    <w:rsid w:val="00DC3275"/>
    <w:rsid w:val="00DC38F6"/>
    <w:rsid w:val="00DC5022"/>
    <w:rsid w:val="00DC5793"/>
    <w:rsid w:val="00DD0696"/>
    <w:rsid w:val="00DD1735"/>
    <w:rsid w:val="00DD1945"/>
    <w:rsid w:val="00DD2204"/>
    <w:rsid w:val="00DD7A7D"/>
    <w:rsid w:val="00DE4868"/>
    <w:rsid w:val="00DE4917"/>
    <w:rsid w:val="00DE57D4"/>
    <w:rsid w:val="00DE62F5"/>
    <w:rsid w:val="00DE7A48"/>
    <w:rsid w:val="00DF288A"/>
    <w:rsid w:val="00DF3DF6"/>
    <w:rsid w:val="00DF4E11"/>
    <w:rsid w:val="00DF57B8"/>
    <w:rsid w:val="00DF64FF"/>
    <w:rsid w:val="00DF72C5"/>
    <w:rsid w:val="00E005B9"/>
    <w:rsid w:val="00E00DD3"/>
    <w:rsid w:val="00E029E2"/>
    <w:rsid w:val="00E1320C"/>
    <w:rsid w:val="00E13279"/>
    <w:rsid w:val="00E15214"/>
    <w:rsid w:val="00E22F62"/>
    <w:rsid w:val="00E23211"/>
    <w:rsid w:val="00E23830"/>
    <w:rsid w:val="00E2703D"/>
    <w:rsid w:val="00E36432"/>
    <w:rsid w:val="00E41649"/>
    <w:rsid w:val="00E423E4"/>
    <w:rsid w:val="00E42A9B"/>
    <w:rsid w:val="00E46A83"/>
    <w:rsid w:val="00E47C45"/>
    <w:rsid w:val="00E501FD"/>
    <w:rsid w:val="00E53F2E"/>
    <w:rsid w:val="00E5495C"/>
    <w:rsid w:val="00E71017"/>
    <w:rsid w:val="00E71A6F"/>
    <w:rsid w:val="00E71AEC"/>
    <w:rsid w:val="00E73E13"/>
    <w:rsid w:val="00E759C9"/>
    <w:rsid w:val="00E80D04"/>
    <w:rsid w:val="00E82ED4"/>
    <w:rsid w:val="00E853A3"/>
    <w:rsid w:val="00E854D8"/>
    <w:rsid w:val="00E87AA3"/>
    <w:rsid w:val="00E925D7"/>
    <w:rsid w:val="00E9353A"/>
    <w:rsid w:val="00E94458"/>
    <w:rsid w:val="00EA1963"/>
    <w:rsid w:val="00EA422B"/>
    <w:rsid w:val="00EA44D0"/>
    <w:rsid w:val="00EA6B9C"/>
    <w:rsid w:val="00EB4089"/>
    <w:rsid w:val="00EB542E"/>
    <w:rsid w:val="00EC13FA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602E"/>
    <w:rsid w:val="00F30635"/>
    <w:rsid w:val="00F306A7"/>
    <w:rsid w:val="00F30761"/>
    <w:rsid w:val="00F31524"/>
    <w:rsid w:val="00F3240D"/>
    <w:rsid w:val="00F4092C"/>
    <w:rsid w:val="00F40AE9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0FB8"/>
    <w:rsid w:val="00F71AE4"/>
    <w:rsid w:val="00F82FDC"/>
    <w:rsid w:val="00F8564E"/>
    <w:rsid w:val="00F86908"/>
    <w:rsid w:val="00F8738F"/>
    <w:rsid w:val="00F87BC0"/>
    <w:rsid w:val="00FA048B"/>
    <w:rsid w:val="00FA08BD"/>
    <w:rsid w:val="00FA0BDA"/>
    <w:rsid w:val="00FA1EB2"/>
    <w:rsid w:val="00FA4AD8"/>
    <w:rsid w:val="00FA4CBA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EAFDC"/>
  <w15:docId w15:val="{BC4F039C-AB1A-7244-AFB1-ADCFC90D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43F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73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40043F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996773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120" w:after="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120" w:after="0"/>
      <w:ind w:left="200"/>
      <w:jc w:val="left"/>
      <w:outlineLvl w:val="9"/>
    </w:pPr>
    <w:rPr>
      <w:rFonts w:asciiTheme="minorHAnsi" w:hAnsiTheme="minorHAnsi" w:cstheme="minorHAnsi"/>
      <w:caps w:val="0"/>
      <w:sz w:val="22"/>
      <w:szCs w:val="22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0" w:after="0"/>
      <w:ind w:left="400"/>
      <w:jc w:val="left"/>
      <w:outlineLvl w:val="9"/>
    </w:pPr>
    <w:rPr>
      <w:rFonts w:asciiTheme="minorHAnsi" w:hAnsiTheme="minorHAnsi" w:cstheme="minorHAnsi"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/>
      <w:ind w:left="6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/>
      <w:ind w:left="8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/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/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/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/>
      <w:ind w:left="1600"/>
      <w:jc w:val="left"/>
    </w:pPr>
    <w:rPr>
      <w:rFonts w:asciiTheme="minorHAnsi" w:hAnsiTheme="minorHAnsi" w:cstheme="minorHAnsi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ettefoo/Downloads/DB%20Checking/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 DB Formatting Template 2022.dotx</Template>
  <TotalTime>21</TotalTime>
  <Pages>11</Pages>
  <Words>5285</Words>
  <Characters>30125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35340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cp:lastPrinted>2019-01-29T09:08:00Z</cp:lastPrinted>
  <dcterms:created xsi:type="dcterms:W3CDTF">2025-01-24T08:46:00Z</dcterms:created>
  <dcterms:modified xsi:type="dcterms:W3CDTF">2025-01-24T09:13:00Z</dcterms:modified>
</cp:coreProperties>
</file>