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E2BB7" w14:textId="75A4CBB9" w:rsidR="009063DA" w:rsidRDefault="00E806BE" w:rsidP="002F571F">
      <w:pPr>
        <w:pStyle w:val="CILSubtitle"/>
        <w:rPr>
          <w:b/>
          <w:bCs/>
          <w:i w:val="0"/>
          <w:caps/>
          <w:kern w:val="32"/>
          <w:sz w:val="28"/>
          <w:szCs w:val="32"/>
        </w:rPr>
      </w:pPr>
      <w:r>
        <w:rPr>
          <w:b/>
          <w:bCs/>
          <w:i w:val="0"/>
          <w:caps/>
          <w:kern w:val="32"/>
          <w:sz w:val="28"/>
          <w:szCs w:val="32"/>
        </w:rPr>
        <w:t xml:space="preserve">2024 </w:t>
      </w:r>
      <w:r w:rsidR="009063DA" w:rsidRPr="009063DA">
        <w:rPr>
          <w:b/>
          <w:bCs/>
          <w:i w:val="0"/>
          <w:caps/>
          <w:kern w:val="32"/>
          <w:sz w:val="28"/>
          <w:szCs w:val="32"/>
        </w:rPr>
        <w:t xml:space="preserve">ASEAN LEADERS’ DECLARATION ON </w:t>
      </w:r>
      <w:r w:rsidR="00217711" w:rsidRPr="00217711">
        <w:rPr>
          <w:b/>
          <w:bCs/>
          <w:i w:val="0"/>
          <w:caps/>
          <w:kern w:val="32"/>
          <w:sz w:val="28"/>
          <w:szCs w:val="32"/>
        </w:rPr>
        <w:t>Enhanced Cooperation Against Illicit Drug Trafficking and Precursor Chemicals</w:t>
      </w:r>
    </w:p>
    <w:p w14:paraId="506E728A" w14:textId="7A4B9C75" w:rsidR="00DF288A" w:rsidRPr="009063DA" w:rsidRDefault="00FE02D4" w:rsidP="009063DA">
      <w:pPr>
        <w:pStyle w:val="CILSubtitle"/>
        <w:rPr>
          <w:b/>
          <w:bCs/>
          <w:i w:val="0"/>
          <w:caps/>
          <w:kern w:val="32"/>
          <w:sz w:val="28"/>
          <w:szCs w:val="32"/>
        </w:rPr>
      </w:pPr>
      <w:r>
        <w:t xml:space="preserve">Adopted </w:t>
      </w:r>
      <w:r w:rsidR="00CD6026">
        <w:t xml:space="preserve">in </w:t>
      </w:r>
      <w:r>
        <w:t>Vientiane</w:t>
      </w:r>
      <w:r w:rsidRPr="00FE02D4">
        <w:t>, L</w:t>
      </w:r>
      <w:r>
        <w:t>ao PDR</w:t>
      </w:r>
      <w:r w:rsidRPr="00FE02D4">
        <w:t>,</w:t>
      </w:r>
      <w:r>
        <w:t xml:space="preserve"> on</w:t>
      </w:r>
      <w:r w:rsidRPr="00FE02D4">
        <w:t xml:space="preserve"> 9 </w:t>
      </w:r>
      <w:r>
        <w:t>October</w:t>
      </w:r>
      <w:r w:rsidRPr="00FE02D4">
        <w:t xml:space="preserve"> 2024</w:t>
      </w:r>
    </w:p>
    <w:p w14:paraId="6708B75D" w14:textId="221E2233" w:rsidR="00217711" w:rsidRDefault="00217711" w:rsidP="00217711">
      <w:pPr>
        <w:spacing w:before="0" w:after="0"/>
      </w:pPr>
      <w:r w:rsidRPr="006B3996">
        <w:rPr>
          <w:b/>
          <w:bCs/>
        </w:rPr>
        <w:t>WE</w:t>
      </w:r>
      <w:r>
        <w:t>, the Association of Southeast Asia, namely Brunei Darussalam, the Kingdom of</w:t>
      </w:r>
      <w:r w:rsidR="00394BFF">
        <w:t xml:space="preserve"> </w:t>
      </w:r>
      <w:r>
        <w:t>Cambodia, the Republic of Indonesia, the Lao People’s Democratic Republic,</w:t>
      </w:r>
      <w:r w:rsidR="00394BFF">
        <w:t xml:space="preserve"> </w:t>
      </w:r>
      <w:r>
        <w:t>Malaysia, the Republic of the Union of Myanmar, the Republic of the Philippines, the</w:t>
      </w:r>
      <w:r w:rsidR="00394BFF">
        <w:t xml:space="preserve"> </w:t>
      </w:r>
      <w:r>
        <w:t>Republic of Singapore, the Kingdom of Thailand, and the Socialist Republic of Viet</w:t>
      </w:r>
      <w:r w:rsidR="00394BFF">
        <w:t xml:space="preserve"> </w:t>
      </w:r>
      <w:r>
        <w:t xml:space="preserve">Nam, gathered in Vientiane, Lao PDR on the occasion of the 44th and </w:t>
      </w:r>
      <w:r w:rsidR="0041732F">
        <w:br/>
      </w:r>
      <w:r>
        <w:t>45th ASEAN</w:t>
      </w:r>
      <w:r w:rsidR="00394BFF">
        <w:t xml:space="preserve"> </w:t>
      </w:r>
      <w:r>
        <w:t xml:space="preserve">Summits on 9 October </w:t>
      </w:r>
      <w:proofErr w:type="gramStart"/>
      <w:r>
        <w:t>2024;</w:t>
      </w:r>
      <w:proofErr w:type="gramEnd"/>
    </w:p>
    <w:p w14:paraId="7421C236" w14:textId="77777777" w:rsidR="00394BFF" w:rsidRDefault="00394BFF" w:rsidP="00217711">
      <w:pPr>
        <w:spacing w:before="0" w:after="0"/>
      </w:pPr>
    </w:p>
    <w:p w14:paraId="5FD2AE21" w14:textId="5D880635" w:rsidR="00217711" w:rsidRDefault="00217711" w:rsidP="00217711">
      <w:pPr>
        <w:spacing w:before="0" w:after="0"/>
      </w:pPr>
      <w:r w:rsidRPr="006B3996">
        <w:rPr>
          <w:b/>
          <w:bCs/>
        </w:rPr>
        <w:t>RECOGNISING</w:t>
      </w:r>
      <w:r>
        <w:t xml:space="preserve"> that the alarming scale of the illicit global trade, production and</w:t>
      </w:r>
      <w:r w:rsidR="00394BFF">
        <w:t xml:space="preserve"> </w:t>
      </w:r>
      <w:r>
        <w:t>manufacture of narcotic drugs, psychotropic substances, including synthetic and</w:t>
      </w:r>
      <w:r w:rsidR="00394BFF">
        <w:t xml:space="preserve"> </w:t>
      </w:r>
      <w:r>
        <w:t>designer drugs, as well as the associated diversion of and illicit demand for precursor</w:t>
      </w:r>
      <w:r w:rsidR="00394BFF">
        <w:t xml:space="preserve"> </w:t>
      </w:r>
      <w:r>
        <w:t>chemicals used in the illicit manufacture of narcotic drugs and psychotropic</w:t>
      </w:r>
      <w:r w:rsidR="00394BFF">
        <w:t xml:space="preserve"> </w:t>
      </w:r>
      <w:r>
        <w:t>substances, continues to adversely affect the safety and welfare of nations and their</w:t>
      </w:r>
      <w:r w:rsidR="00394BFF">
        <w:t xml:space="preserve"> </w:t>
      </w:r>
      <w:r>
        <w:t xml:space="preserve">peoples including those of the </w:t>
      </w:r>
      <w:proofErr w:type="gramStart"/>
      <w:r>
        <w:t>ASEAN;</w:t>
      </w:r>
      <w:proofErr w:type="gramEnd"/>
    </w:p>
    <w:p w14:paraId="62C3684C" w14:textId="77777777" w:rsidR="00394BFF" w:rsidRDefault="00394BFF" w:rsidP="00217711">
      <w:pPr>
        <w:spacing w:before="0" w:after="0"/>
      </w:pPr>
    </w:p>
    <w:p w14:paraId="77E36C18" w14:textId="60C34F49" w:rsidR="00217711" w:rsidRDefault="00217711" w:rsidP="00217711">
      <w:pPr>
        <w:spacing w:before="0" w:after="0"/>
      </w:pPr>
      <w:r w:rsidRPr="006B3996">
        <w:rPr>
          <w:b/>
          <w:bCs/>
        </w:rPr>
        <w:t>REAFFIRMING</w:t>
      </w:r>
      <w:r>
        <w:t xml:space="preserve"> our commitment to implementing the Single Convention on Narcotic</w:t>
      </w:r>
      <w:r w:rsidR="00394BFF">
        <w:t xml:space="preserve"> </w:t>
      </w:r>
      <w:r>
        <w:t>Drugs of 1961 as amended by the 1972 Protocol, the Convention on Psychotropic</w:t>
      </w:r>
      <w:r w:rsidR="00394BFF">
        <w:t xml:space="preserve"> </w:t>
      </w:r>
      <w:r>
        <w:t>Substances of 1971, the United Nations Convention against Illicit Traffic in Narcotic</w:t>
      </w:r>
      <w:r w:rsidR="00394BFF">
        <w:t xml:space="preserve"> </w:t>
      </w:r>
      <w:r>
        <w:t xml:space="preserve">Drugs and Psychotropic Substances of 1988, and other relevant </w:t>
      </w:r>
      <w:proofErr w:type="gramStart"/>
      <w:r>
        <w:t>instruments;</w:t>
      </w:r>
      <w:proofErr w:type="gramEnd"/>
    </w:p>
    <w:p w14:paraId="747C4F72" w14:textId="77777777" w:rsidR="00394BFF" w:rsidRDefault="00394BFF" w:rsidP="00217711">
      <w:pPr>
        <w:spacing w:before="0" w:after="0"/>
      </w:pPr>
    </w:p>
    <w:p w14:paraId="2AB4A9E1" w14:textId="45EBC1D8" w:rsidR="00217711" w:rsidRDefault="00217711" w:rsidP="00217711">
      <w:pPr>
        <w:spacing w:before="0" w:after="0"/>
      </w:pPr>
      <w:r w:rsidRPr="006B3996">
        <w:rPr>
          <w:b/>
          <w:bCs/>
        </w:rPr>
        <w:t>REAFFIRMING</w:t>
      </w:r>
      <w:r>
        <w:t xml:space="preserve"> our unwavering commitment to the fight against narcotic drugs,</w:t>
      </w:r>
      <w:r w:rsidR="00394BFF">
        <w:t xml:space="preserve"> </w:t>
      </w:r>
      <w:r>
        <w:t xml:space="preserve">including </w:t>
      </w:r>
      <w:r w:rsidR="00FB43BF">
        <w:br/>
      </w:r>
      <w:r>
        <w:t>New Psychoactive Substances (NPS) and their precursor chemicals in</w:t>
      </w:r>
      <w:r w:rsidR="00394BFF">
        <w:t xml:space="preserve"> </w:t>
      </w:r>
      <w:r>
        <w:t xml:space="preserve">order to achieve our vision of a Drug-Free </w:t>
      </w:r>
      <w:proofErr w:type="gramStart"/>
      <w:r>
        <w:t>ASEAN;</w:t>
      </w:r>
      <w:proofErr w:type="gramEnd"/>
    </w:p>
    <w:p w14:paraId="1B2CAD22" w14:textId="77777777" w:rsidR="00394BFF" w:rsidRDefault="00394BFF" w:rsidP="00217711">
      <w:pPr>
        <w:spacing w:before="0" w:after="0"/>
      </w:pPr>
    </w:p>
    <w:p w14:paraId="61180CA2" w14:textId="0DD8EE46" w:rsidR="00217711" w:rsidRDefault="00217711" w:rsidP="00217711">
      <w:pPr>
        <w:spacing w:before="0" w:after="0"/>
      </w:pPr>
      <w:r w:rsidRPr="006B3996">
        <w:rPr>
          <w:b/>
          <w:bCs/>
        </w:rPr>
        <w:t>STRESSING WITH GRAVE CONCERN</w:t>
      </w:r>
      <w:r>
        <w:t xml:space="preserve"> over the adverse impact of illicit drug</w:t>
      </w:r>
      <w:r w:rsidR="00394BFF">
        <w:t xml:space="preserve"> </w:t>
      </w:r>
      <w:r>
        <w:t xml:space="preserve">production and trafficking, including synthetic drugs and precursors in the </w:t>
      </w:r>
      <w:proofErr w:type="gramStart"/>
      <w:r>
        <w:t>region;</w:t>
      </w:r>
      <w:proofErr w:type="gramEnd"/>
    </w:p>
    <w:p w14:paraId="7B7DB492" w14:textId="77777777" w:rsidR="00394BFF" w:rsidRDefault="00394BFF" w:rsidP="00217711">
      <w:pPr>
        <w:spacing w:before="0" w:after="0"/>
      </w:pPr>
    </w:p>
    <w:p w14:paraId="6B3E22AD" w14:textId="227EF41B" w:rsidR="00217711" w:rsidRDefault="00217711" w:rsidP="00217711">
      <w:pPr>
        <w:spacing w:before="0" w:after="0"/>
      </w:pPr>
      <w:r w:rsidRPr="006B3996">
        <w:rPr>
          <w:b/>
          <w:bCs/>
        </w:rPr>
        <w:t>EXPRESSING</w:t>
      </w:r>
      <w:r>
        <w:t xml:space="preserve"> concern over the increased trafficking and diversion of precursors and</w:t>
      </w:r>
      <w:r w:rsidR="00FB43BF">
        <w:t xml:space="preserve"> </w:t>
      </w:r>
      <w:r>
        <w:t xml:space="preserve">non-scheduled chemicals to manufacture narcotic drugs and </w:t>
      </w:r>
      <w:proofErr w:type="gramStart"/>
      <w:r>
        <w:t>NPS;</w:t>
      </w:r>
      <w:proofErr w:type="gramEnd"/>
    </w:p>
    <w:p w14:paraId="318DA66A" w14:textId="77777777" w:rsidR="00394BFF" w:rsidRDefault="00394BFF" w:rsidP="00217711">
      <w:pPr>
        <w:spacing w:before="0" w:after="0"/>
      </w:pPr>
    </w:p>
    <w:p w14:paraId="36C99BC3" w14:textId="36588F50" w:rsidR="00217711" w:rsidRDefault="00217711" w:rsidP="00217711">
      <w:pPr>
        <w:spacing w:before="0" w:after="0"/>
      </w:pPr>
      <w:r w:rsidRPr="006B3996">
        <w:rPr>
          <w:b/>
          <w:bCs/>
        </w:rPr>
        <w:t>EXPRESSING CONCERN</w:t>
      </w:r>
      <w:r>
        <w:t xml:space="preserve"> that drug traffickers have been increasingly exploiting</w:t>
      </w:r>
      <w:r w:rsidR="00FB43BF">
        <w:t xml:space="preserve"> </w:t>
      </w:r>
      <w:r>
        <w:t>modern technology, digital connectivity and shipment services to trade and distribute</w:t>
      </w:r>
      <w:r w:rsidR="00FB43BF">
        <w:t xml:space="preserve"> </w:t>
      </w:r>
      <w:r>
        <w:t xml:space="preserve">narcotic drugs and </w:t>
      </w:r>
      <w:proofErr w:type="gramStart"/>
      <w:r>
        <w:t>precursors;</w:t>
      </w:r>
      <w:proofErr w:type="gramEnd"/>
    </w:p>
    <w:p w14:paraId="4D8BA8D1" w14:textId="77777777" w:rsidR="00FB43BF" w:rsidRDefault="00FB43BF" w:rsidP="00217711">
      <w:pPr>
        <w:spacing w:before="0" w:after="0"/>
      </w:pPr>
    </w:p>
    <w:p w14:paraId="360F9F87" w14:textId="6B9C919F" w:rsidR="00217711" w:rsidRDefault="00217711" w:rsidP="00217711">
      <w:pPr>
        <w:spacing w:before="0" w:after="0"/>
      </w:pPr>
      <w:r w:rsidRPr="006B3996">
        <w:rPr>
          <w:b/>
          <w:bCs/>
        </w:rPr>
        <w:t>RECOGNISING</w:t>
      </w:r>
      <w:r>
        <w:t xml:space="preserve"> the need to strengthen drug control strategies, which include</w:t>
      </w:r>
      <w:r w:rsidR="00FB43BF">
        <w:t xml:space="preserve"> </w:t>
      </w:r>
      <w:r>
        <w:t>preventive education, law enforcement, treatment and rehabilitation, research, and</w:t>
      </w:r>
      <w:r w:rsidR="00FB43BF">
        <w:t xml:space="preserve"> </w:t>
      </w:r>
      <w:r>
        <w:t xml:space="preserve">sustainable alternative development in order to combat the regional drug </w:t>
      </w:r>
      <w:proofErr w:type="gramStart"/>
      <w:r>
        <w:t>problem;</w:t>
      </w:r>
      <w:proofErr w:type="gramEnd"/>
    </w:p>
    <w:p w14:paraId="5F17AB7B" w14:textId="77777777" w:rsidR="00FB43BF" w:rsidRDefault="00FB43BF" w:rsidP="00217711">
      <w:pPr>
        <w:spacing w:before="0" w:after="0"/>
      </w:pPr>
    </w:p>
    <w:p w14:paraId="00867EE8" w14:textId="194591DB" w:rsidR="00217711" w:rsidRDefault="00217711" w:rsidP="00217711">
      <w:pPr>
        <w:spacing w:before="0" w:after="0"/>
      </w:pPr>
      <w:r w:rsidRPr="006B3996">
        <w:rPr>
          <w:b/>
          <w:bCs/>
        </w:rPr>
        <w:t>RECOGNISING</w:t>
      </w:r>
      <w:r>
        <w:t xml:space="preserve"> the need to take appropriate measures to counter the diversion and</w:t>
      </w:r>
      <w:r w:rsidR="00FB43BF">
        <w:t xml:space="preserve"> </w:t>
      </w:r>
      <w:r>
        <w:t>illicit manufacturing of and trafficking in, as well as the misuse of precursors under</w:t>
      </w:r>
      <w:r w:rsidR="00FB43BF">
        <w:t xml:space="preserve"> </w:t>
      </w:r>
      <w:r>
        <w:t>international control and to tackle the misuse of pre-precursors and substitute or</w:t>
      </w:r>
      <w:r w:rsidR="00FB43BF">
        <w:t xml:space="preserve"> </w:t>
      </w:r>
      <w:r>
        <w:t xml:space="preserve">alternative precursors for illicit drug </w:t>
      </w:r>
      <w:proofErr w:type="gramStart"/>
      <w:r>
        <w:t>manufacturing;</w:t>
      </w:r>
      <w:proofErr w:type="gramEnd"/>
    </w:p>
    <w:p w14:paraId="3EFB9E47" w14:textId="434E6496" w:rsidR="00217711" w:rsidRDefault="00217711" w:rsidP="00217711">
      <w:pPr>
        <w:spacing w:before="0" w:after="0"/>
      </w:pPr>
    </w:p>
    <w:p w14:paraId="3C005DD1" w14:textId="38424095" w:rsidR="00217711" w:rsidRDefault="00217711" w:rsidP="00217711">
      <w:pPr>
        <w:spacing w:before="0" w:after="0"/>
      </w:pPr>
      <w:r w:rsidRPr="006B3996">
        <w:rPr>
          <w:b/>
          <w:bCs/>
        </w:rPr>
        <w:t>RECOGNISING</w:t>
      </w:r>
      <w:r>
        <w:t xml:space="preserve"> the necessity to strengthen institutional linkage and collaboration</w:t>
      </w:r>
      <w:r w:rsidR="00317EDA">
        <w:t xml:space="preserve"> </w:t>
      </w:r>
      <w:r>
        <w:t>among existing ASEAN mechanisms involved in the fight against illicit drug trafficking</w:t>
      </w:r>
      <w:r w:rsidR="00317EDA">
        <w:t xml:space="preserve"> </w:t>
      </w:r>
      <w:r>
        <w:t>and other related transnational crime, particularly the ASEAN Ministerial Meeting on</w:t>
      </w:r>
      <w:r w:rsidR="00317EDA">
        <w:t xml:space="preserve"> </w:t>
      </w:r>
      <w:r>
        <w:t>Drug Matters (AMMD), ASEAN Ministerial Meeting on Transnational Crime</w:t>
      </w:r>
      <w:r w:rsidR="00317EDA">
        <w:t xml:space="preserve"> </w:t>
      </w:r>
      <w:r>
        <w:t>(AMMTC), the ASEAN</w:t>
      </w:r>
      <w:r w:rsidR="00317EDA">
        <w:t xml:space="preserve"> </w:t>
      </w:r>
      <w:r>
        <w:t>Finance Ministers' Meeting (AFMM), and the ASEAN</w:t>
      </w:r>
      <w:r w:rsidR="00317EDA">
        <w:t xml:space="preserve"> </w:t>
      </w:r>
      <w:r>
        <w:t>Directors-General of Customs, and the ASEAN Ministers/Attorney-General of the</w:t>
      </w:r>
      <w:r w:rsidR="00317EDA">
        <w:t xml:space="preserve"> </w:t>
      </w:r>
      <w:r>
        <w:t>Central Authorities on Mutual Legal Assistance in Criminal Matters;</w:t>
      </w:r>
    </w:p>
    <w:p w14:paraId="01569E06" w14:textId="77777777" w:rsidR="00317EDA" w:rsidRDefault="00317EDA" w:rsidP="00217711">
      <w:pPr>
        <w:spacing w:before="0" w:after="0"/>
      </w:pPr>
    </w:p>
    <w:p w14:paraId="014621B0" w14:textId="55C1EFDB" w:rsidR="00217711" w:rsidRDefault="00217711" w:rsidP="00217711">
      <w:pPr>
        <w:spacing w:before="0" w:after="0"/>
      </w:pPr>
      <w:r w:rsidRPr="006B3996">
        <w:rPr>
          <w:b/>
          <w:bCs/>
        </w:rPr>
        <w:lastRenderedPageBreak/>
        <w:t>RECALLING</w:t>
      </w:r>
      <w:r>
        <w:t xml:space="preserve"> the ASEAN Leaders’ Declaration on Drug-Free ASEAN 2015 adopted</w:t>
      </w:r>
      <w:r w:rsidR="00317EDA">
        <w:t xml:space="preserve"> </w:t>
      </w:r>
      <w:r>
        <w:t>by the 20th ASEAN Summit in Phnom Penh, Cambodia on 4 April 2012, which aimed,</w:t>
      </w:r>
      <w:r w:rsidR="00317EDA">
        <w:t xml:space="preserve"> </w:t>
      </w:r>
      <w:r>
        <w:t xml:space="preserve">among others, to intensify concerted efforts to </w:t>
      </w:r>
      <w:proofErr w:type="spellStart"/>
      <w:r>
        <w:t>realise</w:t>
      </w:r>
      <w:proofErr w:type="spellEnd"/>
      <w:r>
        <w:t xml:space="preserve"> the vision and goal of a drug-free ASEAN and further enhance cooperation and coordination in a comprehensive</w:t>
      </w:r>
      <w:r w:rsidR="00317EDA">
        <w:t xml:space="preserve"> </w:t>
      </w:r>
      <w:r>
        <w:t>manner with ASEAN’s Dialogue Partners and external parties to eradicate illicit drug</w:t>
      </w:r>
      <w:r w:rsidR="00317EDA">
        <w:t xml:space="preserve"> </w:t>
      </w:r>
      <w:r>
        <w:t xml:space="preserve">production, processing, trafficking and use in the ASEAN </w:t>
      </w:r>
      <w:proofErr w:type="gramStart"/>
      <w:r>
        <w:t>region;</w:t>
      </w:r>
      <w:proofErr w:type="gramEnd"/>
    </w:p>
    <w:p w14:paraId="56ED30C3" w14:textId="77777777" w:rsidR="00317EDA" w:rsidRDefault="00317EDA" w:rsidP="00217711">
      <w:pPr>
        <w:spacing w:before="0" w:after="0"/>
      </w:pPr>
    </w:p>
    <w:p w14:paraId="551AB5A7" w14:textId="1EF40B03" w:rsidR="00217711" w:rsidRDefault="00217711" w:rsidP="00217711">
      <w:pPr>
        <w:spacing w:before="0" w:after="0"/>
      </w:pPr>
      <w:r w:rsidRPr="006B3996">
        <w:rPr>
          <w:b/>
          <w:bCs/>
        </w:rPr>
        <w:t>RECALLING</w:t>
      </w:r>
      <w:r>
        <w:t xml:space="preserve"> the Kuala Lumpur Declaration on Transnational Crime, signed by</w:t>
      </w:r>
      <w:r w:rsidR="00317EDA">
        <w:t xml:space="preserve"> </w:t>
      </w:r>
      <w:r>
        <w:t>ASEAN Ministers responsible for transnational crime matters on 30 September 2015,</w:t>
      </w:r>
      <w:r w:rsidR="00317EDA">
        <w:t xml:space="preserve"> </w:t>
      </w:r>
      <w:r>
        <w:t>which aimed, among others, to expand the scope of Member States' responsibilities</w:t>
      </w:r>
      <w:r w:rsidR="00317EDA">
        <w:t xml:space="preserve"> </w:t>
      </w:r>
      <w:r>
        <w:t>to address new methods and forms of transnational crime including illicit drug</w:t>
      </w:r>
      <w:r w:rsidR="00317EDA">
        <w:t xml:space="preserve"> </w:t>
      </w:r>
      <w:proofErr w:type="gramStart"/>
      <w:r>
        <w:t>trafficking;</w:t>
      </w:r>
      <w:proofErr w:type="gramEnd"/>
    </w:p>
    <w:p w14:paraId="1933D98B" w14:textId="77777777" w:rsidR="00317EDA" w:rsidRDefault="00317EDA" w:rsidP="00217711">
      <w:pPr>
        <w:spacing w:before="0" w:after="0"/>
      </w:pPr>
    </w:p>
    <w:p w14:paraId="6E07E866" w14:textId="0CB4E1BD" w:rsidR="00217711" w:rsidRDefault="00217711" w:rsidP="00217711">
      <w:pPr>
        <w:spacing w:before="0" w:after="0"/>
      </w:pPr>
      <w:r w:rsidRPr="006B3996">
        <w:rPr>
          <w:b/>
          <w:bCs/>
        </w:rPr>
        <w:t>RECALLING FUTHER</w:t>
      </w:r>
      <w:r>
        <w:t xml:space="preserve"> the Bandar Seri Begawan Declaration on Combating</w:t>
      </w:r>
      <w:r w:rsidR="00317EDA">
        <w:t xml:space="preserve"> </w:t>
      </w:r>
      <w:r>
        <w:t xml:space="preserve">Transnational Crime </w:t>
      </w:r>
      <w:r w:rsidR="00601D05">
        <w:br/>
      </w:r>
      <w:r>
        <w:t>Post-COVID 19 Pandemic, adopted by the AMMTC on 29</w:t>
      </w:r>
      <w:r w:rsidR="00317EDA">
        <w:t xml:space="preserve"> </w:t>
      </w:r>
      <w:r>
        <w:t>September 2021, which aimed, among others, to intensify ASEAN’s collective efforts</w:t>
      </w:r>
      <w:r w:rsidR="00317EDA">
        <w:t xml:space="preserve"> </w:t>
      </w:r>
      <w:r>
        <w:t>against transnational crime, which included illicit drug trafficking, through promoting</w:t>
      </w:r>
      <w:r w:rsidR="00317EDA">
        <w:t xml:space="preserve"> </w:t>
      </w:r>
      <w:r>
        <w:t>cross-pillar and cross-sectoral cooperation as well as through coordinating and</w:t>
      </w:r>
      <w:r w:rsidR="00317EDA">
        <w:t xml:space="preserve"> </w:t>
      </w:r>
      <w:r>
        <w:t xml:space="preserve">cooperation with ASEAN Dialogue Partners and all relevant </w:t>
      </w:r>
      <w:proofErr w:type="gramStart"/>
      <w:r>
        <w:t>stakeholders;</w:t>
      </w:r>
      <w:proofErr w:type="gramEnd"/>
    </w:p>
    <w:p w14:paraId="11A4F936" w14:textId="77777777" w:rsidR="00317EDA" w:rsidRDefault="00317EDA" w:rsidP="00217711">
      <w:pPr>
        <w:spacing w:before="0" w:after="0"/>
      </w:pPr>
    </w:p>
    <w:p w14:paraId="51D29307" w14:textId="2038E81D" w:rsidR="00217711" w:rsidRDefault="00217711" w:rsidP="00217711">
      <w:pPr>
        <w:spacing w:before="0" w:after="0"/>
      </w:pPr>
      <w:r w:rsidRPr="006B3996">
        <w:rPr>
          <w:b/>
          <w:bCs/>
        </w:rPr>
        <w:t>ACKNOWLEDGING</w:t>
      </w:r>
      <w:r>
        <w:t xml:space="preserve"> the work of the AMMD and its subsidiary mechanisms in the</w:t>
      </w:r>
      <w:r w:rsidR="00317EDA">
        <w:t xml:space="preserve"> </w:t>
      </w:r>
      <w:r>
        <w:t>implementation of the ASEAN Work Plan on Securing Communities Against Illicit</w:t>
      </w:r>
      <w:r w:rsidR="00317EDA">
        <w:t xml:space="preserve"> </w:t>
      </w:r>
      <w:r>
        <w:t xml:space="preserve">Drugs </w:t>
      </w:r>
      <w:proofErr w:type="gramStart"/>
      <w:r>
        <w:t>2016-2025;</w:t>
      </w:r>
      <w:proofErr w:type="gramEnd"/>
    </w:p>
    <w:p w14:paraId="784745EB" w14:textId="77777777" w:rsidR="00317EDA" w:rsidRDefault="00317EDA" w:rsidP="00217711">
      <w:pPr>
        <w:spacing w:before="0" w:after="0"/>
      </w:pPr>
    </w:p>
    <w:p w14:paraId="165F47B1" w14:textId="00F9553A" w:rsidR="00217711" w:rsidRPr="006B3996" w:rsidRDefault="00217711" w:rsidP="00217711">
      <w:pPr>
        <w:spacing w:before="0" w:after="0"/>
        <w:rPr>
          <w:b/>
          <w:bCs/>
        </w:rPr>
      </w:pPr>
      <w:r w:rsidRPr="006B3996">
        <w:rPr>
          <w:b/>
          <w:bCs/>
        </w:rPr>
        <w:t>HEREBY AGREE TO:</w:t>
      </w:r>
    </w:p>
    <w:p w14:paraId="464CFE70" w14:textId="77777777" w:rsidR="00317EDA" w:rsidRDefault="00317EDA" w:rsidP="00217711">
      <w:pPr>
        <w:spacing w:before="0" w:after="0"/>
      </w:pPr>
    </w:p>
    <w:p w14:paraId="333B7E6C" w14:textId="77777777" w:rsidR="006B3996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Strengthen</w:t>
      </w:r>
      <w:r>
        <w:t xml:space="preserve"> our shared commitment to effectively prevent and counter illicit</w:t>
      </w:r>
      <w:r w:rsidR="006B3996">
        <w:t xml:space="preserve"> </w:t>
      </w:r>
      <w:r>
        <w:t xml:space="preserve">drug production, processing, trafficking and abuse in </w:t>
      </w:r>
      <w:proofErr w:type="gramStart"/>
      <w:r>
        <w:t>ASEAN;</w:t>
      </w:r>
      <w:proofErr w:type="gramEnd"/>
    </w:p>
    <w:p w14:paraId="6891A165" w14:textId="77777777" w:rsidR="006B3996" w:rsidRDefault="006B3996" w:rsidP="006B3996">
      <w:pPr>
        <w:pStyle w:val="ListParagraph"/>
        <w:spacing w:before="0" w:after="0"/>
        <w:ind w:left="360"/>
      </w:pPr>
    </w:p>
    <w:p w14:paraId="1F9C7F1B" w14:textId="0C6DBA52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Strengthen</w:t>
      </w:r>
      <w:r>
        <w:t xml:space="preserve"> cooperation in cross-cutting issues related to drug </w:t>
      </w:r>
      <w:proofErr w:type="gramStart"/>
      <w:r>
        <w:t>matters;</w:t>
      </w:r>
      <w:proofErr w:type="gramEnd"/>
    </w:p>
    <w:p w14:paraId="000BAEE3" w14:textId="77777777" w:rsidR="00317EDA" w:rsidRDefault="00317EDA" w:rsidP="006B3996">
      <w:pPr>
        <w:spacing w:before="0" w:after="0"/>
      </w:pPr>
    </w:p>
    <w:p w14:paraId="32FB6E4A" w14:textId="3BB321ED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Strengthen</w:t>
      </w:r>
      <w:r>
        <w:t xml:space="preserve"> our concerted efforts to interdict and disrupt illicit drug trafficking</w:t>
      </w:r>
      <w:r w:rsidR="00666412">
        <w:t xml:space="preserve"> </w:t>
      </w:r>
      <w:r>
        <w:t>networks in the region through existing multilateral and bilateral cooperation</w:t>
      </w:r>
      <w:r w:rsidR="00666412">
        <w:t xml:space="preserve"> </w:t>
      </w:r>
      <w:r>
        <w:t>mechanisms in accordance with domestic laws of the respective ASEAN</w:t>
      </w:r>
      <w:r w:rsidR="00666412">
        <w:t xml:space="preserve"> </w:t>
      </w:r>
      <w:r>
        <w:t xml:space="preserve">Member </w:t>
      </w:r>
      <w:proofErr w:type="gramStart"/>
      <w:r>
        <w:t>States;</w:t>
      </w:r>
      <w:proofErr w:type="gramEnd"/>
    </w:p>
    <w:p w14:paraId="641D71EC" w14:textId="77777777" w:rsidR="00317EDA" w:rsidRDefault="00317EDA" w:rsidP="006B3996">
      <w:pPr>
        <w:spacing w:before="0" w:after="0"/>
      </w:pPr>
    </w:p>
    <w:p w14:paraId="5D1FA190" w14:textId="74A90622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Enhance</w:t>
      </w:r>
      <w:r>
        <w:t xml:space="preserve"> capacity building, particularly in the areas of preventive education,</w:t>
      </w:r>
      <w:r w:rsidR="00666412">
        <w:t xml:space="preserve"> </w:t>
      </w:r>
      <w:r>
        <w:t>law enforcement, treatment and rehabilitation, research and alternative</w:t>
      </w:r>
      <w:r w:rsidR="00666412">
        <w:t xml:space="preserve"> </w:t>
      </w:r>
      <w:proofErr w:type="gramStart"/>
      <w:r>
        <w:t>development;</w:t>
      </w:r>
      <w:proofErr w:type="gramEnd"/>
    </w:p>
    <w:p w14:paraId="4CA8D290" w14:textId="77777777" w:rsidR="00317EDA" w:rsidRDefault="00317EDA" w:rsidP="006B3996">
      <w:pPr>
        <w:spacing w:before="0" w:after="0"/>
      </w:pPr>
    </w:p>
    <w:p w14:paraId="068AA31C" w14:textId="19D87C84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Enhance</w:t>
      </w:r>
      <w:r>
        <w:t xml:space="preserve"> the exchange of information related to trafficking of narcotic drugs</w:t>
      </w:r>
      <w:r w:rsidR="00666412">
        <w:t xml:space="preserve"> </w:t>
      </w:r>
      <w:r>
        <w:t>and psychotropic substances, including the identification of new trafficking</w:t>
      </w:r>
      <w:r w:rsidR="00666412">
        <w:t xml:space="preserve"> </w:t>
      </w:r>
      <w:r>
        <w:t>routes and modalities as well as the diversion or smuggling of their precursor</w:t>
      </w:r>
      <w:r w:rsidR="00666412">
        <w:t xml:space="preserve"> </w:t>
      </w:r>
      <w:r>
        <w:t>chemicals, to ensure the success of the drug-related operation and</w:t>
      </w:r>
      <w:r w:rsidR="00666412">
        <w:t xml:space="preserve"> </w:t>
      </w:r>
      <w:proofErr w:type="gramStart"/>
      <w:r>
        <w:t>investigation;</w:t>
      </w:r>
      <w:proofErr w:type="gramEnd"/>
    </w:p>
    <w:p w14:paraId="7CF4A3B2" w14:textId="77777777" w:rsidR="00317EDA" w:rsidRDefault="00317EDA" w:rsidP="006B3996">
      <w:pPr>
        <w:spacing w:before="0" w:after="0"/>
      </w:pPr>
    </w:p>
    <w:p w14:paraId="346190E8" w14:textId="361B6D62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Enhance</w:t>
      </w:r>
      <w:r>
        <w:t xml:space="preserve"> the effectiveness of the national legislation of the ASEAN Member</w:t>
      </w:r>
      <w:r w:rsidR="00666412">
        <w:t xml:space="preserve"> </w:t>
      </w:r>
      <w:r>
        <w:t>States related to the control of narcotic drugs, including NPS, precursor</w:t>
      </w:r>
      <w:r w:rsidR="00666412">
        <w:t xml:space="preserve"> </w:t>
      </w:r>
      <w:r>
        <w:t>chemicals, used in the illicit manufacture of narcotic drugs and psychotropic</w:t>
      </w:r>
      <w:r w:rsidR="00666412">
        <w:t xml:space="preserve"> </w:t>
      </w:r>
      <w:r>
        <w:t>substances in accordance with the United Nations Convention Against Illicit</w:t>
      </w:r>
      <w:r w:rsidR="00666412">
        <w:t xml:space="preserve"> </w:t>
      </w:r>
      <w:r>
        <w:t xml:space="preserve">Traffic in Narcotic Drugs and Psychotropic Substances of </w:t>
      </w:r>
      <w:proofErr w:type="gramStart"/>
      <w:r>
        <w:t>1988;</w:t>
      </w:r>
      <w:proofErr w:type="gramEnd"/>
    </w:p>
    <w:p w14:paraId="3392D5EA" w14:textId="77777777" w:rsidR="00317EDA" w:rsidRDefault="00317EDA" w:rsidP="006B3996">
      <w:pPr>
        <w:spacing w:before="0" w:after="0"/>
      </w:pPr>
    </w:p>
    <w:p w14:paraId="03AB3FCC" w14:textId="36C243B3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Adopt</w:t>
      </w:r>
      <w:r>
        <w:t>, as appropriate, legal and administrative measures, and institutional</w:t>
      </w:r>
      <w:r w:rsidR="00666412">
        <w:t xml:space="preserve"> </w:t>
      </w:r>
      <w:r>
        <w:t>frameworks to address the diversion of precursor chemicals used in the illicit</w:t>
      </w:r>
      <w:r w:rsidR="00666412">
        <w:t xml:space="preserve"> </w:t>
      </w:r>
      <w:r>
        <w:t xml:space="preserve">manufacture and proliferation of designer </w:t>
      </w:r>
      <w:proofErr w:type="gramStart"/>
      <w:r>
        <w:t>drugs;</w:t>
      </w:r>
      <w:proofErr w:type="gramEnd"/>
    </w:p>
    <w:p w14:paraId="663DD3A3" w14:textId="77777777" w:rsidR="00317EDA" w:rsidRDefault="00317EDA" w:rsidP="006B3996">
      <w:pPr>
        <w:spacing w:before="0" w:after="0"/>
      </w:pPr>
    </w:p>
    <w:p w14:paraId="7342CC5A" w14:textId="4B34D85F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Intensify</w:t>
      </w:r>
      <w:r>
        <w:t xml:space="preserve"> public awareness raising campaigns against trafficking of illicit drugs,</w:t>
      </w:r>
      <w:r w:rsidR="00666412">
        <w:t xml:space="preserve"> </w:t>
      </w:r>
      <w:r>
        <w:t>NPS and precursors as well as raising awareness among law enforcement and</w:t>
      </w:r>
      <w:r w:rsidR="00666412">
        <w:t xml:space="preserve"> </w:t>
      </w:r>
      <w:r>
        <w:t xml:space="preserve">public authorities, private industry and other stakeholders of the risk of non-scheduled precursor chemicals being </w:t>
      </w:r>
      <w:proofErr w:type="spellStart"/>
      <w:r>
        <w:t>utilised</w:t>
      </w:r>
      <w:proofErr w:type="spellEnd"/>
      <w:r>
        <w:t xml:space="preserve"> for the illicit </w:t>
      </w:r>
      <w:r>
        <w:lastRenderedPageBreak/>
        <w:t>manufacture of</w:t>
      </w:r>
      <w:r w:rsidR="00666412">
        <w:t xml:space="preserve"> </w:t>
      </w:r>
      <w:r>
        <w:t>scheduled precursor chemicals and drugs in the region through various</w:t>
      </w:r>
      <w:r w:rsidR="00666412">
        <w:t xml:space="preserve"> </w:t>
      </w:r>
      <w:r>
        <w:t xml:space="preserve">platforms and means, including online, audio and printed </w:t>
      </w:r>
      <w:proofErr w:type="gramStart"/>
      <w:r>
        <w:t>materials;</w:t>
      </w:r>
      <w:proofErr w:type="gramEnd"/>
    </w:p>
    <w:p w14:paraId="588F3F98" w14:textId="77777777" w:rsidR="00317EDA" w:rsidRDefault="00317EDA" w:rsidP="006B3996">
      <w:pPr>
        <w:spacing w:before="0" w:after="0"/>
      </w:pPr>
    </w:p>
    <w:p w14:paraId="326B99FA" w14:textId="7FD6CC19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Consider</w:t>
      </w:r>
      <w:r>
        <w:t xml:space="preserve"> establishing and strengthening public-private partnerships to secure</w:t>
      </w:r>
      <w:r w:rsidR="00666412">
        <w:t xml:space="preserve"> </w:t>
      </w:r>
      <w:r>
        <w:t>cooperation from relevant sectors to facilitate the identification of suspicious</w:t>
      </w:r>
      <w:r w:rsidR="00666412">
        <w:t xml:space="preserve"> </w:t>
      </w:r>
      <w:r>
        <w:t>transactions of precursor chemicals, including new and unusual trade patterns,</w:t>
      </w:r>
      <w:r w:rsidR="00666412">
        <w:t xml:space="preserve"> </w:t>
      </w:r>
      <w:r>
        <w:t>and the diversion of precursor chemicals for the illicit manufacture of narcotic</w:t>
      </w:r>
      <w:r w:rsidR="00666412">
        <w:t xml:space="preserve"> </w:t>
      </w:r>
      <w:r>
        <w:t xml:space="preserve">drugs and psychotropic </w:t>
      </w:r>
      <w:proofErr w:type="gramStart"/>
      <w:r>
        <w:t>substances;</w:t>
      </w:r>
      <w:proofErr w:type="gramEnd"/>
    </w:p>
    <w:p w14:paraId="0C048393" w14:textId="77777777" w:rsidR="00317EDA" w:rsidRDefault="00317EDA" w:rsidP="006B3996">
      <w:pPr>
        <w:spacing w:before="0" w:after="0"/>
      </w:pPr>
    </w:p>
    <w:p w14:paraId="1FE5EB47" w14:textId="2A121B79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Enhance</w:t>
      </w:r>
      <w:r>
        <w:t xml:space="preserve"> the capacity and effectiveness of national laboratories to identify and</w:t>
      </w:r>
      <w:r w:rsidR="00666412">
        <w:t xml:space="preserve"> </w:t>
      </w:r>
      <w:r>
        <w:t xml:space="preserve">detect emerging precursors and pre-precursor </w:t>
      </w:r>
      <w:proofErr w:type="gramStart"/>
      <w:r>
        <w:t>chemicals;</w:t>
      </w:r>
      <w:proofErr w:type="gramEnd"/>
    </w:p>
    <w:p w14:paraId="1DEF4A54" w14:textId="77777777" w:rsidR="00317EDA" w:rsidRDefault="00317EDA" w:rsidP="006B3996">
      <w:pPr>
        <w:spacing w:before="0" w:after="0"/>
      </w:pPr>
    </w:p>
    <w:p w14:paraId="0BFB5EA7" w14:textId="62620E09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Strengthen</w:t>
      </w:r>
      <w:r>
        <w:t xml:space="preserve"> regional border management cooperation to safeguard the region</w:t>
      </w:r>
      <w:r w:rsidR="00666412">
        <w:t xml:space="preserve"> </w:t>
      </w:r>
      <w:r>
        <w:t xml:space="preserve">against the threats posed by illicit drug </w:t>
      </w:r>
      <w:proofErr w:type="gramStart"/>
      <w:r>
        <w:t>trafficking;</w:t>
      </w:r>
      <w:proofErr w:type="gramEnd"/>
    </w:p>
    <w:p w14:paraId="17C95DC5" w14:textId="77777777" w:rsidR="00317EDA" w:rsidRDefault="00317EDA" w:rsidP="006B3996">
      <w:pPr>
        <w:spacing w:before="0" w:after="0"/>
      </w:pPr>
    </w:p>
    <w:p w14:paraId="2E59D1CF" w14:textId="023D7C5B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Promote</w:t>
      </w:r>
      <w:r>
        <w:t xml:space="preserve"> comprehensive and sustainable alternative development</w:t>
      </w:r>
      <w:r w:rsidR="005F63B6">
        <w:t xml:space="preserve"> </w:t>
      </w:r>
      <w:proofErr w:type="spellStart"/>
      <w:r>
        <w:t>programmes</w:t>
      </w:r>
      <w:proofErr w:type="spellEnd"/>
      <w:r>
        <w:t xml:space="preserve"> to reduce illicit drug </w:t>
      </w:r>
      <w:proofErr w:type="gramStart"/>
      <w:r>
        <w:t>cultivation;</w:t>
      </w:r>
      <w:proofErr w:type="gramEnd"/>
    </w:p>
    <w:p w14:paraId="7C0ACC8E" w14:textId="77777777" w:rsidR="00317EDA" w:rsidRDefault="00317EDA" w:rsidP="006B3996">
      <w:pPr>
        <w:spacing w:before="0" w:after="0"/>
      </w:pPr>
    </w:p>
    <w:p w14:paraId="55CCD4EF" w14:textId="12B440C0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Consider</w:t>
      </w:r>
      <w:r>
        <w:t xml:space="preserve"> applying monitoring measures in accordance with the Respective</w:t>
      </w:r>
      <w:r w:rsidR="005F63B6">
        <w:t xml:space="preserve"> </w:t>
      </w:r>
      <w:r>
        <w:t>ASEAN Member States’ domestic laws and regulations to detect and prevent</w:t>
      </w:r>
      <w:r w:rsidR="005F63B6">
        <w:t xml:space="preserve"> </w:t>
      </w:r>
      <w:r>
        <w:t>diversion and to use established mechanisms for the exchange of information,</w:t>
      </w:r>
      <w:r w:rsidR="005F63B6">
        <w:t xml:space="preserve"> </w:t>
      </w:r>
      <w:r>
        <w:t>including through the Precursors Incident Communication System and the</w:t>
      </w:r>
      <w:r w:rsidR="005F63B6">
        <w:t xml:space="preserve"> </w:t>
      </w:r>
      <w:r>
        <w:t>annual update and dispatch of information on substances frequently used in the</w:t>
      </w:r>
      <w:r w:rsidR="005F63B6">
        <w:t xml:space="preserve"> </w:t>
      </w:r>
      <w:r>
        <w:t>illicit manufacture of narcotic drugs and psychotropic substances using Form D</w:t>
      </w:r>
      <w:r w:rsidR="005F63B6">
        <w:t xml:space="preserve"> </w:t>
      </w:r>
      <w:r>
        <w:t>of the International Narcotics Control Board, on substances not included in</w:t>
      </w:r>
      <w:r w:rsidR="005F63B6">
        <w:t xml:space="preserve"> </w:t>
      </w:r>
      <w:r>
        <w:t>Table I or Table II of the United Nations Convention against Illicit Traffic in</w:t>
      </w:r>
      <w:r w:rsidR="005F63B6">
        <w:t xml:space="preserve"> </w:t>
      </w:r>
      <w:r>
        <w:t>Narcotic Drugs and Psychotropic Substances of 1988 that have been used in</w:t>
      </w:r>
      <w:r w:rsidR="005F63B6">
        <w:t xml:space="preserve"> </w:t>
      </w:r>
      <w:r>
        <w:t>the illicit manufacture of narcotic drugs and psychotropic substances;</w:t>
      </w:r>
    </w:p>
    <w:p w14:paraId="5A1AD1B0" w14:textId="77777777" w:rsidR="00317EDA" w:rsidRDefault="00317EDA" w:rsidP="006B3996">
      <w:pPr>
        <w:spacing w:before="0" w:after="0"/>
      </w:pPr>
    </w:p>
    <w:p w14:paraId="2E11C059" w14:textId="75E5EA77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Strengthen</w:t>
      </w:r>
      <w:r>
        <w:t xml:space="preserve"> measures to control import and export of precursor </w:t>
      </w:r>
      <w:proofErr w:type="gramStart"/>
      <w:r>
        <w:t>chemicals;</w:t>
      </w:r>
      <w:proofErr w:type="gramEnd"/>
    </w:p>
    <w:p w14:paraId="1B36F10D" w14:textId="77777777" w:rsidR="00317EDA" w:rsidRDefault="00317EDA" w:rsidP="006B3996">
      <w:pPr>
        <w:spacing w:before="0" w:after="0"/>
      </w:pPr>
    </w:p>
    <w:p w14:paraId="5E5E3892" w14:textId="763D54E7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Consider</w:t>
      </w:r>
      <w:r>
        <w:t xml:space="preserve"> establishing communication channels to report any suspicious orders</w:t>
      </w:r>
      <w:r w:rsidR="005F63B6">
        <w:t xml:space="preserve"> </w:t>
      </w:r>
      <w:r>
        <w:t>and transactions, also consider the use of the Guidelines for a Voluntary Code</w:t>
      </w:r>
      <w:r w:rsidR="005F63B6">
        <w:t xml:space="preserve"> </w:t>
      </w:r>
      <w:r>
        <w:t>of Practice for the Chemical Industry, issued by the International Narcotics</w:t>
      </w:r>
      <w:r w:rsidR="005F63B6">
        <w:t xml:space="preserve"> </w:t>
      </w:r>
      <w:r>
        <w:t>Control Board, and the Board’s model memorandum of understanding between</w:t>
      </w:r>
      <w:r w:rsidR="005F63B6">
        <w:t xml:space="preserve"> </w:t>
      </w:r>
      <w:r>
        <w:t xml:space="preserve">Governments and private sector </w:t>
      </w:r>
      <w:proofErr w:type="gramStart"/>
      <w:r>
        <w:t>partners;</w:t>
      </w:r>
      <w:proofErr w:type="gramEnd"/>
    </w:p>
    <w:p w14:paraId="47B0F5A4" w14:textId="77777777" w:rsidR="00317EDA" w:rsidRDefault="00317EDA" w:rsidP="006B3996">
      <w:pPr>
        <w:spacing w:before="0" w:after="0"/>
      </w:pPr>
    </w:p>
    <w:p w14:paraId="340506F0" w14:textId="294F27BE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Strengthen</w:t>
      </w:r>
      <w:r>
        <w:t xml:space="preserve"> information sharing to monitor illicit drug trends including precursor</w:t>
      </w:r>
      <w:r w:rsidR="005F63B6">
        <w:t xml:space="preserve"> </w:t>
      </w:r>
      <w:r>
        <w:t>chemicals in ASEAN region and the ASEAN Member States through the annual</w:t>
      </w:r>
      <w:r w:rsidR="005F63B6">
        <w:t xml:space="preserve"> </w:t>
      </w:r>
      <w:r>
        <w:t>publication of annual ASEAN Drug Monitoring Report</w:t>
      </w:r>
    </w:p>
    <w:p w14:paraId="425E11E5" w14:textId="77777777" w:rsidR="00317EDA" w:rsidRDefault="00317EDA" w:rsidP="006B3996">
      <w:pPr>
        <w:spacing w:before="0" w:after="0"/>
      </w:pPr>
    </w:p>
    <w:p w14:paraId="3BD33344" w14:textId="546732F2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Enhance</w:t>
      </w:r>
      <w:r>
        <w:t xml:space="preserve"> cooperation with external parties, including Dialogue Partners and</w:t>
      </w:r>
      <w:r w:rsidR="005F63B6">
        <w:t xml:space="preserve"> </w:t>
      </w:r>
      <w:r>
        <w:t>international organizations, on combating drug trafficking and drug-related</w:t>
      </w:r>
      <w:r w:rsidR="005F63B6">
        <w:t xml:space="preserve"> </w:t>
      </w:r>
      <w:proofErr w:type="gramStart"/>
      <w:r>
        <w:t>crimes;</w:t>
      </w:r>
      <w:proofErr w:type="gramEnd"/>
    </w:p>
    <w:p w14:paraId="36491B9E" w14:textId="77777777" w:rsidR="00317EDA" w:rsidRDefault="00317EDA" w:rsidP="006B3996">
      <w:pPr>
        <w:spacing w:before="0" w:after="0"/>
      </w:pPr>
    </w:p>
    <w:p w14:paraId="3562F9EF" w14:textId="25D9953F" w:rsidR="00217711" w:rsidRDefault="00217711" w:rsidP="006B3996">
      <w:pPr>
        <w:pStyle w:val="ListParagraph"/>
        <w:numPr>
          <w:ilvl w:val="0"/>
          <w:numId w:val="26"/>
        </w:numPr>
        <w:spacing w:before="0" w:after="0"/>
        <w:ind w:left="360"/>
      </w:pPr>
      <w:r w:rsidRPr="006B3996">
        <w:rPr>
          <w:b/>
          <w:bCs/>
        </w:rPr>
        <w:t>Task</w:t>
      </w:r>
      <w:r>
        <w:t xml:space="preserve"> the relevant ASEAN Sectoral Bodies to </w:t>
      </w:r>
      <w:proofErr w:type="spellStart"/>
      <w:r>
        <w:t>mobilise</w:t>
      </w:r>
      <w:proofErr w:type="spellEnd"/>
      <w:r>
        <w:t xml:space="preserve"> resources and modalities</w:t>
      </w:r>
      <w:r w:rsidR="005F63B6">
        <w:t xml:space="preserve"> </w:t>
      </w:r>
      <w:r>
        <w:t>and develop strategies against illicit drug trafficking and drug-related crimes as</w:t>
      </w:r>
      <w:r w:rsidR="005F63B6">
        <w:t xml:space="preserve"> </w:t>
      </w:r>
      <w:r>
        <w:t xml:space="preserve">well as the diversion of </w:t>
      </w:r>
      <w:r w:rsidR="00A065EB">
        <w:br/>
      </w:r>
      <w:r>
        <w:t>non-scheduled precursor chemicals for illicit</w:t>
      </w:r>
      <w:r w:rsidR="005F63B6">
        <w:t xml:space="preserve"> </w:t>
      </w:r>
      <w:r>
        <w:t>manufacture of narcotic drugs and psychotropic substances.</w:t>
      </w:r>
    </w:p>
    <w:p w14:paraId="1F670318" w14:textId="77777777" w:rsidR="00317EDA" w:rsidRDefault="00317EDA" w:rsidP="006B3996">
      <w:pPr>
        <w:spacing w:before="0" w:after="0"/>
      </w:pPr>
    </w:p>
    <w:p w14:paraId="1647F5FA" w14:textId="51319ADD" w:rsidR="00217711" w:rsidRPr="00477588" w:rsidRDefault="00217711" w:rsidP="00217711">
      <w:pPr>
        <w:spacing w:before="0" w:after="0"/>
      </w:pPr>
      <w:r w:rsidRPr="006B3996">
        <w:rPr>
          <w:b/>
          <w:bCs/>
        </w:rPr>
        <w:t>Adopted</w:t>
      </w:r>
      <w:r>
        <w:t xml:space="preserve"> on this Ninth Day of October in the Year Two Thousand and Twenty-Four</w:t>
      </w:r>
      <w:r w:rsidR="00317EDA">
        <w:t xml:space="preserve"> </w:t>
      </w:r>
      <w:r>
        <w:t>in a single original copy in the English language.</w:t>
      </w:r>
    </w:p>
    <w:sectPr w:rsidR="00217711" w:rsidRPr="00477588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8AF75" w14:textId="77777777" w:rsidR="006767A6" w:rsidRDefault="006767A6" w:rsidP="00F61B4F">
      <w:pPr>
        <w:spacing w:before="0" w:after="0" w:line="240" w:lineRule="auto"/>
      </w:pPr>
      <w:r>
        <w:separator/>
      </w:r>
    </w:p>
  </w:endnote>
  <w:endnote w:type="continuationSeparator" w:id="0">
    <w:p w14:paraId="6EEC95F3" w14:textId="77777777" w:rsidR="006767A6" w:rsidRDefault="006767A6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D9736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2CCECC02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74128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311B57A0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3F182" w14:textId="77777777" w:rsidR="006767A6" w:rsidRDefault="006767A6" w:rsidP="00F61B4F">
      <w:pPr>
        <w:spacing w:before="0" w:after="0" w:line="240" w:lineRule="auto"/>
      </w:pPr>
      <w:r>
        <w:separator/>
      </w:r>
    </w:p>
  </w:footnote>
  <w:footnote w:type="continuationSeparator" w:id="0">
    <w:p w14:paraId="061909E7" w14:textId="77777777" w:rsidR="006767A6" w:rsidRDefault="006767A6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86F80" w14:textId="27B635FA" w:rsidR="00B532E2" w:rsidRPr="00CD6026" w:rsidRDefault="00217711" w:rsidP="00626B95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 w:rsidRPr="00217711">
      <w:rPr>
        <w:rFonts w:cs="Arial"/>
        <w:caps/>
        <w:color w:val="808080"/>
        <w:sz w:val="16"/>
        <w:szCs w:val="16"/>
      </w:rPr>
      <w:t>2024 ASEAN LEADERS’ DECLARATION ON ENHANCED COOPERATION AGAINST ILLICIT DRUG TRAFFICKING AND PRECURSOR CHEMICALS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B4810"/>
    <w:multiLevelType w:val="hybridMultilevel"/>
    <w:tmpl w:val="9FBC7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90F59"/>
    <w:multiLevelType w:val="hybridMultilevel"/>
    <w:tmpl w:val="E6A03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6B2A8C"/>
    <w:multiLevelType w:val="hybridMultilevel"/>
    <w:tmpl w:val="E6A009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6613D0"/>
    <w:multiLevelType w:val="hybridMultilevel"/>
    <w:tmpl w:val="99DC1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B765E"/>
    <w:multiLevelType w:val="hybridMultilevel"/>
    <w:tmpl w:val="EEB2C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5703"/>
    <w:multiLevelType w:val="hybridMultilevel"/>
    <w:tmpl w:val="B7D85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04DCC"/>
    <w:multiLevelType w:val="hybridMultilevel"/>
    <w:tmpl w:val="F7FC1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96E92"/>
    <w:multiLevelType w:val="hybridMultilevel"/>
    <w:tmpl w:val="365EF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235FA"/>
    <w:multiLevelType w:val="hybridMultilevel"/>
    <w:tmpl w:val="7B40E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B6C67"/>
    <w:multiLevelType w:val="hybridMultilevel"/>
    <w:tmpl w:val="0DCC9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E64718"/>
    <w:multiLevelType w:val="hybridMultilevel"/>
    <w:tmpl w:val="79122F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4324C4"/>
    <w:multiLevelType w:val="hybridMultilevel"/>
    <w:tmpl w:val="76BA38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5D5999"/>
    <w:multiLevelType w:val="hybridMultilevel"/>
    <w:tmpl w:val="6E7C2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F3EEC"/>
    <w:multiLevelType w:val="hybridMultilevel"/>
    <w:tmpl w:val="B1E2E3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575316">
    <w:abstractNumId w:val="19"/>
  </w:num>
  <w:num w:numId="2" w16cid:durableId="360320398">
    <w:abstractNumId w:val="16"/>
  </w:num>
  <w:num w:numId="3" w16cid:durableId="1365135478">
    <w:abstractNumId w:val="9"/>
  </w:num>
  <w:num w:numId="4" w16cid:durableId="422728191">
    <w:abstractNumId w:val="7"/>
  </w:num>
  <w:num w:numId="5" w16cid:durableId="1791898566">
    <w:abstractNumId w:val="6"/>
  </w:num>
  <w:num w:numId="6" w16cid:durableId="575356698">
    <w:abstractNumId w:val="5"/>
  </w:num>
  <w:num w:numId="7" w16cid:durableId="1771004132">
    <w:abstractNumId w:val="4"/>
  </w:num>
  <w:num w:numId="8" w16cid:durableId="2024550645">
    <w:abstractNumId w:val="8"/>
  </w:num>
  <w:num w:numId="9" w16cid:durableId="1253127530">
    <w:abstractNumId w:val="3"/>
  </w:num>
  <w:num w:numId="10" w16cid:durableId="343827254">
    <w:abstractNumId w:val="2"/>
  </w:num>
  <w:num w:numId="11" w16cid:durableId="538207194">
    <w:abstractNumId w:val="1"/>
  </w:num>
  <w:num w:numId="12" w16cid:durableId="951783813">
    <w:abstractNumId w:val="0"/>
  </w:num>
  <w:num w:numId="13" w16cid:durableId="672878940">
    <w:abstractNumId w:val="23"/>
  </w:num>
  <w:num w:numId="14" w16cid:durableId="619260236">
    <w:abstractNumId w:val="12"/>
  </w:num>
  <w:num w:numId="15" w16cid:durableId="52822074">
    <w:abstractNumId w:val="21"/>
  </w:num>
  <w:num w:numId="16" w16cid:durableId="818693724">
    <w:abstractNumId w:val="22"/>
  </w:num>
  <w:num w:numId="17" w16cid:durableId="1161652529">
    <w:abstractNumId w:val="25"/>
  </w:num>
  <w:num w:numId="18" w16cid:durableId="1752772634">
    <w:abstractNumId w:val="13"/>
  </w:num>
  <w:num w:numId="19" w16cid:durableId="1676151943">
    <w:abstractNumId w:val="15"/>
  </w:num>
  <w:num w:numId="20" w16cid:durableId="1297417867">
    <w:abstractNumId w:val="24"/>
  </w:num>
  <w:num w:numId="21" w16cid:durableId="1482497639">
    <w:abstractNumId w:val="10"/>
  </w:num>
  <w:num w:numId="22" w16cid:durableId="1550845124">
    <w:abstractNumId w:val="17"/>
  </w:num>
  <w:num w:numId="23" w16cid:durableId="405882030">
    <w:abstractNumId w:val="11"/>
  </w:num>
  <w:num w:numId="24" w16cid:durableId="651719555">
    <w:abstractNumId w:val="20"/>
  </w:num>
  <w:num w:numId="25" w16cid:durableId="324208214">
    <w:abstractNumId w:val="18"/>
  </w:num>
  <w:num w:numId="26" w16cid:durableId="201749097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2D"/>
    <w:rsid w:val="00000FB0"/>
    <w:rsid w:val="00002446"/>
    <w:rsid w:val="000043E5"/>
    <w:rsid w:val="00011723"/>
    <w:rsid w:val="00013D73"/>
    <w:rsid w:val="000173F4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2883"/>
    <w:rsid w:val="000547EC"/>
    <w:rsid w:val="00055254"/>
    <w:rsid w:val="00055923"/>
    <w:rsid w:val="00061193"/>
    <w:rsid w:val="00061B8B"/>
    <w:rsid w:val="00061EA6"/>
    <w:rsid w:val="000627D9"/>
    <w:rsid w:val="00063C84"/>
    <w:rsid w:val="000719FB"/>
    <w:rsid w:val="0007234F"/>
    <w:rsid w:val="000768A2"/>
    <w:rsid w:val="000771E0"/>
    <w:rsid w:val="00080879"/>
    <w:rsid w:val="00080FD6"/>
    <w:rsid w:val="00081E70"/>
    <w:rsid w:val="00082260"/>
    <w:rsid w:val="00083FFE"/>
    <w:rsid w:val="000922A6"/>
    <w:rsid w:val="0009558E"/>
    <w:rsid w:val="00097F77"/>
    <w:rsid w:val="000A329C"/>
    <w:rsid w:val="000B02EF"/>
    <w:rsid w:val="000B197F"/>
    <w:rsid w:val="000B335D"/>
    <w:rsid w:val="000B56F3"/>
    <w:rsid w:val="000C2967"/>
    <w:rsid w:val="000C2B8C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258D7"/>
    <w:rsid w:val="001302AA"/>
    <w:rsid w:val="00130E46"/>
    <w:rsid w:val="00133AB9"/>
    <w:rsid w:val="00143BCA"/>
    <w:rsid w:val="00144EA6"/>
    <w:rsid w:val="001450F7"/>
    <w:rsid w:val="00145215"/>
    <w:rsid w:val="001462AA"/>
    <w:rsid w:val="00153722"/>
    <w:rsid w:val="0015514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83EC5"/>
    <w:rsid w:val="00187D75"/>
    <w:rsid w:val="00191FB7"/>
    <w:rsid w:val="00194639"/>
    <w:rsid w:val="0019674F"/>
    <w:rsid w:val="001A0777"/>
    <w:rsid w:val="001A276D"/>
    <w:rsid w:val="001A31BD"/>
    <w:rsid w:val="001A49C3"/>
    <w:rsid w:val="001B082F"/>
    <w:rsid w:val="001B572F"/>
    <w:rsid w:val="001C50F5"/>
    <w:rsid w:val="001C7B98"/>
    <w:rsid w:val="001D116B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166"/>
    <w:rsid w:val="00202C8A"/>
    <w:rsid w:val="00207DEB"/>
    <w:rsid w:val="00213967"/>
    <w:rsid w:val="00217711"/>
    <w:rsid w:val="002226CD"/>
    <w:rsid w:val="002238CF"/>
    <w:rsid w:val="00224582"/>
    <w:rsid w:val="00224E12"/>
    <w:rsid w:val="002251FC"/>
    <w:rsid w:val="00236FFC"/>
    <w:rsid w:val="002423B7"/>
    <w:rsid w:val="00244645"/>
    <w:rsid w:val="00245638"/>
    <w:rsid w:val="0025204F"/>
    <w:rsid w:val="002520E2"/>
    <w:rsid w:val="00256484"/>
    <w:rsid w:val="002566AC"/>
    <w:rsid w:val="00257575"/>
    <w:rsid w:val="00260086"/>
    <w:rsid w:val="00260DE8"/>
    <w:rsid w:val="002615A8"/>
    <w:rsid w:val="00262BEE"/>
    <w:rsid w:val="002653B1"/>
    <w:rsid w:val="00274C7A"/>
    <w:rsid w:val="002750EF"/>
    <w:rsid w:val="00275D0D"/>
    <w:rsid w:val="00284792"/>
    <w:rsid w:val="00285F17"/>
    <w:rsid w:val="002927F7"/>
    <w:rsid w:val="00294CBA"/>
    <w:rsid w:val="002952DD"/>
    <w:rsid w:val="00297B32"/>
    <w:rsid w:val="002A120E"/>
    <w:rsid w:val="002A32A5"/>
    <w:rsid w:val="002A4172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E0A92"/>
    <w:rsid w:val="002E2A7B"/>
    <w:rsid w:val="002E6283"/>
    <w:rsid w:val="002F1577"/>
    <w:rsid w:val="002F571F"/>
    <w:rsid w:val="002F7DA0"/>
    <w:rsid w:val="00300298"/>
    <w:rsid w:val="0030037C"/>
    <w:rsid w:val="00300E6D"/>
    <w:rsid w:val="00303079"/>
    <w:rsid w:val="003035FA"/>
    <w:rsid w:val="003071F6"/>
    <w:rsid w:val="00311F81"/>
    <w:rsid w:val="00311F88"/>
    <w:rsid w:val="00312256"/>
    <w:rsid w:val="00312FB5"/>
    <w:rsid w:val="003150B5"/>
    <w:rsid w:val="00315409"/>
    <w:rsid w:val="00317EDA"/>
    <w:rsid w:val="00321387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45CEE"/>
    <w:rsid w:val="003463F9"/>
    <w:rsid w:val="00351FC7"/>
    <w:rsid w:val="00355356"/>
    <w:rsid w:val="003557B3"/>
    <w:rsid w:val="00355A04"/>
    <w:rsid w:val="00361211"/>
    <w:rsid w:val="00363CA6"/>
    <w:rsid w:val="00363E88"/>
    <w:rsid w:val="0036654E"/>
    <w:rsid w:val="003762D5"/>
    <w:rsid w:val="003808E5"/>
    <w:rsid w:val="00382037"/>
    <w:rsid w:val="00384CCD"/>
    <w:rsid w:val="00386AC0"/>
    <w:rsid w:val="003870B6"/>
    <w:rsid w:val="0039419F"/>
    <w:rsid w:val="00394BFF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E0C85"/>
    <w:rsid w:val="003E69D4"/>
    <w:rsid w:val="003F148C"/>
    <w:rsid w:val="003F1817"/>
    <w:rsid w:val="003F29C2"/>
    <w:rsid w:val="0040043F"/>
    <w:rsid w:val="00401F7F"/>
    <w:rsid w:val="00405210"/>
    <w:rsid w:val="0041181A"/>
    <w:rsid w:val="00415F9F"/>
    <w:rsid w:val="0041732F"/>
    <w:rsid w:val="0042164B"/>
    <w:rsid w:val="0042562D"/>
    <w:rsid w:val="00430AD3"/>
    <w:rsid w:val="00432B9B"/>
    <w:rsid w:val="004410EB"/>
    <w:rsid w:val="0044415C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77588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A58EA"/>
    <w:rsid w:val="004B263A"/>
    <w:rsid w:val="004B3D8B"/>
    <w:rsid w:val="004B5A7D"/>
    <w:rsid w:val="004B6136"/>
    <w:rsid w:val="004B6693"/>
    <w:rsid w:val="004B7073"/>
    <w:rsid w:val="004B71DD"/>
    <w:rsid w:val="004C204D"/>
    <w:rsid w:val="004C2B2B"/>
    <w:rsid w:val="004C33C2"/>
    <w:rsid w:val="004C5E25"/>
    <w:rsid w:val="004D6797"/>
    <w:rsid w:val="004E0ED9"/>
    <w:rsid w:val="004E1378"/>
    <w:rsid w:val="004E1B8D"/>
    <w:rsid w:val="004E2177"/>
    <w:rsid w:val="004F129B"/>
    <w:rsid w:val="004F21D5"/>
    <w:rsid w:val="00504C42"/>
    <w:rsid w:val="00507CA6"/>
    <w:rsid w:val="0051026B"/>
    <w:rsid w:val="00510555"/>
    <w:rsid w:val="0051224B"/>
    <w:rsid w:val="005146E7"/>
    <w:rsid w:val="00516331"/>
    <w:rsid w:val="005177D3"/>
    <w:rsid w:val="005209A9"/>
    <w:rsid w:val="00522388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B5FDE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5F63B6"/>
    <w:rsid w:val="005F6D34"/>
    <w:rsid w:val="00601D05"/>
    <w:rsid w:val="00604FC9"/>
    <w:rsid w:val="006056CA"/>
    <w:rsid w:val="006077DA"/>
    <w:rsid w:val="00615E91"/>
    <w:rsid w:val="00617235"/>
    <w:rsid w:val="00617785"/>
    <w:rsid w:val="00620043"/>
    <w:rsid w:val="00624B74"/>
    <w:rsid w:val="00626B95"/>
    <w:rsid w:val="0062758C"/>
    <w:rsid w:val="00627B91"/>
    <w:rsid w:val="0063176D"/>
    <w:rsid w:val="0064082A"/>
    <w:rsid w:val="00642035"/>
    <w:rsid w:val="0064206B"/>
    <w:rsid w:val="00646905"/>
    <w:rsid w:val="006477C3"/>
    <w:rsid w:val="006633EA"/>
    <w:rsid w:val="00666412"/>
    <w:rsid w:val="00666445"/>
    <w:rsid w:val="006767A6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208A"/>
    <w:rsid w:val="006B3996"/>
    <w:rsid w:val="006B6335"/>
    <w:rsid w:val="006C2FAC"/>
    <w:rsid w:val="006C6203"/>
    <w:rsid w:val="006C6B56"/>
    <w:rsid w:val="006C6EFB"/>
    <w:rsid w:val="006D1637"/>
    <w:rsid w:val="006D2062"/>
    <w:rsid w:val="006D35BA"/>
    <w:rsid w:val="006D61E5"/>
    <w:rsid w:val="006D6826"/>
    <w:rsid w:val="006D6BF4"/>
    <w:rsid w:val="006D6EAA"/>
    <w:rsid w:val="006D6FA4"/>
    <w:rsid w:val="006E03F3"/>
    <w:rsid w:val="006E4F21"/>
    <w:rsid w:val="006E6F86"/>
    <w:rsid w:val="006F231A"/>
    <w:rsid w:val="00707B16"/>
    <w:rsid w:val="00711FF8"/>
    <w:rsid w:val="00716770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6719B"/>
    <w:rsid w:val="007678EA"/>
    <w:rsid w:val="00775A21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060"/>
    <w:rsid w:val="007E7C82"/>
    <w:rsid w:val="007F1538"/>
    <w:rsid w:val="007F2FCB"/>
    <w:rsid w:val="007F5026"/>
    <w:rsid w:val="008016D1"/>
    <w:rsid w:val="00803BE9"/>
    <w:rsid w:val="00812B21"/>
    <w:rsid w:val="00814493"/>
    <w:rsid w:val="008171B7"/>
    <w:rsid w:val="00820B03"/>
    <w:rsid w:val="00821388"/>
    <w:rsid w:val="00822E73"/>
    <w:rsid w:val="00824DAD"/>
    <w:rsid w:val="00824DEF"/>
    <w:rsid w:val="008262AF"/>
    <w:rsid w:val="00841728"/>
    <w:rsid w:val="008419D9"/>
    <w:rsid w:val="0084289A"/>
    <w:rsid w:val="00850873"/>
    <w:rsid w:val="0086274F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3A06"/>
    <w:rsid w:val="008E41DC"/>
    <w:rsid w:val="008E5D7B"/>
    <w:rsid w:val="008E6E93"/>
    <w:rsid w:val="008E7703"/>
    <w:rsid w:val="008F5246"/>
    <w:rsid w:val="008F5F21"/>
    <w:rsid w:val="008F7A5C"/>
    <w:rsid w:val="009048C1"/>
    <w:rsid w:val="009052CB"/>
    <w:rsid w:val="009063DA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1C7"/>
    <w:rsid w:val="00966DC7"/>
    <w:rsid w:val="00974D05"/>
    <w:rsid w:val="0098008C"/>
    <w:rsid w:val="00982034"/>
    <w:rsid w:val="00982B34"/>
    <w:rsid w:val="009842E6"/>
    <w:rsid w:val="0099054D"/>
    <w:rsid w:val="00991C17"/>
    <w:rsid w:val="00992233"/>
    <w:rsid w:val="009943AE"/>
    <w:rsid w:val="00996773"/>
    <w:rsid w:val="00996953"/>
    <w:rsid w:val="00997244"/>
    <w:rsid w:val="00997B54"/>
    <w:rsid w:val="009A068F"/>
    <w:rsid w:val="009A0B31"/>
    <w:rsid w:val="009A0BE7"/>
    <w:rsid w:val="009B12F0"/>
    <w:rsid w:val="009B246D"/>
    <w:rsid w:val="009B6256"/>
    <w:rsid w:val="009B6A81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D3EAB"/>
    <w:rsid w:val="009E21A2"/>
    <w:rsid w:val="009E2828"/>
    <w:rsid w:val="009E4818"/>
    <w:rsid w:val="009E6790"/>
    <w:rsid w:val="009E6EB7"/>
    <w:rsid w:val="009E763F"/>
    <w:rsid w:val="009F3ECA"/>
    <w:rsid w:val="00A0085A"/>
    <w:rsid w:val="00A03EE4"/>
    <w:rsid w:val="00A04D76"/>
    <w:rsid w:val="00A05131"/>
    <w:rsid w:val="00A05490"/>
    <w:rsid w:val="00A05E32"/>
    <w:rsid w:val="00A065EB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4B8F"/>
    <w:rsid w:val="00A551D1"/>
    <w:rsid w:val="00A60DBB"/>
    <w:rsid w:val="00A60F35"/>
    <w:rsid w:val="00A61CFF"/>
    <w:rsid w:val="00A62871"/>
    <w:rsid w:val="00A638C5"/>
    <w:rsid w:val="00A646B8"/>
    <w:rsid w:val="00A64D2E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AF606F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0B38"/>
    <w:rsid w:val="00B420A0"/>
    <w:rsid w:val="00B456B7"/>
    <w:rsid w:val="00B45912"/>
    <w:rsid w:val="00B51437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3702"/>
    <w:rsid w:val="00BA600A"/>
    <w:rsid w:val="00BA7E2B"/>
    <w:rsid w:val="00BB09CD"/>
    <w:rsid w:val="00BB2E42"/>
    <w:rsid w:val="00BB5610"/>
    <w:rsid w:val="00BC5DE2"/>
    <w:rsid w:val="00BD1600"/>
    <w:rsid w:val="00BD2E28"/>
    <w:rsid w:val="00BD3508"/>
    <w:rsid w:val="00BD36A4"/>
    <w:rsid w:val="00BD3EF7"/>
    <w:rsid w:val="00BE0B41"/>
    <w:rsid w:val="00BE0D36"/>
    <w:rsid w:val="00BE21D1"/>
    <w:rsid w:val="00BE47F3"/>
    <w:rsid w:val="00BE4E55"/>
    <w:rsid w:val="00BF3AB0"/>
    <w:rsid w:val="00BF45E9"/>
    <w:rsid w:val="00BF5BA2"/>
    <w:rsid w:val="00BF7777"/>
    <w:rsid w:val="00BF7BA5"/>
    <w:rsid w:val="00C0692C"/>
    <w:rsid w:val="00C127BA"/>
    <w:rsid w:val="00C12E92"/>
    <w:rsid w:val="00C13955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511EF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21EF"/>
    <w:rsid w:val="00C92C9D"/>
    <w:rsid w:val="00C979C7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35D"/>
    <w:rsid w:val="00CC61C7"/>
    <w:rsid w:val="00CD2BE4"/>
    <w:rsid w:val="00CD5CC1"/>
    <w:rsid w:val="00CD6026"/>
    <w:rsid w:val="00CD6EC7"/>
    <w:rsid w:val="00CE087B"/>
    <w:rsid w:val="00CE1208"/>
    <w:rsid w:val="00CE31C8"/>
    <w:rsid w:val="00CE4330"/>
    <w:rsid w:val="00CE567F"/>
    <w:rsid w:val="00CE59E6"/>
    <w:rsid w:val="00CE7679"/>
    <w:rsid w:val="00CF277F"/>
    <w:rsid w:val="00CF4CBB"/>
    <w:rsid w:val="00D00ACC"/>
    <w:rsid w:val="00D0535D"/>
    <w:rsid w:val="00D0625E"/>
    <w:rsid w:val="00D07EE1"/>
    <w:rsid w:val="00D13015"/>
    <w:rsid w:val="00D133A2"/>
    <w:rsid w:val="00D13F5C"/>
    <w:rsid w:val="00D14607"/>
    <w:rsid w:val="00D15AD4"/>
    <w:rsid w:val="00D1649F"/>
    <w:rsid w:val="00D20538"/>
    <w:rsid w:val="00D211DC"/>
    <w:rsid w:val="00D250B0"/>
    <w:rsid w:val="00D3049A"/>
    <w:rsid w:val="00D32F14"/>
    <w:rsid w:val="00D368AA"/>
    <w:rsid w:val="00D40C72"/>
    <w:rsid w:val="00D43EA3"/>
    <w:rsid w:val="00D4570F"/>
    <w:rsid w:val="00D45FAB"/>
    <w:rsid w:val="00D472FE"/>
    <w:rsid w:val="00D51065"/>
    <w:rsid w:val="00D52236"/>
    <w:rsid w:val="00D528FE"/>
    <w:rsid w:val="00D56D91"/>
    <w:rsid w:val="00D62F3E"/>
    <w:rsid w:val="00D64C19"/>
    <w:rsid w:val="00D67A09"/>
    <w:rsid w:val="00D712DE"/>
    <w:rsid w:val="00D75BF6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2D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441F"/>
    <w:rsid w:val="00DD7A7D"/>
    <w:rsid w:val="00DE4868"/>
    <w:rsid w:val="00DE4917"/>
    <w:rsid w:val="00DE57D4"/>
    <w:rsid w:val="00DE62F5"/>
    <w:rsid w:val="00DE7A48"/>
    <w:rsid w:val="00DF288A"/>
    <w:rsid w:val="00DF3DF6"/>
    <w:rsid w:val="00DF4E11"/>
    <w:rsid w:val="00DF57B8"/>
    <w:rsid w:val="00DF64FF"/>
    <w:rsid w:val="00DF72C5"/>
    <w:rsid w:val="00E005B9"/>
    <w:rsid w:val="00E00DD3"/>
    <w:rsid w:val="00E029E2"/>
    <w:rsid w:val="00E13279"/>
    <w:rsid w:val="00E15214"/>
    <w:rsid w:val="00E152D4"/>
    <w:rsid w:val="00E22F62"/>
    <w:rsid w:val="00E23211"/>
    <w:rsid w:val="00E23830"/>
    <w:rsid w:val="00E2703D"/>
    <w:rsid w:val="00E353D0"/>
    <w:rsid w:val="00E36432"/>
    <w:rsid w:val="00E41649"/>
    <w:rsid w:val="00E423E4"/>
    <w:rsid w:val="00E42A9B"/>
    <w:rsid w:val="00E43837"/>
    <w:rsid w:val="00E46A83"/>
    <w:rsid w:val="00E46D22"/>
    <w:rsid w:val="00E47C45"/>
    <w:rsid w:val="00E501FD"/>
    <w:rsid w:val="00E53F2E"/>
    <w:rsid w:val="00E62F55"/>
    <w:rsid w:val="00E71017"/>
    <w:rsid w:val="00E71A6F"/>
    <w:rsid w:val="00E71AEC"/>
    <w:rsid w:val="00E73E13"/>
    <w:rsid w:val="00E759C9"/>
    <w:rsid w:val="00E806BE"/>
    <w:rsid w:val="00E80D04"/>
    <w:rsid w:val="00E81D2D"/>
    <w:rsid w:val="00E82ED4"/>
    <w:rsid w:val="00E853A3"/>
    <w:rsid w:val="00E854D8"/>
    <w:rsid w:val="00E87AA3"/>
    <w:rsid w:val="00E87EC4"/>
    <w:rsid w:val="00E925D7"/>
    <w:rsid w:val="00E9353A"/>
    <w:rsid w:val="00E94458"/>
    <w:rsid w:val="00E96D9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2F69"/>
    <w:rsid w:val="00F2602E"/>
    <w:rsid w:val="00F30635"/>
    <w:rsid w:val="00F306A7"/>
    <w:rsid w:val="00F30761"/>
    <w:rsid w:val="00F31524"/>
    <w:rsid w:val="00F3240D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564E"/>
    <w:rsid w:val="00F86908"/>
    <w:rsid w:val="00F8738F"/>
    <w:rsid w:val="00F87BC0"/>
    <w:rsid w:val="00F945A9"/>
    <w:rsid w:val="00FA048B"/>
    <w:rsid w:val="00FA08BD"/>
    <w:rsid w:val="00FA0BDA"/>
    <w:rsid w:val="00FA1EB2"/>
    <w:rsid w:val="00FA4AD8"/>
    <w:rsid w:val="00FA4CBA"/>
    <w:rsid w:val="00FA7B32"/>
    <w:rsid w:val="00FB35F7"/>
    <w:rsid w:val="00FB43BF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02D4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B64B2"/>
  <w15:docId w15:val="{AB9E7BDC-32B9-4363-A374-596A877C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before="120"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60" w:after="60"/>
    </w:pPr>
    <w:rPr>
      <w:caps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60" w:after="60"/>
      <w:ind w:left="284"/>
      <w:jc w:val="left"/>
      <w:outlineLvl w:val="0"/>
    </w:pPr>
    <w:rPr>
      <w:b w:val="0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60" w:after="60"/>
      <w:ind w:left="567"/>
    </w:pPr>
    <w:rPr>
      <w:caps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720"/>
      <w:jc w:val="left"/>
    </w:pPr>
    <w:rPr>
      <w:rFonts w:ascii="Cambria" w:eastAsia="MS Mincho" w:hAnsi="Cambr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960"/>
      <w:jc w:val="left"/>
    </w:pPr>
    <w:rPr>
      <w:rFonts w:ascii="Cambria" w:eastAsia="MS Mincho" w:hAnsi="Cambr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200"/>
      <w:jc w:val="left"/>
    </w:pPr>
    <w:rPr>
      <w:rFonts w:ascii="Cambria" w:eastAsia="MS Mincho" w:hAnsi="Cambr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440"/>
      <w:jc w:val="left"/>
    </w:pPr>
    <w:rPr>
      <w:rFonts w:ascii="Cambria" w:eastAsia="MS Mincho" w:hAnsi="Cambr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680"/>
      <w:jc w:val="left"/>
    </w:pPr>
    <w:rPr>
      <w:rFonts w:ascii="Cambria" w:eastAsia="MS Mincho" w:hAnsi="Cambr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920"/>
      <w:jc w:val="left"/>
    </w:pPr>
    <w:rPr>
      <w:rFonts w:ascii="Cambria" w:eastAsia="MS Mincho" w:hAnsi="Cambria"/>
      <w:sz w:val="24"/>
      <w:szCs w:val="24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C:\Users\Admin\Downloads\CIL DB Formatting Template 2022.dotx</Template>
  <TotalTime>29</TotalTime>
  <Pages>3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71</cp:revision>
  <cp:lastPrinted>2019-01-29T09:08:00Z</cp:lastPrinted>
  <dcterms:created xsi:type="dcterms:W3CDTF">2025-01-09T08:09:00Z</dcterms:created>
  <dcterms:modified xsi:type="dcterms:W3CDTF">2025-01-09T12:52:00Z</dcterms:modified>
</cp:coreProperties>
</file>