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E2BB7" w14:textId="0DA00D96" w:rsidR="009063DA" w:rsidRDefault="00E806BE" w:rsidP="002F571F">
      <w:pPr>
        <w:pStyle w:val="CILSubtitle"/>
        <w:rPr>
          <w:b/>
          <w:bCs/>
          <w:i w:val="0"/>
          <w:caps/>
          <w:kern w:val="32"/>
          <w:sz w:val="28"/>
          <w:szCs w:val="32"/>
        </w:rPr>
      </w:pPr>
      <w:r>
        <w:rPr>
          <w:b/>
          <w:bCs/>
          <w:i w:val="0"/>
          <w:caps/>
          <w:kern w:val="32"/>
          <w:sz w:val="28"/>
          <w:szCs w:val="32"/>
        </w:rPr>
        <w:t xml:space="preserve">2024 </w:t>
      </w:r>
      <w:r w:rsidR="009063DA" w:rsidRPr="009063DA">
        <w:rPr>
          <w:b/>
          <w:bCs/>
          <w:i w:val="0"/>
          <w:caps/>
          <w:kern w:val="32"/>
          <w:sz w:val="28"/>
          <w:szCs w:val="32"/>
        </w:rPr>
        <w:t xml:space="preserve">ASEAN LEADERS’ DECLARATION ON THE </w:t>
      </w:r>
      <w:r w:rsidR="002F571F" w:rsidRPr="002F571F">
        <w:rPr>
          <w:b/>
          <w:bCs/>
          <w:i w:val="0"/>
          <w:caps/>
          <w:kern w:val="32"/>
          <w:sz w:val="28"/>
          <w:szCs w:val="32"/>
        </w:rPr>
        <w:t>ASEAN OUTLOOK ON THE INDO-PACIFIC FOR THE FUTURE-READY</w:t>
      </w:r>
      <w:r w:rsidR="002F571F">
        <w:rPr>
          <w:b/>
          <w:bCs/>
          <w:i w:val="0"/>
          <w:caps/>
          <w:kern w:val="32"/>
          <w:sz w:val="28"/>
          <w:szCs w:val="32"/>
        </w:rPr>
        <w:t xml:space="preserve"> </w:t>
      </w:r>
      <w:r w:rsidR="002F571F" w:rsidRPr="002F571F">
        <w:rPr>
          <w:b/>
          <w:bCs/>
          <w:i w:val="0"/>
          <w:caps/>
          <w:kern w:val="32"/>
          <w:sz w:val="28"/>
          <w:szCs w:val="32"/>
        </w:rPr>
        <w:t>ASEAN AND ASEAN-CENTRED REGIONAL ARCHITECTURE</w:t>
      </w:r>
    </w:p>
    <w:p w14:paraId="506E728A" w14:textId="7A4B9C75" w:rsidR="00DF288A" w:rsidRPr="009063DA" w:rsidRDefault="00FE02D4" w:rsidP="009063DA">
      <w:pPr>
        <w:pStyle w:val="CILSubtitle"/>
        <w:rPr>
          <w:b/>
          <w:bCs/>
          <w:i w:val="0"/>
          <w:caps/>
          <w:kern w:val="32"/>
          <w:sz w:val="28"/>
          <w:szCs w:val="32"/>
        </w:rPr>
      </w:pPr>
      <w:r>
        <w:t xml:space="preserve">Adopted </w:t>
      </w:r>
      <w:r w:rsidR="00CD6026">
        <w:t xml:space="preserve">in </w:t>
      </w:r>
      <w:r>
        <w:t>Vientiane</w:t>
      </w:r>
      <w:r w:rsidRPr="00FE02D4">
        <w:t>, L</w:t>
      </w:r>
      <w:r>
        <w:t>ao PDR</w:t>
      </w:r>
      <w:r w:rsidRPr="00FE02D4">
        <w:t>,</w:t>
      </w:r>
      <w:r>
        <w:t xml:space="preserve"> on</w:t>
      </w:r>
      <w:r w:rsidRPr="00FE02D4">
        <w:t xml:space="preserve"> 9 </w:t>
      </w:r>
      <w:r>
        <w:t>October</w:t>
      </w:r>
      <w:r w:rsidRPr="00FE02D4">
        <w:t xml:space="preserve"> 2024</w:t>
      </w:r>
    </w:p>
    <w:p w14:paraId="06E80CE4" w14:textId="41796235" w:rsidR="00BD3508" w:rsidRDefault="00BD3508" w:rsidP="00BD3508">
      <w:pPr>
        <w:spacing w:before="0" w:after="0"/>
      </w:pPr>
    </w:p>
    <w:p w14:paraId="5097E4A1" w14:textId="32DE9E2D" w:rsidR="002615A8" w:rsidRDefault="002615A8" w:rsidP="002615A8">
      <w:pPr>
        <w:spacing w:before="0" w:after="0"/>
      </w:pPr>
      <w:r w:rsidRPr="00207DEB">
        <w:rPr>
          <w:b/>
          <w:bCs/>
        </w:rPr>
        <w:t>WE</w:t>
      </w:r>
      <w:r>
        <w:t>, the Association of Southeast Asian Nations (ASEAN), namely Brunei</w:t>
      </w:r>
      <w:r w:rsidR="00207DEB">
        <w:t xml:space="preserve"> </w:t>
      </w:r>
      <w:r>
        <w:t>Darussalam, the Kingdom of Cambodia, the Republic of Indonesia, the Lao People’s</w:t>
      </w:r>
      <w:r w:rsidR="00207DEB">
        <w:t xml:space="preserve"> </w:t>
      </w:r>
      <w:r>
        <w:t>Democratic Republic, Malaysia, the Republic of the Union of Myanmar, the Republic</w:t>
      </w:r>
      <w:r w:rsidR="00207DEB">
        <w:t xml:space="preserve"> </w:t>
      </w:r>
      <w:r>
        <w:t>of the Philippines, the Republic of Singapore, the Kingdom of Thailand, and the</w:t>
      </w:r>
      <w:r w:rsidR="00207DEB">
        <w:t xml:space="preserve"> </w:t>
      </w:r>
      <w:r>
        <w:t xml:space="preserve">Socialist Republic of Viet Nam, gathered in Vientiane on the occasion of the </w:t>
      </w:r>
      <w:r w:rsidR="00DC22D6">
        <w:br/>
      </w:r>
      <w:r>
        <w:t>44th and</w:t>
      </w:r>
      <w:r w:rsidR="00207DEB">
        <w:t xml:space="preserve"> </w:t>
      </w:r>
      <w:r>
        <w:t xml:space="preserve">45th ASEAN Summits on 9 October </w:t>
      </w:r>
      <w:proofErr w:type="gramStart"/>
      <w:r>
        <w:t>2024;</w:t>
      </w:r>
      <w:proofErr w:type="gramEnd"/>
    </w:p>
    <w:p w14:paraId="51F78F21" w14:textId="77777777" w:rsidR="00207DEB" w:rsidRDefault="00207DEB" w:rsidP="002615A8">
      <w:pPr>
        <w:spacing w:before="0" w:after="0"/>
      </w:pPr>
    </w:p>
    <w:p w14:paraId="53065A39" w14:textId="4D4F76A0" w:rsidR="00207DEB" w:rsidRDefault="002615A8" w:rsidP="002615A8">
      <w:pPr>
        <w:spacing w:before="0" w:after="0"/>
      </w:pPr>
      <w:r w:rsidRPr="00207DEB">
        <w:rPr>
          <w:b/>
          <w:bCs/>
        </w:rPr>
        <w:t>ACKNOWLEDGING</w:t>
      </w:r>
      <w:r>
        <w:t xml:space="preserve"> that global and regional challenges are becoming more</w:t>
      </w:r>
      <w:r w:rsidR="00207DEB">
        <w:t xml:space="preserve"> </w:t>
      </w:r>
      <w:r>
        <w:t>interconnected and multidimensional, and reaffirming our commitment to promote an</w:t>
      </w:r>
      <w:r w:rsidR="00207DEB">
        <w:t xml:space="preserve"> </w:t>
      </w:r>
      <w:r>
        <w:t>enabling environment for peace, stability and prosperity in the region as well as our</w:t>
      </w:r>
      <w:r w:rsidR="00207DEB">
        <w:t xml:space="preserve"> </w:t>
      </w:r>
      <w:r>
        <w:t xml:space="preserve">efforts to address common challenges, and promote closer economic and socio-cultural </w:t>
      </w:r>
      <w:proofErr w:type="gramStart"/>
      <w:r>
        <w:t>cooperation;</w:t>
      </w:r>
      <w:proofErr w:type="gramEnd"/>
    </w:p>
    <w:p w14:paraId="2907BE2D" w14:textId="77777777" w:rsidR="00207DEB" w:rsidRDefault="00207DEB" w:rsidP="002615A8">
      <w:pPr>
        <w:spacing w:before="0" w:after="0"/>
      </w:pPr>
    </w:p>
    <w:p w14:paraId="4611527E" w14:textId="29B4C75B" w:rsidR="002615A8" w:rsidRDefault="002615A8" w:rsidP="002615A8">
      <w:pPr>
        <w:spacing w:before="0" w:after="0"/>
      </w:pPr>
      <w:r w:rsidRPr="00207DEB">
        <w:rPr>
          <w:b/>
          <w:bCs/>
        </w:rPr>
        <w:t>RECOGNIZING</w:t>
      </w:r>
      <w:r>
        <w:t xml:space="preserve"> the importance of inclusive and comprehensive cooperation in</w:t>
      </w:r>
      <w:r w:rsidR="00207DEB">
        <w:t xml:space="preserve"> </w:t>
      </w:r>
      <w:r>
        <w:t xml:space="preserve">ASEAN and </w:t>
      </w:r>
      <w:r w:rsidR="00477588">
        <w:br/>
      </w:r>
      <w:r>
        <w:t>ASEAN-led mechanisms to bolster regional resilience and facilitate</w:t>
      </w:r>
      <w:r w:rsidR="00207DEB">
        <w:t xml:space="preserve"> </w:t>
      </w:r>
      <w:r>
        <w:t>constructive dialogue and concrete cooperation, therefore contributing to the regional</w:t>
      </w:r>
      <w:r w:rsidR="00207DEB">
        <w:t xml:space="preserve"> </w:t>
      </w:r>
      <w:r>
        <w:t>integration and development of the ASEAN-</w:t>
      </w:r>
      <w:proofErr w:type="spellStart"/>
      <w:r>
        <w:t>centred</w:t>
      </w:r>
      <w:proofErr w:type="spellEnd"/>
      <w:r>
        <w:t>, open, inclusive, transparent,</w:t>
      </w:r>
      <w:r w:rsidR="00207DEB">
        <w:t xml:space="preserve"> </w:t>
      </w:r>
      <w:r>
        <w:t xml:space="preserve">resilient, and rules-based regional architecture that upholds international </w:t>
      </w:r>
      <w:proofErr w:type="gramStart"/>
      <w:r>
        <w:t>law;</w:t>
      </w:r>
      <w:proofErr w:type="gramEnd"/>
    </w:p>
    <w:p w14:paraId="37F1E6B5" w14:textId="77777777" w:rsidR="00207DEB" w:rsidRDefault="00207DEB" w:rsidP="002615A8">
      <w:pPr>
        <w:spacing w:before="0" w:after="0"/>
      </w:pPr>
    </w:p>
    <w:p w14:paraId="794DC7B4" w14:textId="100C0393" w:rsidR="002615A8" w:rsidRDefault="002615A8" w:rsidP="002615A8">
      <w:pPr>
        <w:spacing w:before="0" w:after="0"/>
      </w:pPr>
      <w:r w:rsidRPr="00207DEB">
        <w:rPr>
          <w:b/>
          <w:bCs/>
        </w:rPr>
        <w:t>REAFFIRMING</w:t>
      </w:r>
      <w:r>
        <w:t xml:space="preserve"> ASEAN’s determination in shaping and leading the evolving regional</w:t>
      </w:r>
      <w:r w:rsidR="00207DEB">
        <w:t xml:space="preserve"> </w:t>
      </w:r>
      <w:r>
        <w:t>architecture that is built upon ASEAN-Led mechanisms and to ensure that geopolitical</w:t>
      </w:r>
      <w:r w:rsidR="00207DEB">
        <w:t xml:space="preserve"> </w:t>
      </w:r>
      <w:r>
        <w:t>and geostrategic shifts will continue to bring about, and not disrupt, peace, security,</w:t>
      </w:r>
      <w:r w:rsidR="00207DEB">
        <w:t xml:space="preserve"> </w:t>
      </w:r>
      <w:r>
        <w:t>stability and prosperity for peoples in the Southeast Asia as well as in the wider Asia-Pacific and Indian Ocean regions or the Indo-</w:t>
      </w:r>
      <w:proofErr w:type="gramStart"/>
      <w:r>
        <w:t>Pacific;</w:t>
      </w:r>
      <w:proofErr w:type="gramEnd"/>
    </w:p>
    <w:p w14:paraId="6969C8C6" w14:textId="77777777" w:rsidR="00207DEB" w:rsidRDefault="00207DEB" w:rsidP="002615A8">
      <w:pPr>
        <w:spacing w:before="0" w:after="0"/>
        <w:rPr>
          <w:b/>
          <w:bCs/>
        </w:rPr>
      </w:pPr>
    </w:p>
    <w:p w14:paraId="6F9D4124" w14:textId="5D0A263D" w:rsidR="002615A8" w:rsidRDefault="002615A8" w:rsidP="002615A8">
      <w:pPr>
        <w:spacing w:before="0" w:after="0"/>
      </w:pPr>
      <w:r w:rsidRPr="00207DEB">
        <w:rPr>
          <w:b/>
          <w:bCs/>
        </w:rPr>
        <w:t>FURTHER REAFFIRMING</w:t>
      </w:r>
      <w:r>
        <w:t xml:space="preserve"> the importance of upholding international law, including</w:t>
      </w:r>
      <w:r w:rsidR="00207DEB">
        <w:t xml:space="preserve"> </w:t>
      </w:r>
      <w:r>
        <w:t>the Charter of the United Nations and the 1982 United Nations Convention on the Law</w:t>
      </w:r>
      <w:r w:rsidR="00207DEB">
        <w:t xml:space="preserve"> </w:t>
      </w:r>
      <w:r>
        <w:t>of the Sea (UNCLOS), as well as ASEAN’s shared values and norms as enshrined in</w:t>
      </w:r>
      <w:r w:rsidR="00207DEB">
        <w:t xml:space="preserve"> </w:t>
      </w:r>
      <w:r>
        <w:t>the ASEAN Charter, the Treaty of Amity and Cooperation in Southeast Asia (TAC),</w:t>
      </w:r>
      <w:r w:rsidR="00207DEB">
        <w:t xml:space="preserve"> </w:t>
      </w:r>
      <w:r>
        <w:t>the 2011 Declaration of the East Asia Summit on the Principles for Mutually Beneficial</w:t>
      </w:r>
      <w:r w:rsidR="00207DEB">
        <w:t xml:space="preserve"> </w:t>
      </w:r>
      <w:r>
        <w:t>Relations (Bali Principles), and the ASEAN Outlook on the Indo-Pacific (AOIP</w:t>
      </w:r>
      <w:proofErr w:type="gramStart"/>
      <w:r>
        <w:t>);</w:t>
      </w:r>
      <w:proofErr w:type="gramEnd"/>
    </w:p>
    <w:p w14:paraId="67BEEE86" w14:textId="77777777" w:rsidR="00207DEB" w:rsidRDefault="00207DEB" w:rsidP="002615A8">
      <w:pPr>
        <w:spacing w:before="0" w:after="0"/>
      </w:pPr>
    </w:p>
    <w:p w14:paraId="67056CA5" w14:textId="52DF9E0B" w:rsidR="002615A8" w:rsidRDefault="002615A8" w:rsidP="002615A8">
      <w:pPr>
        <w:spacing w:before="0" w:after="0"/>
      </w:pPr>
      <w:r w:rsidRPr="00207DEB">
        <w:rPr>
          <w:b/>
          <w:bCs/>
        </w:rPr>
        <w:t>REAFFIRMING</w:t>
      </w:r>
      <w:r>
        <w:t xml:space="preserve"> our commitment to regionalism and multilateralism as enshrined in</w:t>
      </w:r>
      <w:r w:rsidR="00207DEB">
        <w:t xml:space="preserve"> </w:t>
      </w:r>
      <w:r>
        <w:t xml:space="preserve">the ASEAN Leaders’ Declaration on Upholding </w:t>
      </w:r>
      <w:proofErr w:type="gramStart"/>
      <w:r>
        <w:t>Multilateralism;</w:t>
      </w:r>
      <w:proofErr w:type="gramEnd"/>
    </w:p>
    <w:p w14:paraId="69B0D6EA" w14:textId="77777777" w:rsidR="002615A8" w:rsidRDefault="002615A8" w:rsidP="002615A8">
      <w:pPr>
        <w:spacing w:before="0" w:after="0"/>
      </w:pPr>
    </w:p>
    <w:p w14:paraId="0B8C9496" w14:textId="034CD5FD" w:rsidR="002615A8" w:rsidRDefault="002615A8" w:rsidP="002615A8">
      <w:pPr>
        <w:spacing w:before="0" w:after="0"/>
      </w:pPr>
      <w:r w:rsidRPr="002615A8">
        <w:rPr>
          <w:b/>
          <w:bCs/>
        </w:rPr>
        <w:t>FURTHER REAFFIRMING</w:t>
      </w:r>
      <w:r>
        <w:t xml:space="preserve"> our commitment to strengthening the ASEAN Community</w:t>
      </w:r>
      <w:r>
        <w:t xml:space="preserve"> </w:t>
      </w:r>
      <w:r>
        <w:t>and our shared commitment to maintaining and promoting peace, security and stability</w:t>
      </w:r>
      <w:r>
        <w:t xml:space="preserve"> </w:t>
      </w:r>
      <w:r>
        <w:t>in the region, as well as to the peaceful resolution of disputes, including full respect for</w:t>
      </w:r>
      <w:r>
        <w:t xml:space="preserve"> </w:t>
      </w:r>
      <w:r>
        <w:t>legal and diplomatic processes, without resorting to the threat or use of force, in</w:t>
      </w:r>
      <w:r>
        <w:t xml:space="preserve"> </w:t>
      </w:r>
      <w:r>
        <w:t>accordance with the universally recognised principles of international law, including</w:t>
      </w:r>
      <w:r>
        <w:t xml:space="preserve"> </w:t>
      </w:r>
      <w:r>
        <w:t xml:space="preserve">the 1982 </w:t>
      </w:r>
      <w:proofErr w:type="gramStart"/>
      <w:r>
        <w:t>UNCLOS</w:t>
      </w:r>
      <w:r w:rsidR="00DC22D6">
        <w:t>;</w:t>
      </w:r>
      <w:proofErr w:type="gramEnd"/>
    </w:p>
    <w:p w14:paraId="3FF653A8" w14:textId="77777777" w:rsidR="002615A8" w:rsidRDefault="002615A8" w:rsidP="002615A8">
      <w:pPr>
        <w:spacing w:before="0" w:after="0"/>
        <w:rPr>
          <w:b/>
          <w:bCs/>
        </w:rPr>
      </w:pPr>
    </w:p>
    <w:p w14:paraId="0D0D9FA4" w14:textId="60F55CCF" w:rsidR="002615A8" w:rsidRDefault="002615A8" w:rsidP="002615A8">
      <w:pPr>
        <w:spacing w:before="0" w:after="0"/>
      </w:pPr>
      <w:r w:rsidRPr="002615A8">
        <w:rPr>
          <w:b/>
          <w:bCs/>
        </w:rPr>
        <w:t>REITERATING</w:t>
      </w:r>
      <w:r>
        <w:t xml:space="preserve"> our call to external partners to support and undertake substantive,</w:t>
      </w:r>
      <w:r>
        <w:t xml:space="preserve"> </w:t>
      </w:r>
      <w:r>
        <w:t>practical and tangible cooperation on the agreed areas of cooperation in line with the</w:t>
      </w:r>
      <w:r>
        <w:t xml:space="preserve"> </w:t>
      </w:r>
      <w:r>
        <w:t>ASEAN Leaders’ Declaration on Mainstreaming Four Priority Areas of the ASEAN</w:t>
      </w:r>
      <w:r>
        <w:t xml:space="preserve"> </w:t>
      </w:r>
      <w:r>
        <w:t>Outlook on the Indo-Pacific within ASEAN-led Mechanisms; and</w:t>
      </w:r>
    </w:p>
    <w:p w14:paraId="02B077B8" w14:textId="77777777" w:rsidR="002615A8" w:rsidRDefault="002615A8" w:rsidP="002615A8">
      <w:pPr>
        <w:spacing w:before="0" w:after="0"/>
      </w:pPr>
    </w:p>
    <w:p w14:paraId="1FB801C7" w14:textId="2257B495" w:rsidR="002615A8" w:rsidRDefault="002615A8" w:rsidP="002615A8">
      <w:pPr>
        <w:spacing w:before="0" w:after="0"/>
      </w:pPr>
      <w:r w:rsidRPr="002615A8">
        <w:rPr>
          <w:b/>
          <w:bCs/>
        </w:rPr>
        <w:t>EMPHASISING</w:t>
      </w:r>
      <w:r>
        <w:t xml:space="preserve"> the fundamental importance of ASEAN Centrality as the underlying</w:t>
      </w:r>
      <w:r>
        <w:t xml:space="preserve"> </w:t>
      </w:r>
      <w:r>
        <w:t xml:space="preserve">principle for promoting cooperation in the Indo-Pacific </w:t>
      </w:r>
      <w:proofErr w:type="gramStart"/>
      <w:r>
        <w:t>region;</w:t>
      </w:r>
      <w:proofErr w:type="gramEnd"/>
    </w:p>
    <w:p w14:paraId="185FE998" w14:textId="2831FFB0" w:rsidR="009B6A81" w:rsidRDefault="002615A8" w:rsidP="002615A8">
      <w:pPr>
        <w:spacing w:before="0" w:after="0"/>
        <w:rPr>
          <w:b/>
          <w:bCs/>
        </w:rPr>
      </w:pPr>
      <w:r w:rsidRPr="002615A8">
        <w:rPr>
          <w:b/>
          <w:bCs/>
        </w:rPr>
        <w:lastRenderedPageBreak/>
        <w:t>DO HEREBY DECLARE TO:</w:t>
      </w:r>
    </w:p>
    <w:p w14:paraId="5F6FBB0B" w14:textId="77777777" w:rsidR="00477588" w:rsidRDefault="00477588" w:rsidP="00477588">
      <w:pPr>
        <w:spacing w:before="0" w:after="0"/>
      </w:pPr>
    </w:p>
    <w:p w14:paraId="680DA505" w14:textId="641A953B" w:rsidR="00477588" w:rsidRDefault="00477588" w:rsidP="00C13955">
      <w:pPr>
        <w:pStyle w:val="ListParagraph"/>
        <w:numPr>
          <w:ilvl w:val="0"/>
          <w:numId w:val="20"/>
        </w:numPr>
        <w:spacing w:before="0" w:after="0"/>
      </w:pPr>
      <w:r>
        <w:t>Strengthen ASEAN Centrality and promote strategic discussions to build strategic</w:t>
      </w:r>
      <w:r>
        <w:t xml:space="preserve"> </w:t>
      </w:r>
      <w:r>
        <w:t>trust, confidence and mutually beneficial cooperation through ASEAN-led</w:t>
      </w:r>
      <w:r>
        <w:t xml:space="preserve"> </w:t>
      </w:r>
      <w:r>
        <w:t>mechanisms including, ASEAN Plus One mechanisms, ASEAN Plus Three (APT),</w:t>
      </w:r>
      <w:r>
        <w:t xml:space="preserve"> </w:t>
      </w:r>
      <w:r>
        <w:t>the East Asia Summit (EAS), the ASEAN Regional Forum (ARF), the ASEAN</w:t>
      </w:r>
      <w:r>
        <w:t xml:space="preserve"> </w:t>
      </w:r>
      <w:proofErr w:type="spellStart"/>
      <w:r>
        <w:t>Defence</w:t>
      </w:r>
      <w:proofErr w:type="spellEnd"/>
      <w:r>
        <w:t xml:space="preserve"> Ministers’ Meeting Plus (ADMM-Plus), and the Expanded ASEAN</w:t>
      </w:r>
      <w:r>
        <w:t xml:space="preserve"> </w:t>
      </w:r>
      <w:r>
        <w:t>Maritime Forum (EAMF) to maintain and promote a peaceful environment</w:t>
      </w:r>
      <w:r>
        <w:t xml:space="preserve"> </w:t>
      </w:r>
      <w:r>
        <w:t>conducive for sustainable growth.</w:t>
      </w:r>
    </w:p>
    <w:p w14:paraId="71B81315" w14:textId="77777777" w:rsidR="00C13955" w:rsidRDefault="00C13955" w:rsidP="00C13955">
      <w:pPr>
        <w:pStyle w:val="ListParagraph"/>
        <w:spacing w:before="0" w:after="0"/>
      </w:pPr>
    </w:p>
    <w:p w14:paraId="7B19A0A7" w14:textId="0F82778F" w:rsidR="00477588" w:rsidRDefault="00477588" w:rsidP="00C13955">
      <w:pPr>
        <w:pStyle w:val="ListParagraph"/>
        <w:numPr>
          <w:ilvl w:val="0"/>
          <w:numId w:val="20"/>
        </w:numPr>
        <w:spacing w:before="0" w:after="0"/>
      </w:pPr>
      <w:r>
        <w:t>Promote the principles and values of the TAC and enhance its relevance and</w:t>
      </w:r>
      <w:r>
        <w:t xml:space="preserve"> </w:t>
      </w:r>
      <w:r>
        <w:t>visibility in the region and beyond, including through exploring future strategies, the</w:t>
      </w:r>
      <w:r>
        <w:t xml:space="preserve"> </w:t>
      </w:r>
      <w:r>
        <w:t>possible convening of Conferences of High Contracting Parties to the TAC, and</w:t>
      </w:r>
      <w:r>
        <w:t xml:space="preserve"> </w:t>
      </w:r>
      <w:proofErr w:type="spellStart"/>
      <w:r>
        <w:t>capitalising</w:t>
      </w:r>
      <w:proofErr w:type="spellEnd"/>
      <w:r>
        <w:t xml:space="preserve"> on the commemoration of the fiftieth anniversary of the signing of the</w:t>
      </w:r>
      <w:r>
        <w:t xml:space="preserve"> </w:t>
      </w:r>
      <w:r>
        <w:t>TAC in 2026.</w:t>
      </w:r>
    </w:p>
    <w:p w14:paraId="06A60752" w14:textId="77777777" w:rsidR="00C13955" w:rsidRDefault="00C13955" w:rsidP="00C13955">
      <w:pPr>
        <w:pStyle w:val="ListParagraph"/>
        <w:spacing w:before="0" w:after="0"/>
      </w:pPr>
    </w:p>
    <w:p w14:paraId="3C8B4A2D" w14:textId="3CC4C7AB" w:rsidR="00477588" w:rsidRDefault="00477588" w:rsidP="00C13955">
      <w:pPr>
        <w:pStyle w:val="ListParagraph"/>
        <w:numPr>
          <w:ilvl w:val="0"/>
          <w:numId w:val="20"/>
        </w:numPr>
        <w:spacing w:before="0" w:after="0"/>
      </w:pPr>
      <w:r>
        <w:t>Commit to build a future-ready ASEAN and an ASEAN-</w:t>
      </w:r>
      <w:proofErr w:type="spellStart"/>
      <w:r>
        <w:t>centred</w:t>
      </w:r>
      <w:proofErr w:type="spellEnd"/>
      <w:r>
        <w:t>, open, transparent,</w:t>
      </w:r>
      <w:r>
        <w:t xml:space="preserve"> </w:t>
      </w:r>
      <w:r>
        <w:t>resilient, inclusive and rules-based regional architecture that upholds international</w:t>
      </w:r>
      <w:r>
        <w:t xml:space="preserve"> </w:t>
      </w:r>
      <w:r>
        <w:t>law, through ensuring a culture of dialogue, collaboration, and cooperation in</w:t>
      </w:r>
      <w:r>
        <w:t xml:space="preserve"> </w:t>
      </w:r>
      <w:r>
        <w:t>ASEAN and the Indo-Pacific region.</w:t>
      </w:r>
    </w:p>
    <w:p w14:paraId="2B2BA24D" w14:textId="77777777" w:rsidR="00C13955" w:rsidRDefault="00C13955" w:rsidP="00C13955">
      <w:pPr>
        <w:pStyle w:val="ListParagraph"/>
        <w:spacing w:before="0" w:after="0"/>
      </w:pPr>
    </w:p>
    <w:p w14:paraId="6BC9CE68" w14:textId="58073B21" w:rsidR="00477588" w:rsidRDefault="00477588" w:rsidP="00C13955">
      <w:pPr>
        <w:pStyle w:val="ListParagraph"/>
        <w:numPr>
          <w:ilvl w:val="0"/>
          <w:numId w:val="20"/>
        </w:numPr>
        <w:spacing w:before="0" w:after="0"/>
      </w:pPr>
      <w:r>
        <w:t>Continue to promote, implement and mainstream the AOIP in the relevant ASEAN-led mechanisms to support the ASEAN Community Vision 2045 and all its Strategic</w:t>
      </w:r>
      <w:r>
        <w:t xml:space="preserve"> </w:t>
      </w:r>
      <w:r>
        <w:t>Plans through workstreams, concrete projects, and activities, such as the ASEAN-Indo-Pacific Forum to Implement the AOIP, the convening of the AOIP Forum:</w:t>
      </w:r>
      <w:r>
        <w:t xml:space="preserve"> </w:t>
      </w:r>
      <w:r>
        <w:t>Towards UN Sustainable Development Goals 2030, Strategic and Holistic Initiative</w:t>
      </w:r>
      <w:r>
        <w:t xml:space="preserve"> </w:t>
      </w:r>
      <w:r>
        <w:t>to Link ASEAN Responses to Emergencies and Disaster (ASEAN SHIELD), the</w:t>
      </w:r>
      <w:r>
        <w:t xml:space="preserve"> </w:t>
      </w:r>
      <w:r>
        <w:t>establishment of the ASEAN Coordinating Task Force on Blue Economy, and the</w:t>
      </w:r>
      <w:r>
        <w:t xml:space="preserve"> </w:t>
      </w:r>
      <w:r>
        <w:t>publication of ASEAN Maritime Outlook.</w:t>
      </w:r>
    </w:p>
    <w:p w14:paraId="0ACA0F6C" w14:textId="77777777" w:rsidR="00C13955" w:rsidRDefault="00C13955" w:rsidP="00C13955">
      <w:pPr>
        <w:pStyle w:val="ListParagraph"/>
        <w:spacing w:before="0" w:after="0"/>
      </w:pPr>
    </w:p>
    <w:p w14:paraId="48F22225" w14:textId="3B46C18B" w:rsidR="00477588" w:rsidRDefault="00477588" w:rsidP="00C13955">
      <w:pPr>
        <w:pStyle w:val="ListParagraph"/>
        <w:numPr>
          <w:ilvl w:val="0"/>
          <w:numId w:val="20"/>
        </w:numPr>
        <w:spacing w:before="0" w:after="0"/>
      </w:pPr>
      <w:r>
        <w:t>Continue to encourage the support of all our partners to the AOIP to promote and</w:t>
      </w:r>
      <w:r>
        <w:t xml:space="preserve"> </w:t>
      </w:r>
      <w:r>
        <w:t>mainstream the implementation of concrete AOIP projects and activities, including</w:t>
      </w:r>
      <w:r>
        <w:t xml:space="preserve"> </w:t>
      </w:r>
      <w:r>
        <w:t>through workstreams under the AOIP’s four priority areas, as well as explore</w:t>
      </w:r>
      <w:r>
        <w:t xml:space="preserve"> </w:t>
      </w:r>
      <w:r>
        <w:t>further cooperation through relevant mechanisms, centres and institutions in order</w:t>
      </w:r>
      <w:r>
        <w:t xml:space="preserve"> </w:t>
      </w:r>
      <w:r>
        <w:t>to enhance win-win cooperation and to promote mutual trust, mutual respect and</w:t>
      </w:r>
      <w:r>
        <w:t xml:space="preserve"> </w:t>
      </w:r>
      <w:r>
        <w:t>mutual benefit, while maintaining ASEAN Centrality and unity.</w:t>
      </w:r>
    </w:p>
    <w:p w14:paraId="44236036" w14:textId="77777777" w:rsidR="00C13955" w:rsidRDefault="00C13955" w:rsidP="00C13955">
      <w:pPr>
        <w:pStyle w:val="ListParagraph"/>
        <w:spacing w:before="0" w:after="0"/>
      </w:pPr>
    </w:p>
    <w:p w14:paraId="15200621" w14:textId="3927BA50" w:rsidR="00477588" w:rsidRDefault="00477588" w:rsidP="00C13955">
      <w:pPr>
        <w:pStyle w:val="ListParagraph"/>
        <w:numPr>
          <w:ilvl w:val="0"/>
          <w:numId w:val="20"/>
        </w:numPr>
        <w:spacing w:before="0" w:after="0"/>
      </w:pPr>
      <w:r>
        <w:t>Promote complementarity of the efforts to mainstream the AOIP with sub-regional</w:t>
      </w:r>
      <w:r w:rsidR="00C13955">
        <w:t xml:space="preserve"> </w:t>
      </w:r>
      <w:r>
        <w:t>development cooperation frameworks.</w:t>
      </w:r>
    </w:p>
    <w:p w14:paraId="12B4B245" w14:textId="77777777" w:rsidR="00C13955" w:rsidRDefault="00C13955" w:rsidP="00C13955">
      <w:pPr>
        <w:pStyle w:val="ListParagraph"/>
        <w:spacing w:before="0" w:after="0"/>
      </w:pPr>
    </w:p>
    <w:p w14:paraId="4A2793C7" w14:textId="1C98816D" w:rsidR="00477588" w:rsidRDefault="00477588" w:rsidP="00C13955">
      <w:pPr>
        <w:pStyle w:val="ListParagraph"/>
        <w:numPr>
          <w:ilvl w:val="0"/>
          <w:numId w:val="20"/>
        </w:numPr>
        <w:spacing w:before="0" w:after="0"/>
      </w:pPr>
      <w:r>
        <w:t>Maintain and promote stability in the maritime sphere and enhance maritime</w:t>
      </w:r>
      <w:r w:rsidR="00C13955">
        <w:t xml:space="preserve"> </w:t>
      </w:r>
      <w:r>
        <w:t>cooperation in Southeast Asia, including maritime security, maritime safety, marine</w:t>
      </w:r>
      <w:r w:rsidR="00C13955">
        <w:t xml:space="preserve"> </w:t>
      </w:r>
      <w:r>
        <w:t>environmental protection, blue economy, and addressing new and emerging</w:t>
      </w:r>
      <w:r w:rsidR="00C13955">
        <w:t xml:space="preserve"> </w:t>
      </w:r>
      <w:r>
        <w:t>challenges, through relevant ASEAN-led mechanisms, in accordance with</w:t>
      </w:r>
      <w:r w:rsidR="00C13955">
        <w:t xml:space="preserve"> </w:t>
      </w:r>
      <w:r>
        <w:t>international law, including the 1982 UNCLOS.</w:t>
      </w:r>
    </w:p>
    <w:p w14:paraId="498579EE" w14:textId="77777777" w:rsidR="00C13955" w:rsidRDefault="00C13955" w:rsidP="00C13955">
      <w:pPr>
        <w:pStyle w:val="ListParagraph"/>
        <w:spacing w:before="0" w:after="0"/>
      </w:pPr>
    </w:p>
    <w:p w14:paraId="4CC67F9E" w14:textId="1A1008D1" w:rsidR="00477588" w:rsidRDefault="00477588" w:rsidP="00C13955">
      <w:pPr>
        <w:pStyle w:val="ListParagraph"/>
        <w:numPr>
          <w:ilvl w:val="0"/>
          <w:numId w:val="20"/>
        </w:numPr>
        <w:spacing w:before="0" w:after="0"/>
      </w:pPr>
      <w:r>
        <w:t>Further strengthen the regional commitment in combating transnational crime by</w:t>
      </w:r>
      <w:r w:rsidR="00C13955">
        <w:t xml:space="preserve"> </w:t>
      </w:r>
      <w:r>
        <w:t>working closely with relevant agencies and organisations in Dialogue Partner</w:t>
      </w:r>
      <w:r w:rsidR="00C13955">
        <w:t xml:space="preserve"> </w:t>
      </w:r>
      <w:r>
        <w:t>countries, other countries and international organisations, including the United</w:t>
      </w:r>
      <w:r w:rsidR="00C13955">
        <w:t xml:space="preserve"> </w:t>
      </w:r>
      <w:r>
        <w:t>Nations and its specialised agencies.</w:t>
      </w:r>
    </w:p>
    <w:p w14:paraId="37F04D7C" w14:textId="77777777" w:rsidR="00C13955" w:rsidRDefault="00C13955" w:rsidP="00C13955">
      <w:pPr>
        <w:pStyle w:val="ListParagraph"/>
        <w:spacing w:before="0" w:after="0"/>
      </w:pPr>
    </w:p>
    <w:p w14:paraId="3D3D80D2" w14:textId="51C29B92" w:rsidR="00477588" w:rsidRDefault="00477588" w:rsidP="00C13955">
      <w:pPr>
        <w:pStyle w:val="ListParagraph"/>
        <w:numPr>
          <w:ilvl w:val="0"/>
          <w:numId w:val="20"/>
        </w:numPr>
        <w:spacing w:before="0" w:after="0"/>
      </w:pPr>
      <w:r>
        <w:t>Strengthen connectivity within and beyond the region, including through support</w:t>
      </w:r>
      <w:r w:rsidR="00C13955">
        <w:t xml:space="preserve"> </w:t>
      </w:r>
      <w:r>
        <w:t>for the implementation of the Master Plan on ASEAN Connectivity 2025 (MPAC)</w:t>
      </w:r>
      <w:r w:rsidR="00C13955">
        <w:t xml:space="preserve"> </w:t>
      </w:r>
      <w:r>
        <w:t xml:space="preserve">and its successor document, as well as adopting the approach of a Whole-of-Community and Connecting the </w:t>
      </w:r>
      <w:proofErr w:type="spellStart"/>
      <w:r>
        <w:t>Connectivities</w:t>
      </w:r>
      <w:proofErr w:type="spellEnd"/>
      <w:r>
        <w:t xml:space="preserve"> within and beyond the region.</w:t>
      </w:r>
    </w:p>
    <w:p w14:paraId="671FE4E3" w14:textId="77777777" w:rsidR="00C13955" w:rsidRDefault="00C13955" w:rsidP="00C13955">
      <w:pPr>
        <w:pStyle w:val="ListParagraph"/>
        <w:spacing w:before="0" w:after="0"/>
      </w:pPr>
    </w:p>
    <w:p w14:paraId="22BFA0F0" w14:textId="6D1CFDEF" w:rsidR="00477588" w:rsidRDefault="00477588" w:rsidP="00C13955">
      <w:pPr>
        <w:pStyle w:val="ListParagraph"/>
        <w:numPr>
          <w:ilvl w:val="0"/>
          <w:numId w:val="20"/>
        </w:numPr>
        <w:spacing w:before="0" w:after="0"/>
      </w:pPr>
      <w:r>
        <w:t>Accelerate ASEAN’s efforts in achieving the 2030 Agenda for Sustainable</w:t>
      </w:r>
      <w:r w:rsidR="00C13955">
        <w:t xml:space="preserve"> </w:t>
      </w:r>
      <w:r>
        <w:t>Development and its Sustainable Development Goals (SDGs), including in</w:t>
      </w:r>
      <w:r w:rsidR="00C13955">
        <w:t xml:space="preserve"> </w:t>
      </w:r>
      <w:r>
        <w:t>promoting economic growth, eradicating poverty, reducing inequalities, and</w:t>
      </w:r>
      <w:r w:rsidR="00C13955">
        <w:t xml:space="preserve"> </w:t>
      </w:r>
      <w:r>
        <w:t>improving living standards for the peoples in the region.</w:t>
      </w:r>
    </w:p>
    <w:p w14:paraId="3815407C" w14:textId="77777777" w:rsidR="00C13955" w:rsidRDefault="00C13955" w:rsidP="00C13955">
      <w:pPr>
        <w:pStyle w:val="ListParagraph"/>
        <w:spacing w:before="0" w:after="0"/>
      </w:pPr>
    </w:p>
    <w:p w14:paraId="6BAB48CF" w14:textId="116FEBC3" w:rsidR="00477588" w:rsidRDefault="00477588" w:rsidP="00C13955">
      <w:pPr>
        <w:pStyle w:val="ListParagraph"/>
        <w:numPr>
          <w:ilvl w:val="0"/>
          <w:numId w:val="20"/>
        </w:numPr>
        <w:spacing w:before="0" w:after="0"/>
      </w:pPr>
      <w:r>
        <w:t>Strengthen food security through promoting agriculture productivity and food value</w:t>
      </w:r>
      <w:r w:rsidR="00C13955">
        <w:t xml:space="preserve"> </w:t>
      </w:r>
      <w:r>
        <w:t>chains, and ensure sustainable energy security, through improving energy</w:t>
      </w:r>
      <w:r w:rsidR="00C13955">
        <w:t xml:space="preserve"> </w:t>
      </w:r>
      <w:r>
        <w:t>interconnectivity, and sustainable use and management of water resources, and</w:t>
      </w:r>
      <w:r w:rsidR="00C13955">
        <w:t xml:space="preserve"> </w:t>
      </w:r>
      <w:r>
        <w:t>promoting collaboration on rapid response in times of crises, to address challenges</w:t>
      </w:r>
      <w:r w:rsidR="00C13955">
        <w:t xml:space="preserve"> </w:t>
      </w:r>
      <w:r>
        <w:t>of climate change, public health emergencies, economic uncertainties and future</w:t>
      </w:r>
      <w:r w:rsidR="00C13955">
        <w:t xml:space="preserve"> </w:t>
      </w:r>
      <w:r>
        <w:t>crisis.</w:t>
      </w:r>
    </w:p>
    <w:p w14:paraId="19D55A6D" w14:textId="77777777" w:rsidR="00C13955" w:rsidRDefault="00C13955" w:rsidP="00C13955">
      <w:pPr>
        <w:pStyle w:val="ListParagraph"/>
        <w:spacing w:before="0" w:after="0"/>
      </w:pPr>
    </w:p>
    <w:p w14:paraId="6920EB60" w14:textId="4B49203F" w:rsidR="00477588" w:rsidRDefault="00477588" w:rsidP="00C13955">
      <w:pPr>
        <w:pStyle w:val="ListParagraph"/>
        <w:numPr>
          <w:ilvl w:val="0"/>
          <w:numId w:val="20"/>
        </w:numPr>
        <w:spacing w:before="0" w:after="0"/>
      </w:pPr>
      <w:r>
        <w:t>Develop the capacity to leverage new growth drivers by ensuring open, inclusive,</w:t>
      </w:r>
      <w:r w:rsidR="00C13955">
        <w:t xml:space="preserve"> </w:t>
      </w:r>
      <w:r>
        <w:t xml:space="preserve">and </w:t>
      </w:r>
      <w:r w:rsidR="00E152D4">
        <w:br/>
      </w:r>
      <w:r>
        <w:t>non-discriminatory global supply chains, while also accelerating efforts</w:t>
      </w:r>
      <w:r w:rsidR="00C13955">
        <w:t xml:space="preserve"> </w:t>
      </w:r>
      <w:r>
        <w:t>towards inclusive digital transformation and supporting the full implementation of</w:t>
      </w:r>
      <w:r w:rsidR="00C13955">
        <w:t xml:space="preserve"> </w:t>
      </w:r>
      <w:r>
        <w:t>the Regional Comprehensive Economic Partnership (RCEP) Agreement.</w:t>
      </w:r>
    </w:p>
    <w:p w14:paraId="55CE115C" w14:textId="77777777" w:rsidR="00C13955" w:rsidRDefault="00C13955" w:rsidP="00C13955">
      <w:pPr>
        <w:pStyle w:val="ListParagraph"/>
        <w:spacing w:before="0" w:after="0"/>
      </w:pPr>
    </w:p>
    <w:p w14:paraId="7B74C1BD" w14:textId="19E087FF" w:rsidR="00477588" w:rsidRDefault="00477588" w:rsidP="00C13955">
      <w:pPr>
        <w:pStyle w:val="ListParagraph"/>
        <w:numPr>
          <w:ilvl w:val="0"/>
          <w:numId w:val="20"/>
        </w:numPr>
        <w:spacing w:before="0" w:after="0"/>
      </w:pPr>
      <w:r>
        <w:t>Strengthen ASEAN’s and ASEAN Secretariat’s institutional capacity to respond</w:t>
      </w:r>
      <w:r w:rsidR="00C13955">
        <w:t xml:space="preserve"> </w:t>
      </w:r>
      <w:r>
        <w:t>effectively and in a timely manner commensurate with the current and future</w:t>
      </w:r>
      <w:r w:rsidR="00C13955">
        <w:t xml:space="preserve"> </w:t>
      </w:r>
      <w:r>
        <w:t>challenges.</w:t>
      </w:r>
    </w:p>
    <w:p w14:paraId="14D3BC03" w14:textId="77777777" w:rsidR="00C13955" w:rsidRDefault="00C13955" w:rsidP="00C13955">
      <w:pPr>
        <w:pStyle w:val="ListParagraph"/>
        <w:spacing w:before="0" w:after="0"/>
      </w:pPr>
    </w:p>
    <w:p w14:paraId="3C76B82B" w14:textId="41034FC0" w:rsidR="00477588" w:rsidRDefault="00477588" w:rsidP="00C13955">
      <w:pPr>
        <w:pStyle w:val="ListParagraph"/>
        <w:numPr>
          <w:ilvl w:val="0"/>
          <w:numId w:val="20"/>
        </w:numPr>
        <w:spacing w:before="0" w:after="0"/>
      </w:pPr>
      <w:r>
        <w:t>Task the ASEAN Coordinating Council to oversee the overall implementation of</w:t>
      </w:r>
      <w:r w:rsidR="00C13955">
        <w:t xml:space="preserve"> </w:t>
      </w:r>
      <w:r>
        <w:t>this Declaration.</w:t>
      </w:r>
    </w:p>
    <w:p w14:paraId="29318909" w14:textId="77777777" w:rsidR="00C13955" w:rsidRDefault="00C13955" w:rsidP="00477588">
      <w:pPr>
        <w:spacing w:before="0" w:after="0"/>
      </w:pPr>
    </w:p>
    <w:p w14:paraId="7ACCE3A5" w14:textId="293A483C" w:rsidR="00477588" w:rsidRPr="00477588" w:rsidRDefault="00477588" w:rsidP="00477588">
      <w:pPr>
        <w:spacing w:before="0" w:after="0"/>
      </w:pPr>
      <w:r>
        <w:t>Adopted on this Ninth Day of October in the Year Two Thousand and Twenty-Four in</w:t>
      </w:r>
      <w:r w:rsidR="00C13955">
        <w:t xml:space="preserve"> </w:t>
      </w:r>
      <w:r>
        <w:t>a single original copy in the English Language.</w:t>
      </w:r>
    </w:p>
    <w:sectPr w:rsidR="00477588" w:rsidRPr="00477588" w:rsidSect="00F61B4F">
      <w:headerReference w:type="default" r:id="rId8"/>
      <w:footerReference w:type="default" r:id="rId9"/>
      <w:footerReference w:type="first" r:id="rId10"/>
      <w:footnotePr>
        <w:numRestart w:val="eachPage"/>
      </w:footnotePr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436F7" w14:textId="77777777" w:rsidR="001258D7" w:rsidRDefault="001258D7" w:rsidP="00F61B4F">
      <w:pPr>
        <w:spacing w:before="0" w:after="0" w:line="240" w:lineRule="auto"/>
      </w:pPr>
      <w:r>
        <w:separator/>
      </w:r>
    </w:p>
  </w:endnote>
  <w:endnote w:type="continuationSeparator" w:id="0">
    <w:p w14:paraId="6EB4CD7A" w14:textId="77777777" w:rsidR="001258D7" w:rsidRDefault="001258D7" w:rsidP="00F61B4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D9736" w14:textId="77777777" w:rsidR="00B532E2" w:rsidRDefault="00B532E2" w:rsidP="00F61B4F">
    <w:pPr>
      <w:pStyle w:val="Footer"/>
      <w:tabs>
        <w:tab w:val="clear" w:pos="9360"/>
        <w:tab w:val="right" w:pos="8931"/>
      </w:tabs>
      <w:jc w:val="right"/>
    </w:pPr>
  </w:p>
  <w:p w14:paraId="2CCECC02" w14:textId="77777777" w:rsidR="00B532E2" w:rsidRPr="00F61B4F" w:rsidRDefault="00B532E2" w:rsidP="00F61B4F">
    <w:pPr>
      <w:pStyle w:val="Footer"/>
      <w:pBdr>
        <w:top w:val="single" w:sz="4" w:space="7" w:color="auto"/>
      </w:pBdr>
      <w:tabs>
        <w:tab w:val="clear" w:pos="9360"/>
        <w:tab w:val="right" w:pos="8931"/>
      </w:tabs>
      <w:jc w:val="left"/>
      <w:rPr>
        <w:rFonts w:cs="Arial"/>
        <w:color w:val="7F7F7F"/>
        <w:sz w:val="16"/>
        <w:szCs w:val="16"/>
      </w:rPr>
    </w:pPr>
    <w:r w:rsidRPr="004943C3">
      <w:rPr>
        <w:rFonts w:cs="Arial"/>
        <w:color w:val="7F7F7F"/>
        <w:sz w:val="16"/>
        <w:szCs w:val="16"/>
      </w:rPr>
      <w:t xml:space="preserve">UNOFFICIAL TEXT · CENTRE FOR INTERNATIONAL LAW · </w:t>
    </w:r>
    <w:hyperlink r:id="rId1" w:history="1">
      <w:r w:rsidRPr="004943C3">
        <w:rPr>
          <w:rStyle w:val="Hyperlink"/>
          <w:rFonts w:cs="Arial"/>
          <w:color w:val="7F7F7F"/>
          <w:sz w:val="16"/>
          <w:szCs w:val="16"/>
        </w:rPr>
        <w:t>www.cil.nus.edu.sg</w:t>
      </w:r>
    </w:hyperlink>
    <w:r>
      <w:rPr>
        <w:rFonts w:cs="Arial"/>
        <w:color w:val="7F7F7F"/>
        <w:sz w:val="16"/>
        <w:szCs w:val="16"/>
      </w:rPr>
      <w:t xml:space="preserve">                    </w:t>
    </w:r>
    <w:r w:rsidRPr="004943C3">
      <w:rPr>
        <w:rFonts w:cs="Arial"/>
        <w:color w:val="7F7F7F"/>
        <w:sz w:val="16"/>
        <w:szCs w:val="16"/>
      </w:rPr>
      <w:t xml:space="preserve">       </w:t>
    </w:r>
    <w:r>
      <w:rPr>
        <w:rFonts w:cs="Arial"/>
        <w:color w:val="7F7F7F"/>
        <w:sz w:val="16"/>
        <w:szCs w:val="16"/>
      </w:rPr>
      <w:tab/>
    </w:r>
    <w:r w:rsidRPr="004943C3">
      <w:rPr>
        <w:rFonts w:cs="Arial"/>
        <w:color w:val="7F7F7F"/>
        <w:sz w:val="16"/>
        <w:szCs w:val="16"/>
      </w:rPr>
      <w:t xml:space="preserve">     Page </w:t>
    </w:r>
    <w:r w:rsidRPr="004943C3">
      <w:rPr>
        <w:rFonts w:cs="Arial"/>
        <w:color w:val="7F7F7F"/>
        <w:sz w:val="16"/>
        <w:szCs w:val="16"/>
      </w:rPr>
      <w:fldChar w:fldCharType="begin"/>
    </w:r>
    <w:r w:rsidRPr="004943C3">
      <w:rPr>
        <w:rFonts w:cs="Arial"/>
        <w:color w:val="7F7F7F"/>
        <w:sz w:val="16"/>
        <w:szCs w:val="16"/>
      </w:rPr>
      <w:instrText xml:space="preserve"> PAGE </w:instrText>
    </w:r>
    <w:r w:rsidRPr="004943C3">
      <w:rPr>
        <w:rFonts w:cs="Arial"/>
        <w:color w:val="7F7F7F"/>
        <w:sz w:val="16"/>
        <w:szCs w:val="16"/>
      </w:rPr>
      <w:fldChar w:fldCharType="separate"/>
    </w:r>
    <w:r w:rsidR="00DF288A">
      <w:rPr>
        <w:rFonts w:cs="Arial"/>
        <w:noProof/>
        <w:color w:val="7F7F7F"/>
        <w:sz w:val="16"/>
        <w:szCs w:val="16"/>
      </w:rPr>
      <w:t>2</w:t>
    </w:r>
    <w:r w:rsidRPr="004943C3">
      <w:rPr>
        <w:rFonts w:cs="Arial"/>
        <w:color w:val="7F7F7F"/>
        <w:sz w:val="16"/>
        <w:szCs w:val="16"/>
      </w:rPr>
      <w:fldChar w:fldCharType="end"/>
    </w:r>
    <w:r w:rsidRPr="004943C3">
      <w:rPr>
        <w:rFonts w:cs="Arial"/>
        <w:color w:val="7F7F7F"/>
        <w:sz w:val="16"/>
        <w:szCs w:val="16"/>
      </w:rPr>
      <w:t xml:space="preserve"> of </w:t>
    </w:r>
    <w:r w:rsidRPr="004943C3">
      <w:rPr>
        <w:rFonts w:cs="Arial"/>
        <w:color w:val="7F7F7F"/>
        <w:sz w:val="16"/>
        <w:szCs w:val="16"/>
      </w:rPr>
      <w:fldChar w:fldCharType="begin"/>
    </w:r>
    <w:r w:rsidRPr="004943C3">
      <w:rPr>
        <w:rFonts w:cs="Arial"/>
        <w:color w:val="7F7F7F"/>
        <w:sz w:val="16"/>
        <w:szCs w:val="16"/>
      </w:rPr>
      <w:instrText xml:space="preserve"> NUMPAGES  </w:instrText>
    </w:r>
    <w:r w:rsidRPr="004943C3">
      <w:rPr>
        <w:rFonts w:cs="Arial"/>
        <w:color w:val="7F7F7F"/>
        <w:sz w:val="16"/>
        <w:szCs w:val="16"/>
      </w:rPr>
      <w:fldChar w:fldCharType="separate"/>
    </w:r>
    <w:r w:rsidR="00DF288A">
      <w:rPr>
        <w:rFonts w:cs="Arial"/>
        <w:noProof/>
        <w:color w:val="7F7F7F"/>
        <w:sz w:val="16"/>
        <w:szCs w:val="16"/>
      </w:rPr>
      <w:t>2</w:t>
    </w:r>
    <w:r w:rsidRPr="004943C3">
      <w:rPr>
        <w:rFonts w:cs="Arial"/>
        <w:color w:val="7F7F7F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74128" w14:textId="77777777" w:rsidR="00B532E2" w:rsidRDefault="00B532E2" w:rsidP="00F61B4F">
    <w:pPr>
      <w:pStyle w:val="Footer"/>
      <w:tabs>
        <w:tab w:val="clear" w:pos="9360"/>
        <w:tab w:val="right" w:pos="8931"/>
      </w:tabs>
      <w:jc w:val="right"/>
    </w:pPr>
  </w:p>
  <w:p w14:paraId="311B57A0" w14:textId="77777777" w:rsidR="00B532E2" w:rsidRPr="00F61B4F" w:rsidRDefault="00B532E2" w:rsidP="00F61B4F">
    <w:pPr>
      <w:pStyle w:val="Footer"/>
      <w:pBdr>
        <w:top w:val="single" w:sz="4" w:space="7" w:color="auto"/>
      </w:pBdr>
      <w:tabs>
        <w:tab w:val="clear" w:pos="9360"/>
        <w:tab w:val="right" w:pos="8931"/>
      </w:tabs>
      <w:jc w:val="left"/>
      <w:rPr>
        <w:rFonts w:cs="Arial"/>
        <w:color w:val="7F7F7F"/>
        <w:sz w:val="16"/>
        <w:szCs w:val="16"/>
      </w:rPr>
    </w:pPr>
    <w:r w:rsidRPr="004943C3">
      <w:rPr>
        <w:rFonts w:cs="Arial"/>
        <w:color w:val="7F7F7F"/>
        <w:sz w:val="16"/>
        <w:szCs w:val="16"/>
      </w:rPr>
      <w:t xml:space="preserve">UNOFFICIAL TEXT · CENTRE FOR INTERNATIONAL LAW · </w:t>
    </w:r>
    <w:hyperlink r:id="rId1" w:history="1">
      <w:r w:rsidRPr="004943C3">
        <w:rPr>
          <w:rStyle w:val="Hyperlink"/>
          <w:rFonts w:cs="Arial"/>
          <w:color w:val="7F7F7F"/>
          <w:sz w:val="16"/>
          <w:szCs w:val="16"/>
        </w:rPr>
        <w:t>www.cil.nus.edu.sg</w:t>
      </w:r>
    </w:hyperlink>
    <w:r>
      <w:rPr>
        <w:rFonts w:cs="Arial"/>
        <w:color w:val="7F7F7F"/>
        <w:sz w:val="16"/>
        <w:szCs w:val="16"/>
      </w:rPr>
      <w:t xml:space="preserve">                    </w:t>
    </w:r>
    <w:r w:rsidRPr="004943C3">
      <w:rPr>
        <w:rFonts w:cs="Arial"/>
        <w:color w:val="7F7F7F"/>
        <w:sz w:val="16"/>
        <w:szCs w:val="16"/>
      </w:rPr>
      <w:t xml:space="preserve">       </w:t>
    </w:r>
    <w:r>
      <w:rPr>
        <w:rFonts w:cs="Arial"/>
        <w:color w:val="7F7F7F"/>
        <w:sz w:val="16"/>
        <w:szCs w:val="16"/>
      </w:rPr>
      <w:tab/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A494EB" w14:textId="77777777" w:rsidR="001258D7" w:rsidRDefault="001258D7" w:rsidP="00F61B4F">
      <w:pPr>
        <w:spacing w:before="0" w:after="0" w:line="240" w:lineRule="auto"/>
      </w:pPr>
      <w:r>
        <w:separator/>
      </w:r>
    </w:p>
  </w:footnote>
  <w:footnote w:type="continuationSeparator" w:id="0">
    <w:p w14:paraId="6D0DF66D" w14:textId="77777777" w:rsidR="001258D7" w:rsidRDefault="001258D7" w:rsidP="00F61B4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86F80" w14:textId="73B64E51" w:rsidR="00B532E2" w:rsidRPr="00CD6026" w:rsidRDefault="00C511EF" w:rsidP="00D62F3E">
    <w:pPr>
      <w:pStyle w:val="Header"/>
      <w:pBdr>
        <w:bottom w:val="single" w:sz="4" w:space="1" w:color="auto"/>
      </w:pBdr>
      <w:rPr>
        <w:rFonts w:cs="Arial"/>
        <w:caps/>
        <w:color w:val="808080"/>
        <w:sz w:val="16"/>
        <w:szCs w:val="16"/>
      </w:rPr>
    </w:pPr>
    <w:r w:rsidRPr="00C511EF">
      <w:rPr>
        <w:rFonts w:cs="Arial"/>
        <w:caps/>
        <w:color w:val="808080"/>
        <w:sz w:val="16"/>
        <w:szCs w:val="16"/>
      </w:rPr>
      <w:t xml:space="preserve">2024 ASEAN LEADERS’ DECLARATION ON THE </w:t>
    </w:r>
    <w:r>
      <w:rPr>
        <w:rFonts w:cs="Arial"/>
        <w:caps/>
        <w:color w:val="808080"/>
        <w:sz w:val="16"/>
        <w:szCs w:val="16"/>
      </w:rPr>
      <w:t>AOIP</w:t>
    </w:r>
    <w:r w:rsidRPr="00C511EF">
      <w:rPr>
        <w:rFonts w:cs="Arial"/>
        <w:caps/>
        <w:color w:val="808080"/>
        <w:sz w:val="16"/>
        <w:szCs w:val="16"/>
      </w:rPr>
      <w:t xml:space="preserve"> FOR THE FUTURE-READY ASEAN AND ASEAN-CENTRED REGIONAL ARCHITECTURE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180F85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9EE312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C06D2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CA8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72C5A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0625B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1AB99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DABAA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C686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7291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6B2A8C"/>
    <w:multiLevelType w:val="hybridMultilevel"/>
    <w:tmpl w:val="E6A009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6613D0"/>
    <w:multiLevelType w:val="hybridMultilevel"/>
    <w:tmpl w:val="99DC16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B5703"/>
    <w:multiLevelType w:val="hybridMultilevel"/>
    <w:tmpl w:val="B7D852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B03D2"/>
    <w:multiLevelType w:val="hybridMultilevel"/>
    <w:tmpl w:val="F0A8E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51307"/>
    <w:multiLevelType w:val="hybridMultilevel"/>
    <w:tmpl w:val="46BAC92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BB6C67"/>
    <w:multiLevelType w:val="hybridMultilevel"/>
    <w:tmpl w:val="0DCC9B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E64718"/>
    <w:multiLevelType w:val="hybridMultilevel"/>
    <w:tmpl w:val="79122F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4324C4"/>
    <w:multiLevelType w:val="hybridMultilevel"/>
    <w:tmpl w:val="76BA38D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5D5999"/>
    <w:multiLevelType w:val="hybridMultilevel"/>
    <w:tmpl w:val="6E7C2E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4F3EEC"/>
    <w:multiLevelType w:val="hybridMultilevel"/>
    <w:tmpl w:val="B1E2E3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6575316">
    <w:abstractNumId w:val="14"/>
  </w:num>
  <w:num w:numId="2" w16cid:durableId="360320398">
    <w:abstractNumId w:val="13"/>
  </w:num>
  <w:num w:numId="3" w16cid:durableId="1365135478">
    <w:abstractNumId w:val="9"/>
  </w:num>
  <w:num w:numId="4" w16cid:durableId="422728191">
    <w:abstractNumId w:val="7"/>
  </w:num>
  <w:num w:numId="5" w16cid:durableId="1791898566">
    <w:abstractNumId w:val="6"/>
  </w:num>
  <w:num w:numId="6" w16cid:durableId="575356698">
    <w:abstractNumId w:val="5"/>
  </w:num>
  <w:num w:numId="7" w16cid:durableId="1771004132">
    <w:abstractNumId w:val="4"/>
  </w:num>
  <w:num w:numId="8" w16cid:durableId="2024550645">
    <w:abstractNumId w:val="8"/>
  </w:num>
  <w:num w:numId="9" w16cid:durableId="1253127530">
    <w:abstractNumId w:val="3"/>
  </w:num>
  <w:num w:numId="10" w16cid:durableId="343827254">
    <w:abstractNumId w:val="2"/>
  </w:num>
  <w:num w:numId="11" w16cid:durableId="538207194">
    <w:abstractNumId w:val="1"/>
  </w:num>
  <w:num w:numId="12" w16cid:durableId="951783813">
    <w:abstractNumId w:val="0"/>
  </w:num>
  <w:num w:numId="13" w16cid:durableId="672878940">
    <w:abstractNumId w:val="17"/>
  </w:num>
  <w:num w:numId="14" w16cid:durableId="619260236">
    <w:abstractNumId w:val="10"/>
  </w:num>
  <w:num w:numId="15" w16cid:durableId="52822074">
    <w:abstractNumId w:val="15"/>
  </w:num>
  <w:num w:numId="16" w16cid:durableId="818693724">
    <w:abstractNumId w:val="16"/>
  </w:num>
  <w:num w:numId="17" w16cid:durableId="1161652529">
    <w:abstractNumId w:val="19"/>
  </w:num>
  <w:num w:numId="18" w16cid:durableId="1752772634">
    <w:abstractNumId w:val="11"/>
  </w:num>
  <w:num w:numId="19" w16cid:durableId="1676151943">
    <w:abstractNumId w:val="12"/>
  </w:num>
  <w:num w:numId="20" w16cid:durableId="1297417867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D2D"/>
    <w:rsid w:val="00000FB0"/>
    <w:rsid w:val="00002446"/>
    <w:rsid w:val="000043E5"/>
    <w:rsid w:val="00011723"/>
    <w:rsid w:val="00013D73"/>
    <w:rsid w:val="000173F4"/>
    <w:rsid w:val="00022AE1"/>
    <w:rsid w:val="00023AFA"/>
    <w:rsid w:val="00025831"/>
    <w:rsid w:val="000260A8"/>
    <w:rsid w:val="00032218"/>
    <w:rsid w:val="00032623"/>
    <w:rsid w:val="00032C84"/>
    <w:rsid w:val="0003432F"/>
    <w:rsid w:val="00036034"/>
    <w:rsid w:val="00040670"/>
    <w:rsid w:val="00045076"/>
    <w:rsid w:val="00045F9A"/>
    <w:rsid w:val="000460FD"/>
    <w:rsid w:val="00046C7E"/>
    <w:rsid w:val="0005003E"/>
    <w:rsid w:val="00052883"/>
    <w:rsid w:val="000547EC"/>
    <w:rsid w:val="00055254"/>
    <w:rsid w:val="00055923"/>
    <w:rsid w:val="00061193"/>
    <w:rsid w:val="00061B8B"/>
    <w:rsid w:val="00061EA6"/>
    <w:rsid w:val="000627D9"/>
    <w:rsid w:val="00063C84"/>
    <w:rsid w:val="000719FB"/>
    <w:rsid w:val="0007234F"/>
    <w:rsid w:val="000768A2"/>
    <w:rsid w:val="000771E0"/>
    <w:rsid w:val="00080879"/>
    <w:rsid w:val="00080FD6"/>
    <w:rsid w:val="00081E70"/>
    <w:rsid w:val="00082260"/>
    <w:rsid w:val="00083FFE"/>
    <w:rsid w:val="000922A6"/>
    <w:rsid w:val="0009558E"/>
    <w:rsid w:val="00097F77"/>
    <w:rsid w:val="000A329C"/>
    <w:rsid w:val="000B02EF"/>
    <w:rsid w:val="000B197F"/>
    <w:rsid w:val="000B335D"/>
    <w:rsid w:val="000B56F3"/>
    <w:rsid w:val="000C2967"/>
    <w:rsid w:val="000C2CE8"/>
    <w:rsid w:val="000C49F6"/>
    <w:rsid w:val="000C5A1A"/>
    <w:rsid w:val="000D004B"/>
    <w:rsid w:val="000D31BC"/>
    <w:rsid w:val="000D57EE"/>
    <w:rsid w:val="000D6DF5"/>
    <w:rsid w:val="000D7512"/>
    <w:rsid w:val="000E1719"/>
    <w:rsid w:val="000E1DDB"/>
    <w:rsid w:val="000E2394"/>
    <w:rsid w:val="000E3AD0"/>
    <w:rsid w:val="000F2D66"/>
    <w:rsid w:val="001013AD"/>
    <w:rsid w:val="0010259B"/>
    <w:rsid w:val="00102B66"/>
    <w:rsid w:val="001063A1"/>
    <w:rsid w:val="001077E4"/>
    <w:rsid w:val="00111688"/>
    <w:rsid w:val="0011199A"/>
    <w:rsid w:val="00111A4C"/>
    <w:rsid w:val="0011273D"/>
    <w:rsid w:val="00112A51"/>
    <w:rsid w:val="001142FA"/>
    <w:rsid w:val="001161C0"/>
    <w:rsid w:val="001207E1"/>
    <w:rsid w:val="0012281C"/>
    <w:rsid w:val="00122EC8"/>
    <w:rsid w:val="001246A1"/>
    <w:rsid w:val="001258D7"/>
    <w:rsid w:val="001302AA"/>
    <w:rsid w:val="00130E46"/>
    <w:rsid w:val="00133AB9"/>
    <w:rsid w:val="00143BCA"/>
    <w:rsid w:val="00144EA6"/>
    <w:rsid w:val="001450F7"/>
    <w:rsid w:val="00145215"/>
    <w:rsid w:val="001462AA"/>
    <w:rsid w:val="00153722"/>
    <w:rsid w:val="00155142"/>
    <w:rsid w:val="0015683A"/>
    <w:rsid w:val="001648EA"/>
    <w:rsid w:val="001669E3"/>
    <w:rsid w:val="001728AB"/>
    <w:rsid w:val="00172E71"/>
    <w:rsid w:val="00176298"/>
    <w:rsid w:val="0018065C"/>
    <w:rsid w:val="00183009"/>
    <w:rsid w:val="001837BF"/>
    <w:rsid w:val="00183EC5"/>
    <w:rsid w:val="00187D75"/>
    <w:rsid w:val="00191FB7"/>
    <w:rsid w:val="00194639"/>
    <w:rsid w:val="0019674F"/>
    <w:rsid w:val="001A0777"/>
    <w:rsid w:val="001A31BD"/>
    <w:rsid w:val="001A49C3"/>
    <w:rsid w:val="001B082F"/>
    <w:rsid w:val="001B572F"/>
    <w:rsid w:val="001C50F5"/>
    <w:rsid w:val="001C7B98"/>
    <w:rsid w:val="001D116B"/>
    <w:rsid w:val="001D2E66"/>
    <w:rsid w:val="001D7F95"/>
    <w:rsid w:val="001E502C"/>
    <w:rsid w:val="001E52A5"/>
    <w:rsid w:val="001F190C"/>
    <w:rsid w:val="001F1AE0"/>
    <w:rsid w:val="001F27F8"/>
    <w:rsid w:val="001F2B50"/>
    <w:rsid w:val="0020032B"/>
    <w:rsid w:val="00200AA3"/>
    <w:rsid w:val="0020147F"/>
    <w:rsid w:val="00202C8A"/>
    <w:rsid w:val="00207DEB"/>
    <w:rsid w:val="00213967"/>
    <w:rsid w:val="002226CD"/>
    <w:rsid w:val="002238CF"/>
    <w:rsid w:val="00224582"/>
    <w:rsid w:val="00224E12"/>
    <w:rsid w:val="002251FC"/>
    <w:rsid w:val="002423B7"/>
    <w:rsid w:val="00244645"/>
    <w:rsid w:val="00245638"/>
    <w:rsid w:val="0025204F"/>
    <w:rsid w:val="002520E2"/>
    <w:rsid w:val="00256484"/>
    <w:rsid w:val="002566AC"/>
    <w:rsid w:val="00257575"/>
    <w:rsid w:val="00260086"/>
    <w:rsid w:val="00260DE8"/>
    <w:rsid w:val="002615A8"/>
    <w:rsid w:val="00262BEE"/>
    <w:rsid w:val="002653B1"/>
    <w:rsid w:val="00274C7A"/>
    <w:rsid w:val="002750EF"/>
    <w:rsid w:val="00275D0D"/>
    <w:rsid w:val="00284792"/>
    <w:rsid w:val="00285F17"/>
    <w:rsid w:val="002927F7"/>
    <w:rsid w:val="00294CBA"/>
    <w:rsid w:val="002952DD"/>
    <w:rsid w:val="00297B32"/>
    <w:rsid w:val="002A32A5"/>
    <w:rsid w:val="002A4172"/>
    <w:rsid w:val="002B2294"/>
    <w:rsid w:val="002B31DE"/>
    <w:rsid w:val="002B473E"/>
    <w:rsid w:val="002B5E84"/>
    <w:rsid w:val="002B7265"/>
    <w:rsid w:val="002C506E"/>
    <w:rsid w:val="002C5925"/>
    <w:rsid w:val="002C67E0"/>
    <w:rsid w:val="002D3A06"/>
    <w:rsid w:val="002E0A92"/>
    <w:rsid w:val="002E6283"/>
    <w:rsid w:val="002F1577"/>
    <w:rsid w:val="002F571F"/>
    <w:rsid w:val="002F7DA0"/>
    <w:rsid w:val="00300298"/>
    <w:rsid w:val="0030037C"/>
    <w:rsid w:val="00300E6D"/>
    <w:rsid w:val="00303079"/>
    <w:rsid w:val="003035FA"/>
    <w:rsid w:val="003071F6"/>
    <w:rsid w:val="00311F81"/>
    <w:rsid w:val="00311F88"/>
    <w:rsid w:val="00312256"/>
    <w:rsid w:val="00312FB5"/>
    <w:rsid w:val="003150B5"/>
    <w:rsid w:val="00315409"/>
    <w:rsid w:val="00321387"/>
    <w:rsid w:val="0032159B"/>
    <w:rsid w:val="00321890"/>
    <w:rsid w:val="00325A2D"/>
    <w:rsid w:val="00326D39"/>
    <w:rsid w:val="003316EF"/>
    <w:rsid w:val="0033544F"/>
    <w:rsid w:val="00336CA3"/>
    <w:rsid w:val="003374CC"/>
    <w:rsid w:val="00340339"/>
    <w:rsid w:val="0034084B"/>
    <w:rsid w:val="00343E97"/>
    <w:rsid w:val="003463F9"/>
    <w:rsid w:val="00351FC7"/>
    <w:rsid w:val="00355356"/>
    <w:rsid w:val="003557B3"/>
    <w:rsid w:val="00355A04"/>
    <w:rsid w:val="00361211"/>
    <w:rsid w:val="00363CA6"/>
    <w:rsid w:val="00363E88"/>
    <w:rsid w:val="0036654E"/>
    <w:rsid w:val="003762D5"/>
    <w:rsid w:val="003808E5"/>
    <w:rsid w:val="00382037"/>
    <w:rsid w:val="00384CCD"/>
    <w:rsid w:val="00386AC0"/>
    <w:rsid w:val="003870B6"/>
    <w:rsid w:val="0039419F"/>
    <w:rsid w:val="003A2096"/>
    <w:rsid w:val="003A2B2D"/>
    <w:rsid w:val="003A2E2D"/>
    <w:rsid w:val="003A36C1"/>
    <w:rsid w:val="003A4607"/>
    <w:rsid w:val="003A46AB"/>
    <w:rsid w:val="003A6709"/>
    <w:rsid w:val="003B1B3D"/>
    <w:rsid w:val="003B5567"/>
    <w:rsid w:val="003C3ABB"/>
    <w:rsid w:val="003C4214"/>
    <w:rsid w:val="003C47FA"/>
    <w:rsid w:val="003C48C1"/>
    <w:rsid w:val="003C696E"/>
    <w:rsid w:val="003C70F3"/>
    <w:rsid w:val="003D49AB"/>
    <w:rsid w:val="003D66C8"/>
    <w:rsid w:val="003D682E"/>
    <w:rsid w:val="003D6E5B"/>
    <w:rsid w:val="003E0C85"/>
    <w:rsid w:val="003E69D4"/>
    <w:rsid w:val="003F148C"/>
    <w:rsid w:val="003F1817"/>
    <w:rsid w:val="003F29C2"/>
    <w:rsid w:val="0040043F"/>
    <w:rsid w:val="00401F7F"/>
    <w:rsid w:val="00405210"/>
    <w:rsid w:val="00415F9F"/>
    <w:rsid w:val="0042164B"/>
    <w:rsid w:val="0042562D"/>
    <w:rsid w:val="00430AD3"/>
    <w:rsid w:val="00432B9B"/>
    <w:rsid w:val="004410EB"/>
    <w:rsid w:val="0044415C"/>
    <w:rsid w:val="00452091"/>
    <w:rsid w:val="0045262E"/>
    <w:rsid w:val="00453E7C"/>
    <w:rsid w:val="004540DD"/>
    <w:rsid w:val="00454C15"/>
    <w:rsid w:val="00457A36"/>
    <w:rsid w:val="00460285"/>
    <w:rsid w:val="00461169"/>
    <w:rsid w:val="0046281B"/>
    <w:rsid w:val="0046332F"/>
    <w:rsid w:val="00464378"/>
    <w:rsid w:val="00464582"/>
    <w:rsid w:val="004715DF"/>
    <w:rsid w:val="00477588"/>
    <w:rsid w:val="0049074B"/>
    <w:rsid w:val="00495B5C"/>
    <w:rsid w:val="00496452"/>
    <w:rsid w:val="00497AE1"/>
    <w:rsid w:val="004A0B2F"/>
    <w:rsid w:val="004A0D08"/>
    <w:rsid w:val="004A1834"/>
    <w:rsid w:val="004A31A0"/>
    <w:rsid w:val="004A5865"/>
    <w:rsid w:val="004A58EA"/>
    <w:rsid w:val="004B263A"/>
    <w:rsid w:val="004B3D8B"/>
    <w:rsid w:val="004B5A7D"/>
    <w:rsid w:val="004B6136"/>
    <w:rsid w:val="004B6693"/>
    <w:rsid w:val="004B7073"/>
    <w:rsid w:val="004B71DD"/>
    <w:rsid w:val="004C2B2B"/>
    <w:rsid w:val="004C33C2"/>
    <w:rsid w:val="004C5E25"/>
    <w:rsid w:val="004D6797"/>
    <w:rsid w:val="004E0ED9"/>
    <w:rsid w:val="004E1378"/>
    <w:rsid w:val="004E1B8D"/>
    <w:rsid w:val="004E2177"/>
    <w:rsid w:val="004F129B"/>
    <w:rsid w:val="004F21D5"/>
    <w:rsid w:val="00504C42"/>
    <w:rsid w:val="00507CA6"/>
    <w:rsid w:val="0051026B"/>
    <w:rsid w:val="00510555"/>
    <w:rsid w:val="0051224B"/>
    <w:rsid w:val="005146E7"/>
    <w:rsid w:val="00516331"/>
    <w:rsid w:val="005177D3"/>
    <w:rsid w:val="00522388"/>
    <w:rsid w:val="00525B71"/>
    <w:rsid w:val="005325F9"/>
    <w:rsid w:val="00534217"/>
    <w:rsid w:val="00535BF3"/>
    <w:rsid w:val="00537A67"/>
    <w:rsid w:val="00537D81"/>
    <w:rsid w:val="00541125"/>
    <w:rsid w:val="00545288"/>
    <w:rsid w:val="005627AF"/>
    <w:rsid w:val="00564EBA"/>
    <w:rsid w:val="00565B5D"/>
    <w:rsid w:val="005701D2"/>
    <w:rsid w:val="005706A6"/>
    <w:rsid w:val="0057613A"/>
    <w:rsid w:val="005768A3"/>
    <w:rsid w:val="00581E07"/>
    <w:rsid w:val="005827A5"/>
    <w:rsid w:val="00584C90"/>
    <w:rsid w:val="005865AA"/>
    <w:rsid w:val="0058716E"/>
    <w:rsid w:val="00590C4E"/>
    <w:rsid w:val="0059630D"/>
    <w:rsid w:val="00597551"/>
    <w:rsid w:val="005A0C6D"/>
    <w:rsid w:val="005A384B"/>
    <w:rsid w:val="005A418E"/>
    <w:rsid w:val="005A67CE"/>
    <w:rsid w:val="005A6C1B"/>
    <w:rsid w:val="005B2D91"/>
    <w:rsid w:val="005B5FDE"/>
    <w:rsid w:val="005C087C"/>
    <w:rsid w:val="005C18C4"/>
    <w:rsid w:val="005C46EA"/>
    <w:rsid w:val="005C6ADE"/>
    <w:rsid w:val="005D3068"/>
    <w:rsid w:val="005D5714"/>
    <w:rsid w:val="005D59E8"/>
    <w:rsid w:val="005E0D13"/>
    <w:rsid w:val="005E264A"/>
    <w:rsid w:val="005E2E8D"/>
    <w:rsid w:val="005E6807"/>
    <w:rsid w:val="005F25E1"/>
    <w:rsid w:val="005F5FD1"/>
    <w:rsid w:val="005F6D34"/>
    <w:rsid w:val="00604FC9"/>
    <w:rsid w:val="006056CA"/>
    <w:rsid w:val="006077DA"/>
    <w:rsid w:val="00615E91"/>
    <w:rsid w:val="00617785"/>
    <w:rsid w:val="00620043"/>
    <w:rsid w:val="00624B74"/>
    <w:rsid w:val="0062758C"/>
    <w:rsid w:val="00627B91"/>
    <w:rsid w:val="0063176D"/>
    <w:rsid w:val="0064082A"/>
    <w:rsid w:val="00642035"/>
    <w:rsid w:val="0064206B"/>
    <w:rsid w:val="00646905"/>
    <w:rsid w:val="006477C3"/>
    <w:rsid w:val="006633EA"/>
    <w:rsid w:val="00666445"/>
    <w:rsid w:val="006819D0"/>
    <w:rsid w:val="006829B2"/>
    <w:rsid w:val="00686294"/>
    <w:rsid w:val="006878B4"/>
    <w:rsid w:val="00695153"/>
    <w:rsid w:val="006953EA"/>
    <w:rsid w:val="006A181F"/>
    <w:rsid w:val="006A368A"/>
    <w:rsid w:val="006A5BC7"/>
    <w:rsid w:val="006B0864"/>
    <w:rsid w:val="006B6335"/>
    <w:rsid w:val="006C2FAC"/>
    <w:rsid w:val="006C6203"/>
    <w:rsid w:val="006C6B56"/>
    <w:rsid w:val="006C6EFB"/>
    <w:rsid w:val="006D1637"/>
    <w:rsid w:val="006D2062"/>
    <w:rsid w:val="006D35BA"/>
    <w:rsid w:val="006D61E5"/>
    <w:rsid w:val="006D6826"/>
    <w:rsid w:val="006D6BF4"/>
    <w:rsid w:val="006D6EAA"/>
    <w:rsid w:val="006D6FA4"/>
    <w:rsid w:val="006E03F3"/>
    <w:rsid w:val="006E4F21"/>
    <w:rsid w:val="006E6F86"/>
    <w:rsid w:val="006F231A"/>
    <w:rsid w:val="00707B16"/>
    <w:rsid w:val="00711FF8"/>
    <w:rsid w:val="00716770"/>
    <w:rsid w:val="00721C1C"/>
    <w:rsid w:val="007231B2"/>
    <w:rsid w:val="0072576B"/>
    <w:rsid w:val="007320B0"/>
    <w:rsid w:val="0073568E"/>
    <w:rsid w:val="00744927"/>
    <w:rsid w:val="00744A85"/>
    <w:rsid w:val="00751173"/>
    <w:rsid w:val="00751EA6"/>
    <w:rsid w:val="00755A12"/>
    <w:rsid w:val="0075632F"/>
    <w:rsid w:val="0075795E"/>
    <w:rsid w:val="00760BCF"/>
    <w:rsid w:val="00761521"/>
    <w:rsid w:val="00762A99"/>
    <w:rsid w:val="007678EA"/>
    <w:rsid w:val="00775A21"/>
    <w:rsid w:val="00776086"/>
    <w:rsid w:val="00787B08"/>
    <w:rsid w:val="007951DD"/>
    <w:rsid w:val="007A006E"/>
    <w:rsid w:val="007A4FC9"/>
    <w:rsid w:val="007A5CE9"/>
    <w:rsid w:val="007B0CD2"/>
    <w:rsid w:val="007B6E2C"/>
    <w:rsid w:val="007B7706"/>
    <w:rsid w:val="007C0404"/>
    <w:rsid w:val="007C158E"/>
    <w:rsid w:val="007C1E9A"/>
    <w:rsid w:val="007C74A6"/>
    <w:rsid w:val="007C7558"/>
    <w:rsid w:val="007D12D8"/>
    <w:rsid w:val="007D197A"/>
    <w:rsid w:val="007D2AC8"/>
    <w:rsid w:val="007D308E"/>
    <w:rsid w:val="007D4CB5"/>
    <w:rsid w:val="007E4920"/>
    <w:rsid w:val="007E7060"/>
    <w:rsid w:val="007E7C82"/>
    <w:rsid w:val="007F1538"/>
    <w:rsid w:val="007F2FCB"/>
    <w:rsid w:val="007F5026"/>
    <w:rsid w:val="008016D1"/>
    <w:rsid w:val="00803BE9"/>
    <w:rsid w:val="00812B21"/>
    <w:rsid w:val="00814493"/>
    <w:rsid w:val="008171B7"/>
    <w:rsid w:val="00820B03"/>
    <w:rsid w:val="00821388"/>
    <w:rsid w:val="00822E73"/>
    <w:rsid w:val="00824DAD"/>
    <w:rsid w:val="00824DEF"/>
    <w:rsid w:val="008262AF"/>
    <w:rsid w:val="00841728"/>
    <w:rsid w:val="008419D9"/>
    <w:rsid w:val="0084289A"/>
    <w:rsid w:val="00850873"/>
    <w:rsid w:val="0086274F"/>
    <w:rsid w:val="00863AA4"/>
    <w:rsid w:val="00871D6D"/>
    <w:rsid w:val="00875863"/>
    <w:rsid w:val="008761FC"/>
    <w:rsid w:val="008A2C17"/>
    <w:rsid w:val="008A3A39"/>
    <w:rsid w:val="008A5721"/>
    <w:rsid w:val="008B001D"/>
    <w:rsid w:val="008B0875"/>
    <w:rsid w:val="008B1645"/>
    <w:rsid w:val="008C33B3"/>
    <w:rsid w:val="008C3761"/>
    <w:rsid w:val="008C6A9C"/>
    <w:rsid w:val="008D292D"/>
    <w:rsid w:val="008D3F77"/>
    <w:rsid w:val="008E41DC"/>
    <w:rsid w:val="008E5D7B"/>
    <w:rsid w:val="008E6E93"/>
    <w:rsid w:val="008E7703"/>
    <w:rsid w:val="008F5246"/>
    <w:rsid w:val="008F5F21"/>
    <w:rsid w:val="008F7A5C"/>
    <w:rsid w:val="009048C1"/>
    <w:rsid w:val="009052CB"/>
    <w:rsid w:val="009063DA"/>
    <w:rsid w:val="00916941"/>
    <w:rsid w:val="009217B0"/>
    <w:rsid w:val="00921DB5"/>
    <w:rsid w:val="00923519"/>
    <w:rsid w:val="00926EA3"/>
    <w:rsid w:val="009303E7"/>
    <w:rsid w:val="00933064"/>
    <w:rsid w:val="00935B08"/>
    <w:rsid w:val="0095406B"/>
    <w:rsid w:val="00956C40"/>
    <w:rsid w:val="00957449"/>
    <w:rsid w:val="00965ACC"/>
    <w:rsid w:val="009661C7"/>
    <w:rsid w:val="00966DC7"/>
    <w:rsid w:val="00974D05"/>
    <w:rsid w:val="0098008C"/>
    <w:rsid w:val="00982034"/>
    <w:rsid w:val="00982B34"/>
    <w:rsid w:val="009842E6"/>
    <w:rsid w:val="0099054D"/>
    <w:rsid w:val="00991C17"/>
    <w:rsid w:val="00992233"/>
    <w:rsid w:val="009943AE"/>
    <w:rsid w:val="00996773"/>
    <w:rsid w:val="00996953"/>
    <w:rsid w:val="00997244"/>
    <w:rsid w:val="00997B54"/>
    <w:rsid w:val="009A068F"/>
    <w:rsid w:val="009A0BE7"/>
    <w:rsid w:val="009B12F0"/>
    <w:rsid w:val="009B246D"/>
    <w:rsid w:val="009B6256"/>
    <w:rsid w:val="009B6A81"/>
    <w:rsid w:val="009B7700"/>
    <w:rsid w:val="009B7734"/>
    <w:rsid w:val="009C1F90"/>
    <w:rsid w:val="009C3725"/>
    <w:rsid w:val="009C42E9"/>
    <w:rsid w:val="009C4737"/>
    <w:rsid w:val="009C4D4C"/>
    <w:rsid w:val="009C6AFB"/>
    <w:rsid w:val="009C7121"/>
    <w:rsid w:val="009D1B8A"/>
    <w:rsid w:val="009D3EAB"/>
    <w:rsid w:val="009E21A2"/>
    <w:rsid w:val="009E2828"/>
    <w:rsid w:val="009E4818"/>
    <w:rsid w:val="009E6790"/>
    <w:rsid w:val="009E6EB7"/>
    <w:rsid w:val="009E763F"/>
    <w:rsid w:val="009F3ECA"/>
    <w:rsid w:val="00A0085A"/>
    <w:rsid w:val="00A03EE4"/>
    <w:rsid w:val="00A04D76"/>
    <w:rsid w:val="00A05131"/>
    <w:rsid w:val="00A05490"/>
    <w:rsid w:val="00A05E32"/>
    <w:rsid w:val="00A07327"/>
    <w:rsid w:val="00A12E87"/>
    <w:rsid w:val="00A14655"/>
    <w:rsid w:val="00A149F0"/>
    <w:rsid w:val="00A152B4"/>
    <w:rsid w:val="00A1553E"/>
    <w:rsid w:val="00A16CEA"/>
    <w:rsid w:val="00A21ED9"/>
    <w:rsid w:val="00A25765"/>
    <w:rsid w:val="00A27F6D"/>
    <w:rsid w:val="00A302FE"/>
    <w:rsid w:val="00A32891"/>
    <w:rsid w:val="00A3329A"/>
    <w:rsid w:val="00A359D5"/>
    <w:rsid w:val="00A36EF4"/>
    <w:rsid w:val="00A4466D"/>
    <w:rsid w:val="00A5006A"/>
    <w:rsid w:val="00A551D1"/>
    <w:rsid w:val="00A60DBB"/>
    <w:rsid w:val="00A60F35"/>
    <w:rsid w:val="00A61CFF"/>
    <w:rsid w:val="00A62871"/>
    <w:rsid w:val="00A638C5"/>
    <w:rsid w:val="00A646B8"/>
    <w:rsid w:val="00A7627E"/>
    <w:rsid w:val="00A839BE"/>
    <w:rsid w:val="00A83F8F"/>
    <w:rsid w:val="00A90E8E"/>
    <w:rsid w:val="00A94579"/>
    <w:rsid w:val="00A95818"/>
    <w:rsid w:val="00A9590E"/>
    <w:rsid w:val="00AA6452"/>
    <w:rsid w:val="00AA6802"/>
    <w:rsid w:val="00AB26B5"/>
    <w:rsid w:val="00AB38E2"/>
    <w:rsid w:val="00AB6F60"/>
    <w:rsid w:val="00AB7A69"/>
    <w:rsid w:val="00AC1691"/>
    <w:rsid w:val="00AC1CA8"/>
    <w:rsid w:val="00AC4C08"/>
    <w:rsid w:val="00AC7F91"/>
    <w:rsid w:val="00AD7A4B"/>
    <w:rsid w:val="00AE05B5"/>
    <w:rsid w:val="00AE3DEB"/>
    <w:rsid w:val="00AE6181"/>
    <w:rsid w:val="00AE64FF"/>
    <w:rsid w:val="00AF1254"/>
    <w:rsid w:val="00AF5172"/>
    <w:rsid w:val="00AF5D32"/>
    <w:rsid w:val="00AF606F"/>
    <w:rsid w:val="00B01951"/>
    <w:rsid w:val="00B05254"/>
    <w:rsid w:val="00B05F3A"/>
    <w:rsid w:val="00B0640C"/>
    <w:rsid w:val="00B14396"/>
    <w:rsid w:val="00B173B5"/>
    <w:rsid w:val="00B207F2"/>
    <w:rsid w:val="00B267DC"/>
    <w:rsid w:val="00B308F2"/>
    <w:rsid w:val="00B30DEB"/>
    <w:rsid w:val="00B34B14"/>
    <w:rsid w:val="00B40B38"/>
    <w:rsid w:val="00B420A0"/>
    <w:rsid w:val="00B456B7"/>
    <w:rsid w:val="00B45912"/>
    <w:rsid w:val="00B51437"/>
    <w:rsid w:val="00B5211D"/>
    <w:rsid w:val="00B52EFE"/>
    <w:rsid w:val="00B532E2"/>
    <w:rsid w:val="00B54E3F"/>
    <w:rsid w:val="00B61944"/>
    <w:rsid w:val="00B62E0A"/>
    <w:rsid w:val="00B6351C"/>
    <w:rsid w:val="00B736A5"/>
    <w:rsid w:val="00B74778"/>
    <w:rsid w:val="00B74FC8"/>
    <w:rsid w:val="00B76163"/>
    <w:rsid w:val="00B8232C"/>
    <w:rsid w:val="00B8350D"/>
    <w:rsid w:val="00B85BB1"/>
    <w:rsid w:val="00B85DB0"/>
    <w:rsid w:val="00B87EA5"/>
    <w:rsid w:val="00B92C1B"/>
    <w:rsid w:val="00B96E99"/>
    <w:rsid w:val="00BA1C72"/>
    <w:rsid w:val="00BA3538"/>
    <w:rsid w:val="00BA3702"/>
    <w:rsid w:val="00BA600A"/>
    <w:rsid w:val="00BA7E2B"/>
    <w:rsid w:val="00BB09CD"/>
    <w:rsid w:val="00BB2E42"/>
    <w:rsid w:val="00BB5610"/>
    <w:rsid w:val="00BC5DE2"/>
    <w:rsid w:val="00BD1600"/>
    <w:rsid w:val="00BD2E28"/>
    <w:rsid w:val="00BD3508"/>
    <w:rsid w:val="00BD36A4"/>
    <w:rsid w:val="00BD3EF7"/>
    <w:rsid w:val="00BE0B41"/>
    <w:rsid w:val="00BE0D36"/>
    <w:rsid w:val="00BE21D1"/>
    <w:rsid w:val="00BE47F3"/>
    <w:rsid w:val="00BE4E55"/>
    <w:rsid w:val="00BF3AB0"/>
    <w:rsid w:val="00BF45E9"/>
    <w:rsid w:val="00BF5BA2"/>
    <w:rsid w:val="00BF7777"/>
    <w:rsid w:val="00BF7BA5"/>
    <w:rsid w:val="00C0692C"/>
    <w:rsid w:val="00C127BA"/>
    <w:rsid w:val="00C12E92"/>
    <w:rsid w:val="00C13955"/>
    <w:rsid w:val="00C1575D"/>
    <w:rsid w:val="00C22B66"/>
    <w:rsid w:val="00C2709D"/>
    <w:rsid w:val="00C27F88"/>
    <w:rsid w:val="00C33322"/>
    <w:rsid w:val="00C3632D"/>
    <w:rsid w:val="00C436C7"/>
    <w:rsid w:val="00C4584B"/>
    <w:rsid w:val="00C479E0"/>
    <w:rsid w:val="00C511EF"/>
    <w:rsid w:val="00C539B9"/>
    <w:rsid w:val="00C55B05"/>
    <w:rsid w:val="00C55D41"/>
    <w:rsid w:val="00C573FC"/>
    <w:rsid w:val="00C6101A"/>
    <w:rsid w:val="00C61524"/>
    <w:rsid w:val="00C617E1"/>
    <w:rsid w:val="00C666BA"/>
    <w:rsid w:val="00C73155"/>
    <w:rsid w:val="00C86BF0"/>
    <w:rsid w:val="00C9065C"/>
    <w:rsid w:val="00C90B5B"/>
    <w:rsid w:val="00C91236"/>
    <w:rsid w:val="00C921EF"/>
    <w:rsid w:val="00C92C9D"/>
    <w:rsid w:val="00C979C7"/>
    <w:rsid w:val="00CA21A1"/>
    <w:rsid w:val="00CA449F"/>
    <w:rsid w:val="00CA540E"/>
    <w:rsid w:val="00CA5A41"/>
    <w:rsid w:val="00CB0C6C"/>
    <w:rsid w:val="00CB2E1A"/>
    <w:rsid w:val="00CB485A"/>
    <w:rsid w:val="00CC2470"/>
    <w:rsid w:val="00CC2F8C"/>
    <w:rsid w:val="00CC449C"/>
    <w:rsid w:val="00CC535D"/>
    <w:rsid w:val="00CC61C7"/>
    <w:rsid w:val="00CD2BE4"/>
    <w:rsid w:val="00CD5CC1"/>
    <w:rsid w:val="00CD6026"/>
    <w:rsid w:val="00CD6EC7"/>
    <w:rsid w:val="00CE087B"/>
    <w:rsid w:val="00CE1208"/>
    <w:rsid w:val="00CE31C8"/>
    <w:rsid w:val="00CE4330"/>
    <w:rsid w:val="00CE567F"/>
    <w:rsid w:val="00CE59E6"/>
    <w:rsid w:val="00CE7679"/>
    <w:rsid w:val="00CF277F"/>
    <w:rsid w:val="00CF4CBB"/>
    <w:rsid w:val="00D00ACC"/>
    <w:rsid w:val="00D0535D"/>
    <w:rsid w:val="00D0625E"/>
    <w:rsid w:val="00D07EE1"/>
    <w:rsid w:val="00D13015"/>
    <w:rsid w:val="00D133A2"/>
    <w:rsid w:val="00D13F5C"/>
    <w:rsid w:val="00D14607"/>
    <w:rsid w:val="00D15AD4"/>
    <w:rsid w:val="00D1649F"/>
    <w:rsid w:val="00D20538"/>
    <w:rsid w:val="00D211DC"/>
    <w:rsid w:val="00D250B0"/>
    <w:rsid w:val="00D32F14"/>
    <w:rsid w:val="00D368AA"/>
    <w:rsid w:val="00D40C72"/>
    <w:rsid w:val="00D43EA3"/>
    <w:rsid w:val="00D45FAB"/>
    <w:rsid w:val="00D472FE"/>
    <w:rsid w:val="00D51065"/>
    <w:rsid w:val="00D52236"/>
    <w:rsid w:val="00D528FE"/>
    <w:rsid w:val="00D56D91"/>
    <w:rsid w:val="00D62F3E"/>
    <w:rsid w:val="00D67A09"/>
    <w:rsid w:val="00D712DE"/>
    <w:rsid w:val="00D75BF6"/>
    <w:rsid w:val="00D804A1"/>
    <w:rsid w:val="00D86B2E"/>
    <w:rsid w:val="00D901BD"/>
    <w:rsid w:val="00D91710"/>
    <w:rsid w:val="00D92975"/>
    <w:rsid w:val="00DA4CF4"/>
    <w:rsid w:val="00DB3B2A"/>
    <w:rsid w:val="00DB6E09"/>
    <w:rsid w:val="00DB7B56"/>
    <w:rsid w:val="00DC22D6"/>
    <w:rsid w:val="00DC27F4"/>
    <w:rsid w:val="00DC3275"/>
    <w:rsid w:val="00DC38F6"/>
    <w:rsid w:val="00DC5022"/>
    <w:rsid w:val="00DC5793"/>
    <w:rsid w:val="00DD0696"/>
    <w:rsid w:val="00DD1735"/>
    <w:rsid w:val="00DD1945"/>
    <w:rsid w:val="00DD2204"/>
    <w:rsid w:val="00DD441F"/>
    <w:rsid w:val="00DD7A7D"/>
    <w:rsid w:val="00DE4868"/>
    <w:rsid w:val="00DE4917"/>
    <w:rsid w:val="00DE57D4"/>
    <w:rsid w:val="00DE62F5"/>
    <w:rsid w:val="00DE7A48"/>
    <w:rsid w:val="00DF288A"/>
    <w:rsid w:val="00DF3DF6"/>
    <w:rsid w:val="00DF4E11"/>
    <w:rsid w:val="00DF57B8"/>
    <w:rsid w:val="00DF64FF"/>
    <w:rsid w:val="00DF72C5"/>
    <w:rsid w:val="00E005B9"/>
    <w:rsid w:val="00E00DD3"/>
    <w:rsid w:val="00E029E2"/>
    <w:rsid w:val="00E13279"/>
    <w:rsid w:val="00E15214"/>
    <w:rsid w:val="00E152D4"/>
    <w:rsid w:val="00E22F62"/>
    <w:rsid w:val="00E23211"/>
    <w:rsid w:val="00E23830"/>
    <w:rsid w:val="00E2703D"/>
    <w:rsid w:val="00E36432"/>
    <w:rsid w:val="00E41649"/>
    <w:rsid w:val="00E423E4"/>
    <w:rsid w:val="00E42A9B"/>
    <w:rsid w:val="00E43837"/>
    <w:rsid w:val="00E46A83"/>
    <w:rsid w:val="00E47C45"/>
    <w:rsid w:val="00E501FD"/>
    <w:rsid w:val="00E53F2E"/>
    <w:rsid w:val="00E62F55"/>
    <w:rsid w:val="00E71017"/>
    <w:rsid w:val="00E71A6F"/>
    <w:rsid w:val="00E71AEC"/>
    <w:rsid w:val="00E73E13"/>
    <w:rsid w:val="00E759C9"/>
    <w:rsid w:val="00E806BE"/>
    <w:rsid w:val="00E80D04"/>
    <w:rsid w:val="00E81D2D"/>
    <w:rsid w:val="00E82ED4"/>
    <w:rsid w:val="00E853A3"/>
    <w:rsid w:val="00E854D8"/>
    <w:rsid w:val="00E87AA3"/>
    <w:rsid w:val="00E87EC4"/>
    <w:rsid w:val="00E925D7"/>
    <w:rsid w:val="00E9353A"/>
    <w:rsid w:val="00E94458"/>
    <w:rsid w:val="00E96D98"/>
    <w:rsid w:val="00EA1963"/>
    <w:rsid w:val="00EA422B"/>
    <w:rsid w:val="00EA44D0"/>
    <w:rsid w:val="00EA6B9C"/>
    <w:rsid w:val="00EB4089"/>
    <w:rsid w:val="00EB542E"/>
    <w:rsid w:val="00EC2FAE"/>
    <w:rsid w:val="00EC57B1"/>
    <w:rsid w:val="00ED01F1"/>
    <w:rsid w:val="00ED1D3B"/>
    <w:rsid w:val="00ED61BD"/>
    <w:rsid w:val="00ED6DF2"/>
    <w:rsid w:val="00EE207B"/>
    <w:rsid w:val="00EE5D61"/>
    <w:rsid w:val="00EF63CD"/>
    <w:rsid w:val="00F01D85"/>
    <w:rsid w:val="00F05438"/>
    <w:rsid w:val="00F1258E"/>
    <w:rsid w:val="00F13B8E"/>
    <w:rsid w:val="00F22F69"/>
    <w:rsid w:val="00F2602E"/>
    <w:rsid w:val="00F30635"/>
    <w:rsid w:val="00F306A7"/>
    <w:rsid w:val="00F30761"/>
    <w:rsid w:val="00F31524"/>
    <w:rsid w:val="00F3240D"/>
    <w:rsid w:val="00F4092C"/>
    <w:rsid w:val="00F41173"/>
    <w:rsid w:val="00F41BB1"/>
    <w:rsid w:val="00F521E0"/>
    <w:rsid w:val="00F53E6A"/>
    <w:rsid w:val="00F57A3C"/>
    <w:rsid w:val="00F61B4F"/>
    <w:rsid w:val="00F63201"/>
    <w:rsid w:val="00F64335"/>
    <w:rsid w:val="00F645C0"/>
    <w:rsid w:val="00F6608A"/>
    <w:rsid w:val="00F701DD"/>
    <w:rsid w:val="00F71AE4"/>
    <w:rsid w:val="00F82FDC"/>
    <w:rsid w:val="00F8564E"/>
    <w:rsid w:val="00F86908"/>
    <w:rsid w:val="00F8738F"/>
    <w:rsid w:val="00F87BC0"/>
    <w:rsid w:val="00F945A9"/>
    <w:rsid w:val="00FA048B"/>
    <w:rsid w:val="00FA08BD"/>
    <w:rsid w:val="00FA0BDA"/>
    <w:rsid w:val="00FA1EB2"/>
    <w:rsid w:val="00FA4AD8"/>
    <w:rsid w:val="00FA4CBA"/>
    <w:rsid w:val="00FA7B32"/>
    <w:rsid w:val="00FB35F7"/>
    <w:rsid w:val="00FB4CD5"/>
    <w:rsid w:val="00FB6164"/>
    <w:rsid w:val="00FB7DF5"/>
    <w:rsid w:val="00FC45CB"/>
    <w:rsid w:val="00FC5496"/>
    <w:rsid w:val="00FC5F76"/>
    <w:rsid w:val="00FD1758"/>
    <w:rsid w:val="00FD189C"/>
    <w:rsid w:val="00FD29E4"/>
    <w:rsid w:val="00FD56BE"/>
    <w:rsid w:val="00FE02D4"/>
    <w:rsid w:val="00FE423C"/>
    <w:rsid w:val="00FE43CD"/>
    <w:rsid w:val="00FE7BED"/>
    <w:rsid w:val="00FF1A31"/>
    <w:rsid w:val="00FF2F09"/>
    <w:rsid w:val="00F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5B64B2"/>
  <w15:docId w15:val="{AB9E7BDC-32B9-4363-A374-596A877C4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A69"/>
    <w:pPr>
      <w:spacing w:before="240" w:after="120" w:line="276" w:lineRule="auto"/>
      <w:jc w:val="both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0043F"/>
    <w:pPr>
      <w:keepNext/>
      <w:keepLines/>
      <w:spacing w:after="6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96773"/>
    <w:pPr>
      <w:jc w:val="center"/>
      <w:outlineLvl w:val="1"/>
    </w:pPr>
    <w:rPr>
      <w:b/>
      <w:bCs/>
      <w:cap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B7A69"/>
    <w:pPr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452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21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1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14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14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1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L1Heading">
    <w:name w:val="CIL 1 Heading"/>
    <w:basedOn w:val="Heading1"/>
    <w:autoRedefine/>
    <w:rsid w:val="00A359D5"/>
    <w:pPr>
      <w:keepLines w:val="0"/>
      <w:outlineLvl w:val="9"/>
    </w:pPr>
    <w:rPr>
      <w:rFonts w:eastAsia="Batang" w:cs="Arial"/>
      <w:caps w:val="0"/>
      <w:kern w:val="32"/>
      <w:szCs w:val="32"/>
      <w:lang w:val="en-GB" w:eastAsia="ko-KR"/>
    </w:rPr>
  </w:style>
  <w:style w:type="character" w:customStyle="1" w:styleId="Heading1Char">
    <w:name w:val="Heading 1 Char"/>
    <w:link w:val="Heading1"/>
    <w:uiPriority w:val="9"/>
    <w:rsid w:val="0040043F"/>
    <w:rPr>
      <w:rFonts w:ascii="Arial" w:eastAsia="Times New Roman" w:hAnsi="Arial"/>
      <w:b/>
      <w:bCs/>
      <w:caps/>
      <w:sz w:val="28"/>
      <w:szCs w:val="28"/>
      <w:lang w:val="en-US" w:eastAsia="en-US"/>
    </w:rPr>
  </w:style>
  <w:style w:type="paragraph" w:customStyle="1" w:styleId="CIL2Heading">
    <w:name w:val="CIL 2 Heading"/>
    <w:basedOn w:val="Heading2"/>
    <w:autoRedefine/>
    <w:rsid w:val="00A359D5"/>
    <w:rPr>
      <w:rFonts w:eastAsia="Batang" w:cs="Arial"/>
      <w:b w:val="0"/>
      <w:iCs/>
      <w:caps w:val="0"/>
      <w:szCs w:val="28"/>
      <w:lang w:val="en-GB" w:eastAsia="ko-KR"/>
    </w:rPr>
  </w:style>
  <w:style w:type="character" w:customStyle="1" w:styleId="Heading2Char">
    <w:name w:val="Heading 2 Char"/>
    <w:link w:val="Heading2"/>
    <w:uiPriority w:val="9"/>
    <w:rsid w:val="00996773"/>
    <w:rPr>
      <w:rFonts w:ascii="Arial" w:hAnsi="Arial"/>
      <w:b/>
      <w:bCs/>
      <w:caps/>
      <w:szCs w:val="26"/>
      <w:lang w:val="en-US" w:eastAsia="en-US"/>
    </w:rPr>
  </w:style>
  <w:style w:type="paragraph" w:customStyle="1" w:styleId="CILFooter">
    <w:name w:val="CIL Footer"/>
    <w:basedOn w:val="Normal"/>
    <w:link w:val="CILFooterChar"/>
    <w:qFormat/>
    <w:rsid w:val="001142FA"/>
    <w:pPr>
      <w:pBdr>
        <w:top w:val="single" w:sz="4" w:space="8" w:color="auto"/>
      </w:pBdr>
      <w:tabs>
        <w:tab w:val="center" w:pos="4680"/>
        <w:tab w:val="right" w:pos="9360"/>
      </w:tabs>
      <w:jc w:val="center"/>
    </w:pPr>
    <w:rPr>
      <w:rFonts w:eastAsia="Batang" w:cs="Arial"/>
      <w:color w:val="808080"/>
      <w:sz w:val="16"/>
      <w:szCs w:val="16"/>
      <w:lang w:val="en-GB" w:eastAsia="ko-KR"/>
    </w:rPr>
  </w:style>
  <w:style w:type="character" w:customStyle="1" w:styleId="CILFooterChar">
    <w:name w:val="CIL Footer Char"/>
    <w:link w:val="CILFooter"/>
    <w:rsid w:val="001142FA"/>
    <w:rPr>
      <w:rFonts w:ascii="Arial" w:eastAsia="Batang" w:hAnsi="Arial" w:cs="Arial"/>
      <w:color w:val="808080"/>
      <w:sz w:val="16"/>
      <w:szCs w:val="16"/>
      <w:lang w:val="en-GB" w:eastAsia="ko-KR"/>
    </w:rPr>
  </w:style>
  <w:style w:type="paragraph" w:customStyle="1" w:styleId="CILparagraph">
    <w:name w:val="CIL paragraph"/>
    <w:basedOn w:val="Normal"/>
    <w:autoRedefine/>
    <w:rsid w:val="001207E1"/>
    <w:pPr>
      <w:contextualSpacing/>
    </w:pPr>
    <w:rPr>
      <w:rFonts w:eastAsia="Batang" w:cs="Arial"/>
      <w:szCs w:val="24"/>
      <w:lang w:val="en-GB" w:eastAsia="ko-KR"/>
    </w:rPr>
  </w:style>
  <w:style w:type="paragraph" w:customStyle="1" w:styleId="CILSubtitle">
    <w:name w:val="CIL Subtitle"/>
    <w:basedOn w:val="Normal"/>
    <w:link w:val="CILSubtitleChar"/>
    <w:autoRedefine/>
    <w:qFormat/>
    <w:rsid w:val="00AB7A69"/>
    <w:pPr>
      <w:jc w:val="center"/>
    </w:pPr>
    <w:rPr>
      <w:rFonts w:eastAsia="Batang" w:cs="Arial"/>
      <w:i/>
      <w:szCs w:val="24"/>
      <w:lang w:val="en-GB" w:eastAsia="ko-KR"/>
    </w:rPr>
  </w:style>
  <w:style w:type="character" w:customStyle="1" w:styleId="CILSubtitleChar">
    <w:name w:val="CIL Subtitle Char"/>
    <w:link w:val="CILSubtitle"/>
    <w:rsid w:val="00AB7A69"/>
    <w:rPr>
      <w:rFonts w:ascii="Arial" w:eastAsia="Batang" w:hAnsi="Arial" w:cs="Arial"/>
      <w:i/>
      <w:szCs w:val="24"/>
      <w:lang w:eastAsia="ko-KR"/>
    </w:rPr>
  </w:style>
  <w:style w:type="paragraph" w:customStyle="1" w:styleId="CILTitle">
    <w:name w:val="CIL Title"/>
    <w:basedOn w:val="Normal"/>
    <w:autoRedefine/>
    <w:qFormat/>
    <w:rsid w:val="00A359D5"/>
    <w:pPr>
      <w:jc w:val="center"/>
    </w:pPr>
    <w:rPr>
      <w:rFonts w:eastAsia="Batang" w:cs="Arial"/>
      <w:b/>
      <w:bCs/>
      <w:caps/>
      <w:kern w:val="32"/>
      <w:sz w:val="28"/>
      <w:szCs w:val="32"/>
      <w:lang w:val="en-GB" w:eastAsia="ko-KR"/>
    </w:rPr>
  </w:style>
  <w:style w:type="character" w:customStyle="1" w:styleId="Heading3Char">
    <w:name w:val="Heading 3 Char"/>
    <w:link w:val="Heading3"/>
    <w:uiPriority w:val="9"/>
    <w:rsid w:val="00AB7A69"/>
    <w:rPr>
      <w:rFonts w:ascii="Arial" w:hAnsi="Arial"/>
      <w:u w:val="single"/>
      <w:lang w:val="en-US" w:eastAsia="en-US"/>
    </w:rPr>
  </w:style>
  <w:style w:type="paragraph" w:customStyle="1" w:styleId="CILL1TOC">
    <w:name w:val="CIL L1 TOC"/>
    <w:basedOn w:val="TOC1"/>
    <w:autoRedefine/>
    <w:rsid w:val="0042562D"/>
    <w:pPr>
      <w:tabs>
        <w:tab w:val="right" w:leader="dot" w:pos="9350"/>
      </w:tabs>
      <w:spacing w:before="120" w:after="120" w:line="360" w:lineRule="auto"/>
    </w:pPr>
    <w:rPr>
      <w:rFonts w:cs="Arial"/>
      <w:noProof/>
    </w:rPr>
  </w:style>
  <w:style w:type="paragraph" w:styleId="TOC1">
    <w:name w:val="toc 1"/>
    <w:basedOn w:val="Normal"/>
    <w:next w:val="Normal"/>
    <w:autoRedefine/>
    <w:uiPriority w:val="39"/>
    <w:unhideWhenUsed/>
    <w:rsid w:val="00AB7A69"/>
    <w:pPr>
      <w:spacing w:before="60" w:after="60"/>
    </w:pPr>
    <w:rPr>
      <w:caps/>
    </w:rPr>
  </w:style>
  <w:style w:type="paragraph" w:customStyle="1" w:styleId="Style1">
    <w:name w:val="Style1"/>
    <w:basedOn w:val="TOC2"/>
    <w:autoRedefine/>
    <w:rsid w:val="0042562D"/>
    <w:pPr>
      <w:tabs>
        <w:tab w:val="right" w:leader="dot" w:pos="9350"/>
      </w:tabs>
      <w:spacing w:line="360" w:lineRule="auto"/>
      <w:ind w:left="202"/>
    </w:pPr>
    <w:rPr>
      <w:rFonts w:cs="Arial"/>
      <w:noProof/>
    </w:rPr>
  </w:style>
  <w:style w:type="paragraph" w:styleId="TOC2">
    <w:name w:val="toc 2"/>
    <w:basedOn w:val="Heading2"/>
    <w:next w:val="Normal"/>
    <w:autoRedefine/>
    <w:uiPriority w:val="39"/>
    <w:unhideWhenUsed/>
    <w:rsid w:val="009C1F90"/>
    <w:pPr>
      <w:spacing w:before="60" w:after="60"/>
      <w:ind w:left="284"/>
      <w:jc w:val="left"/>
      <w:outlineLvl w:val="0"/>
    </w:pPr>
    <w:rPr>
      <w:b w:val="0"/>
    </w:rPr>
  </w:style>
  <w:style w:type="paragraph" w:customStyle="1" w:styleId="CILL2TOC">
    <w:name w:val="CIL L2 TOC"/>
    <w:basedOn w:val="TOC2"/>
    <w:autoRedefine/>
    <w:rsid w:val="0042562D"/>
    <w:pPr>
      <w:tabs>
        <w:tab w:val="right" w:leader="dot" w:pos="9350"/>
      </w:tabs>
      <w:spacing w:line="360" w:lineRule="auto"/>
      <w:ind w:left="202"/>
    </w:pPr>
    <w:rPr>
      <w:rFonts w:cs="Arial"/>
      <w:noProof/>
    </w:rPr>
  </w:style>
  <w:style w:type="paragraph" w:customStyle="1" w:styleId="CILParagraph0">
    <w:name w:val="CIL Paragraph"/>
    <w:basedOn w:val="Normal"/>
    <w:next w:val="Normal"/>
    <w:autoRedefine/>
    <w:rsid w:val="00642035"/>
  </w:style>
  <w:style w:type="paragraph" w:customStyle="1" w:styleId="CILMain">
    <w:name w:val="CIL Main"/>
    <w:autoRedefine/>
    <w:rsid w:val="00025831"/>
    <w:pPr>
      <w:spacing w:before="240" w:after="120" w:line="276" w:lineRule="auto"/>
      <w:jc w:val="both"/>
    </w:pPr>
    <w:rPr>
      <w:rFonts w:ascii="Arial" w:hAnsi="Arial"/>
      <w:lang w:val="en-US" w:eastAsia="en-US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311F81"/>
    <w:pPr>
      <w:jc w:val="center"/>
    </w:pPr>
    <w:rPr>
      <w:rFonts w:ascii="Calibri" w:eastAsia="Times New Roman" w:hAnsi="Calibri"/>
      <w:i/>
      <w:szCs w:val="24"/>
      <w:lang w:val="en-GB" w:eastAsia="ko-KR"/>
    </w:rPr>
  </w:style>
  <w:style w:type="character" w:customStyle="1" w:styleId="SubtitleChar">
    <w:name w:val="Subtitle Char"/>
    <w:link w:val="Subtitle"/>
    <w:uiPriority w:val="11"/>
    <w:rsid w:val="00311F81"/>
    <w:rPr>
      <w:rFonts w:eastAsia="Times New Roman" w:cs="Times New Roman"/>
      <w:i/>
      <w:szCs w:val="24"/>
      <w:lang w:val="en-GB" w:eastAsia="ko-KR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11F81"/>
    <w:pPr>
      <w:jc w:val="center"/>
    </w:pPr>
    <w:rPr>
      <w:rFonts w:ascii="Calibri" w:eastAsia="Times New Roman" w:hAnsi="Calibri"/>
      <w:b/>
      <w:bCs/>
      <w:caps/>
      <w:kern w:val="28"/>
      <w:sz w:val="28"/>
      <w:szCs w:val="32"/>
      <w:lang w:val="en-GB" w:eastAsia="ko-KR"/>
    </w:rPr>
  </w:style>
  <w:style w:type="character" w:customStyle="1" w:styleId="TitleChar">
    <w:name w:val="Title Char"/>
    <w:link w:val="Title"/>
    <w:uiPriority w:val="10"/>
    <w:rsid w:val="00311F81"/>
    <w:rPr>
      <w:rFonts w:eastAsia="Times New Roman" w:cs="Times New Roman"/>
      <w:b/>
      <w:bCs/>
      <w:caps/>
      <w:kern w:val="28"/>
      <w:sz w:val="28"/>
      <w:szCs w:val="32"/>
      <w:lang w:val="en-GB" w:eastAsia="ko-KR"/>
    </w:rPr>
  </w:style>
  <w:style w:type="paragraph" w:styleId="Header">
    <w:name w:val="header"/>
    <w:basedOn w:val="Normal"/>
    <w:link w:val="HeaderChar"/>
    <w:uiPriority w:val="99"/>
    <w:unhideWhenUsed/>
    <w:rsid w:val="00F61B4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F61B4F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F61B4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F61B4F"/>
    <w:rPr>
      <w:rFonts w:ascii="Arial" w:hAnsi="Arial"/>
    </w:rPr>
  </w:style>
  <w:style w:type="character" w:styleId="Hyperlink">
    <w:name w:val="Hyperlink"/>
    <w:uiPriority w:val="99"/>
    <w:unhideWhenUsed/>
    <w:rsid w:val="00F61B4F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B7A69"/>
    <w:pPr>
      <w:spacing w:after="0" w:line="259" w:lineRule="auto"/>
      <w:jc w:val="left"/>
      <w:outlineLvl w:val="9"/>
    </w:pPr>
    <w:rPr>
      <w:rFonts w:ascii="Calibri Light" w:hAnsi="Calibri Light"/>
      <w:b w:val="0"/>
      <w:bCs w:val="0"/>
      <w:caps w:val="0"/>
      <w:color w:val="2E74B5"/>
      <w:sz w:val="32"/>
      <w:szCs w:val="32"/>
    </w:rPr>
  </w:style>
  <w:style w:type="paragraph" w:styleId="TOC3">
    <w:name w:val="toc 3"/>
    <w:basedOn w:val="Heading3"/>
    <w:next w:val="Normal"/>
    <w:autoRedefine/>
    <w:uiPriority w:val="39"/>
    <w:unhideWhenUsed/>
    <w:rsid w:val="009C1F90"/>
    <w:pPr>
      <w:spacing w:before="60" w:after="60"/>
      <w:ind w:left="567"/>
    </w:pPr>
    <w:rPr>
      <w:caps/>
      <w:u w:val="none"/>
    </w:rPr>
  </w:style>
  <w:style w:type="paragraph" w:styleId="TOC4">
    <w:name w:val="toc 4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720"/>
      <w:jc w:val="left"/>
    </w:pPr>
    <w:rPr>
      <w:rFonts w:ascii="Cambria" w:eastAsia="MS Mincho" w:hAnsi="Cambria"/>
      <w:sz w:val="24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960"/>
      <w:jc w:val="left"/>
    </w:pPr>
    <w:rPr>
      <w:rFonts w:ascii="Cambria" w:eastAsia="MS Mincho" w:hAnsi="Cambria"/>
      <w:sz w:val="24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1200"/>
      <w:jc w:val="left"/>
    </w:pPr>
    <w:rPr>
      <w:rFonts w:ascii="Cambria" w:eastAsia="MS Mincho" w:hAnsi="Cambria"/>
      <w:sz w:val="24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1440"/>
      <w:jc w:val="left"/>
    </w:pPr>
    <w:rPr>
      <w:rFonts w:ascii="Cambria" w:eastAsia="MS Mincho" w:hAnsi="Cambria"/>
      <w:sz w:val="24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1680"/>
      <w:jc w:val="left"/>
    </w:pPr>
    <w:rPr>
      <w:rFonts w:ascii="Cambria" w:eastAsia="MS Mincho" w:hAnsi="Cambria"/>
      <w:sz w:val="24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1920"/>
      <w:jc w:val="left"/>
    </w:pPr>
    <w:rPr>
      <w:rFonts w:ascii="Cambria" w:eastAsia="MS Mincho" w:hAnsi="Cambria"/>
      <w:sz w:val="24"/>
      <w:szCs w:val="24"/>
    </w:rPr>
  </w:style>
  <w:style w:type="character" w:styleId="PageNumber">
    <w:name w:val="page number"/>
    <w:uiPriority w:val="99"/>
    <w:semiHidden/>
    <w:unhideWhenUsed/>
    <w:rsid w:val="00A27F6D"/>
  </w:style>
  <w:style w:type="paragraph" w:styleId="FootnoteText">
    <w:name w:val="footnote text"/>
    <w:basedOn w:val="Normal"/>
    <w:link w:val="FootnoteTextChar"/>
    <w:uiPriority w:val="99"/>
    <w:semiHidden/>
    <w:unhideWhenUsed/>
    <w:rsid w:val="00FA048B"/>
  </w:style>
  <w:style w:type="character" w:customStyle="1" w:styleId="FootnoteTextChar">
    <w:name w:val="Footnote Text Char"/>
    <w:link w:val="FootnoteText"/>
    <w:uiPriority w:val="99"/>
    <w:semiHidden/>
    <w:rsid w:val="00FA048B"/>
    <w:rPr>
      <w:rFonts w:ascii="Arial" w:hAnsi="Arial"/>
      <w:lang w:val="en-US" w:eastAsia="en-US"/>
    </w:rPr>
  </w:style>
  <w:style w:type="character" w:styleId="FootnoteReference">
    <w:name w:val="footnote reference"/>
    <w:uiPriority w:val="99"/>
    <w:semiHidden/>
    <w:unhideWhenUsed/>
    <w:rsid w:val="00FA048B"/>
    <w:rPr>
      <w:vertAlign w:val="superscript"/>
    </w:rPr>
  </w:style>
  <w:style w:type="paragraph" w:styleId="ListParagraph">
    <w:name w:val="List Paragraph"/>
    <w:basedOn w:val="Normal"/>
    <w:uiPriority w:val="1"/>
    <w:qFormat/>
    <w:rsid w:val="00974D0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146E7"/>
    <w:pPr>
      <w:widowControl w:val="0"/>
      <w:autoSpaceDE w:val="0"/>
      <w:autoSpaceDN w:val="0"/>
      <w:spacing w:before="0"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146E7"/>
    <w:rPr>
      <w:rFonts w:ascii="Times New Roman" w:eastAsia="Times New Roman" w:hAnsi="Times New Roman"/>
      <w:sz w:val="28"/>
      <w:szCs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215"/>
    <w:rPr>
      <w:rFonts w:asciiTheme="majorHAnsi" w:eastAsiaTheme="majorEastAsia" w:hAnsiTheme="majorHAnsi" w:cstheme="majorBidi"/>
      <w:i/>
      <w:iCs/>
      <w:color w:val="2E74B5" w:themeColor="accent1" w:themeShade="BF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215"/>
    <w:rPr>
      <w:rFonts w:asciiTheme="majorHAnsi" w:eastAsiaTheme="majorEastAsia" w:hAnsiTheme="majorHAnsi" w:cstheme="majorBidi"/>
      <w:color w:val="2E74B5" w:themeColor="accent1" w:themeShade="BF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14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142"/>
    <w:rPr>
      <w:rFonts w:ascii="Segoe UI" w:hAnsi="Segoe UI" w:cs="Segoe UI"/>
      <w:sz w:val="18"/>
      <w:szCs w:val="18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55142"/>
  </w:style>
  <w:style w:type="paragraph" w:styleId="BlockText">
    <w:name w:val="Block Text"/>
    <w:basedOn w:val="Normal"/>
    <w:uiPriority w:val="99"/>
    <w:semiHidden/>
    <w:unhideWhenUsed/>
    <w:rsid w:val="00155142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55142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55142"/>
    <w:rPr>
      <w:rFonts w:ascii="Arial" w:hAnsi="Arial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55142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55142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55142"/>
    <w:pPr>
      <w:widowControl/>
      <w:autoSpaceDE/>
      <w:autoSpaceDN/>
      <w:spacing w:before="240" w:after="120" w:line="276" w:lineRule="auto"/>
      <w:ind w:firstLine="360"/>
    </w:pPr>
    <w:rPr>
      <w:rFonts w:ascii="Arial" w:eastAsia="Calibri" w:hAnsi="Arial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55142"/>
    <w:rPr>
      <w:rFonts w:ascii="Arial" w:eastAsia="Times New Roman" w:hAnsi="Arial"/>
      <w:sz w:val="28"/>
      <w:szCs w:val="28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55142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55142"/>
    <w:rPr>
      <w:rFonts w:ascii="Arial" w:hAnsi="Arial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55142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55142"/>
    <w:rPr>
      <w:rFonts w:ascii="Arial" w:hAnsi="Arial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55142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55142"/>
    <w:rPr>
      <w:rFonts w:ascii="Arial" w:hAnsi="Arial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55142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55142"/>
    <w:rPr>
      <w:rFonts w:ascii="Arial" w:hAnsi="Arial"/>
      <w:sz w:val="16"/>
      <w:szCs w:val="16"/>
      <w:lang w:val="en-US"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5142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55142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55142"/>
    <w:rPr>
      <w:rFonts w:ascii="Arial" w:hAnsi="Arial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14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14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1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142"/>
    <w:rPr>
      <w:rFonts w:ascii="Arial" w:hAnsi="Arial"/>
      <w:b/>
      <w:bCs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55142"/>
  </w:style>
  <w:style w:type="character" w:customStyle="1" w:styleId="DateChar">
    <w:name w:val="Date Char"/>
    <w:basedOn w:val="DefaultParagraphFont"/>
    <w:link w:val="Date"/>
    <w:uiPriority w:val="99"/>
    <w:semiHidden/>
    <w:rsid w:val="00155142"/>
    <w:rPr>
      <w:rFonts w:ascii="Arial" w:hAnsi="Arial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55142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55142"/>
    <w:rPr>
      <w:rFonts w:ascii="Segoe UI" w:hAnsi="Segoe UI" w:cs="Segoe UI"/>
      <w:sz w:val="16"/>
      <w:szCs w:val="16"/>
      <w:lang w:val="en-US" w:eastAsia="en-US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155142"/>
    <w:pPr>
      <w:spacing w:before="0"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155142"/>
    <w:rPr>
      <w:rFonts w:ascii="Arial" w:hAnsi="Arial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55142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5142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155142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55142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142"/>
    <w:rPr>
      <w:rFonts w:asciiTheme="majorHAnsi" w:eastAsiaTheme="majorEastAsia" w:hAnsiTheme="majorHAnsi" w:cstheme="majorBidi"/>
      <w:color w:val="1F4D78" w:themeColor="accent1" w:themeShade="7F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142"/>
    <w:rPr>
      <w:rFonts w:asciiTheme="majorHAnsi" w:eastAsiaTheme="majorEastAsia" w:hAnsiTheme="majorHAnsi" w:cstheme="majorBidi"/>
      <w:i/>
      <w:iCs/>
      <w:color w:val="1F4D78" w:themeColor="accent1" w:themeShade="7F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14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1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55142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55142"/>
    <w:rPr>
      <w:rFonts w:ascii="Arial" w:hAnsi="Arial"/>
      <w:i/>
      <w:iCs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55142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55142"/>
    <w:rPr>
      <w:rFonts w:ascii="Consolas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5514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14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142"/>
    <w:rPr>
      <w:rFonts w:ascii="Arial" w:hAnsi="Arial"/>
      <w:i/>
      <w:iCs/>
      <w:color w:val="5B9BD5" w:themeColor="accent1"/>
      <w:lang w:val="en-US" w:eastAsia="en-US"/>
    </w:rPr>
  </w:style>
  <w:style w:type="paragraph" w:styleId="List">
    <w:name w:val="List"/>
    <w:basedOn w:val="Normal"/>
    <w:uiPriority w:val="99"/>
    <w:semiHidden/>
    <w:unhideWhenUsed/>
    <w:rsid w:val="0015514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5514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5514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5514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5514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55142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55142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55142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55142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55142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55142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55142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55142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55142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55142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55142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55142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55142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55142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55142"/>
    <w:pPr>
      <w:numPr>
        <w:numId w:val="1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5514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 w:line="276" w:lineRule="auto"/>
      <w:jc w:val="both"/>
    </w:pPr>
    <w:rPr>
      <w:rFonts w:ascii="Consolas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55142"/>
    <w:rPr>
      <w:rFonts w:ascii="Consolas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551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55142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155142"/>
    <w:pPr>
      <w:jc w:val="both"/>
    </w:pPr>
    <w:rPr>
      <w:rFonts w:ascii="Arial" w:hAnsi="Arial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15514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5514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55142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55142"/>
    <w:rPr>
      <w:rFonts w:ascii="Arial" w:hAnsi="Arial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55142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55142"/>
    <w:rPr>
      <w:rFonts w:ascii="Consolas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5514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142"/>
    <w:rPr>
      <w:rFonts w:ascii="Arial" w:hAnsi="Arial"/>
      <w:i/>
      <w:iCs/>
      <w:color w:val="404040" w:themeColor="text1" w:themeTint="BF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5514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55142"/>
    <w:rPr>
      <w:rFonts w:ascii="Arial" w:hAnsi="Arial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55142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55142"/>
    <w:rPr>
      <w:rFonts w:ascii="Arial" w:hAnsi="Arial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55142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55142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15514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l.nus.edu.s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l.nus.edu.s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CIL%20DB%20Formatting%20Template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87ADC-D9F3-40B7-BB43-DCD923740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C:\Users\Admin\Downloads\CIL DB Formatting Template 2022.dotx</Template>
  <TotalTime>17</TotalTime>
  <Pages>3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Links>
    <vt:vector size="222" baseType="variant">
      <vt:variant>
        <vt:i4>1245244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_Toc473030836</vt:lpwstr>
      </vt:variant>
      <vt:variant>
        <vt:i4>1245244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_Toc473030835</vt:lpwstr>
      </vt:variant>
      <vt:variant>
        <vt:i4>1245244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_Toc473030834</vt:lpwstr>
      </vt:variant>
      <vt:variant>
        <vt:i4>1245244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_Toc473030833</vt:lpwstr>
      </vt:variant>
      <vt:variant>
        <vt:i4>1245244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_Toc473030832</vt:lpwstr>
      </vt:variant>
      <vt:variant>
        <vt:i4>1245244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_Toc473030831</vt:lpwstr>
      </vt:variant>
      <vt:variant>
        <vt:i4>1245244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_Toc473030830</vt:lpwstr>
      </vt:variant>
      <vt:variant>
        <vt:i4>1179708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_Toc473030829</vt:lpwstr>
      </vt:variant>
      <vt:variant>
        <vt:i4>1179708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_Toc473030828</vt:lpwstr>
      </vt:variant>
      <vt:variant>
        <vt:i4>1179708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_Toc473030827</vt:lpwstr>
      </vt:variant>
      <vt:variant>
        <vt:i4>1179708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_Toc473030826</vt:lpwstr>
      </vt:variant>
      <vt:variant>
        <vt:i4>1179708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_Toc473030825</vt:lpwstr>
      </vt:variant>
      <vt:variant>
        <vt:i4>1179708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_Toc473030824</vt:lpwstr>
      </vt:variant>
      <vt:variant>
        <vt:i4>1179708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_Toc473030823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_Toc473030822</vt:lpwstr>
      </vt:variant>
      <vt:variant>
        <vt:i4>1179708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_Toc473030821</vt:lpwstr>
      </vt:variant>
      <vt:variant>
        <vt:i4>1179708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_Toc473030820</vt:lpwstr>
      </vt:variant>
      <vt:variant>
        <vt:i4>1114172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_Toc473030819</vt:lpwstr>
      </vt:variant>
      <vt:variant>
        <vt:i4>1114172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_Toc473030818</vt:lpwstr>
      </vt:variant>
      <vt:variant>
        <vt:i4>1114172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_Toc473030817</vt:lpwstr>
      </vt:variant>
      <vt:variant>
        <vt:i4>1114172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_Toc473030816</vt:lpwstr>
      </vt:variant>
      <vt:variant>
        <vt:i4>1114172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_Toc473030815</vt:lpwstr>
      </vt:variant>
      <vt:variant>
        <vt:i4>1114172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_Toc473030814</vt:lpwstr>
      </vt:variant>
      <vt:variant>
        <vt:i4>1114172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_Toc473030813</vt:lpwstr>
      </vt:variant>
      <vt:variant>
        <vt:i4>1114172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_Toc473030812</vt:lpwstr>
      </vt:variant>
      <vt:variant>
        <vt:i4>1114172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_Toc473030811</vt:lpwstr>
      </vt:variant>
      <vt:variant>
        <vt:i4>1114172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_Toc473030810</vt:lpwstr>
      </vt:variant>
      <vt:variant>
        <vt:i4>1048636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_Toc473030809</vt:lpwstr>
      </vt:variant>
      <vt:variant>
        <vt:i4>1048636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_Toc473030808</vt:lpwstr>
      </vt:variant>
      <vt:variant>
        <vt:i4>1048636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_Toc473030807</vt:lpwstr>
      </vt:variant>
      <vt:variant>
        <vt:i4>1048636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_Toc473030806</vt:lpwstr>
      </vt:variant>
      <vt:variant>
        <vt:i4>1048636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_Toc473030805</vt:lpwstr>
      </vt:variant>
      <vt:variant>
        <vt:i4>1048636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_Toc473030804</vt:lpwstr>
      </vt:variant>
      <vt:variant>
        <vt:i4>1048636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_Toc473030803</vt:lpwstr>
      </vt:variant>
      <vt:variant>
        <vt:i4>1048636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_Toc473030802</vt:lpwstr>
      </vt:variant>
      <vt:variant>
        <vt:i4>7667809</vt:i4>
      </vt:variant>
      <vt:variant>
        <vt:i4>9</vt:i4>
      </vt:variant>
      <vt:variant>
        <vt:i4>0</vt:i4>
      </vt:variant>
      <vt:variant>
        <vt:i4>5</vt:i4>
      </vt:variant>
      <vt:variant>
        <vt:lpwstr>http://www.cil.nus.edu.sg/</vt:lpwstr>
      </vt:variant>
      <vt:variant>
        <vt:lpwstr/>
      </vt:variant>
      <vt:variant>
        <vt:i4>7667809</vt:i4>
      </vt:variant>
      <vt:variant>
        <vt:i4>0</vt:i4>
      </vt:variant>
      <vt:variant>
        <vt:i4>0</vt:i4>
      </vt:variant>
      <vt:variant>
        <vt:i4>5</vt:i4>
      </vt:variant>
      <vt:variant>
        <vt:lpwstr>http://www.cil.nus.edu.sg/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42</cp:revision>
  <cp:lastPrinted>2019-01-29T09:08:00Z</cp:lastPrinted>
  <dcterms:created xsi:type="dcterms:W3CDTF">2025-01-09T08:09:00Z</dcterms:created>
  <dcterms:modified xsi:type="dcterms:W3CDTF">2025-01-09T12:36:00Z</dcterms:modified>
</cp:coreProperties>
</file>