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9F52" w14:textId="73C9FD90" w:rsidR="002A6BAE" w:rsidRDefault="00E4718F" w:rsidP="00E4718F">
      <w:pPr>
        <w:pStyle w:val="CILTitle"/>
      </w:pPr>
      <w:r>
        <w:t xml:space="preserve">2025 </w:t>
      </w:r>
      <w:r w:rsidR="002A6BAE">
        <w:t>Press Statement</w:t>
      </w:r>
      <w:r>
        <w:t xml:space="preserve"> </w:t>
      </w:r>
      <w:r w:rsidR="002A6BAE">
        <w:t xml:space="preserve">by the Chair of the </w:t>
      </w:r>
      <w:r>
        <w:br/>
      </w:r>
      <w:r w:rsidR="002A6BAE">
        <w:t>ASEAN Foreign Ministers’ Retreat</w:t>
      </w:r>
    </w:p>
    <w:p w14:paraId="30FBC0A4" w14:textId="6B9DAC15" w:rsidR="002A6BAE" w:rsidRDefault="00E4718F" w:rsidP="00E4718F">
      <w:pPr>
        <w:pStyle w:val="CILSubtitle"/>
      </w:pPr>
      <w:r>
        <w:t xml:space="preserve">Issued in </w:t>
      </w:r>
      <w:r w:rsidR="002A6BAE">
        <w:t>Langkawi, Malaysia</w:t>
      </w:r>
      <w:r>
        <w:t xml:space="preserve"> on </w:t>
      </w:r>
      <w:r>
        <w:t>19 January 2025</w:t>
      </w:r>
    </w:p>
    <w:p w14:paraId="08EC7332" w14:textId="77777777" w:rsidR="00E4718F" w:rsidRDefault="00E4718F" w:rsidP="002A6BAE">
      <w:pPr>
        <w:spacing w:before="0" w:after="0"/>
      </w:pPr>
    </w:p>
    <w:p w14:paraId="73D6327D" w14:textId="24ED6687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The ASEAN Foreign Ministers’ Retreat (AMM Retreat) was convened on 19</w:t>
      </w:r>
      <w:r w:rsidR="00E4718F">
        <w:t xml:space="preserve"> </w:t>
      </w:r>
      <w:r>
        <w:t>January 2025 in Langkawi, Malaysia. The Retreat was the first major meeting</w:t>
      </w:r>
      <w:r w:rsidR="00E4718F">
        <w:t xml:space="preserve"> </w:t>
      </w:r>
      <w:r>
        <w:t>under Malaysia’s ASEAN Chairmanship 2025 with the theme “Inclusivity and</w:t>
      </w:r>
      <w:r w:rsidR="00E4718F">
        <w:t xml:space="preserve"> </w:t>
      </w:r>
      <w:r>
        <w:t>Sustainability”. The Retreat was also attended by the Foreign Minister of Timor-Leste as Observer.</w:t>
      </w:r>
    </w:p>
    <w:p w14:paraId="2343BBE5" w14:textId="77777777" w:rsidR="00E4718F" w:rsidRDefault="00E4718F" w:rsidP="00E4718F">
      <w:pPr>
        <w:spacing w:before="0" w:after="0"/>
      </w:pPr>
    </w:p>
    <w:p w14:paraId="606D7420" w14:textId="00700EF0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had candid and in-depth discussions on ASEAN’s priorities in 2025 and the</w:t>
      </w:r>
      <w:r w:rsidR="00E4718F">
        <w:t xml:space="preserve"> </w:t>
      </w:r>
      <w:r>
        <w:t>follow-up to the 44th and 45th ASEAN Summits and Related Summits to further</w:t>
      </w:r>
      <w:r w:rsidR="00E4718F">
        <w:t xml:space="preserve"> </w:t>
      </w:r>
      <w:r>
        <w:t>advance the ASEAN Community, strengthen ASEAN unity and Centrality, and</w:t>
      </w:r>
      <w:r w:rsidR="00E4718F">
        <w:t xml:space="preserve"> </w:t>
      </w:r>
      <w:r>
        <w:t>enhance mutually beneficial cooperation with ASEAN partners.</w:t>
      </w:r>
    </w:p>
    <w:p w14:paraId="32615914" w14:textId="77777777" w:rsidR="00E4718F" w:rsidRDefault="00E4718F" w:rsidP="00E4718F">
      <w:pPr>
        <w:spacing w:before="0" w:after="0"/>
      </w:pPr>
    </w:p>
    <w:p w14:paraId="76E2548E" w14:textId="72858D7E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strong commitment to upholding regionalism and multilateralism</w:t>
      </w:r>
      <w:r w:rsidR="00E4718F">
        <w:t xml:space="preserve"> </w:t>
      </w:r>
      <w:r>
        <w:t>with full adherence to key principles, shared values and norms enshrined in the</w:t>
      </w:r>
      <w:r w:rsidR="00E4718F">
        <w:t xml:space="preserve"> </w:t>
      </w:r>
      <w:r>
        <w:t>UN Charter, the ASEAN Charter, the Declaration on Zone of Peace, Freedom and</w:t>
      </w:r>
      <w:r w:rsidR="00E4718F">
        <w:t xml:space="preserve"> </w:t>
      </w:r>
      <w:r>
        <w:t>Neutrality (ZOPFAN), the Treaty of Amity and Cooperation in Southeast Asia</w:t>
      </w:r>
      <w:r w:rsidR="00E4718F">
        <w:t xml:space="preserve"> </w:t>
      </w:r>
      <w:r>
        <w:t>(TAC), the 1982 United Nations Convention on the Law of the Sea (UNCLOS),</w:t>
      </w:r>
      <w:r w:rsidR="00E4718F">
        <w:t xml:space="preserve"> </w:t>
      </w:r>
      <w:r>
        <w:t>the Treaty on the Southeast Asia Nuclear Weapon-Free Zone (SEANWFZ</w:t>
      </w:r>
      <w:r w:rsidR="00E4718F">
        <w:t xml:space="preserve"> </w:t>
      </w:r>
      <w:r>
        <w:t>Treaty), the 2011 Declaration on the East Asia Summit on the Principles for</w:t>
      </w:r>
      <w:r w:rsidR="00E4718F">
        <w:t xml:space="preserve"> </w:t>
      </w:r>
      <w:r>
        <w:t>Mutually Beneficial Relations and the ASEAN Outlook on the Indo-Pacific (AOIP).</w:t>
      </w:r>
    </w:p>
    <w:p w14:paraId="3DC8429F" w14:textId="77777777" w:rsidR="00E4718F" w:rsidRDefault="00E4718F" w:rsidP="00E4718F">
      <w:pPr>
        <w:spacing w:before="0" w:after="0"/>
      </w:pPr>
    </w:p>
    <w:p w14:paraId="19A75CF9" w14:textId="16380591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strong support towards Malaysia’s key priorities and deliverables</w:t>
      </w:r>
      <w:r w:rsidR="00E4718F">
        <w:t xml:space="preserve"> </w:t>
      </w:r>
      <w:r>
        <w:t>in advancing ASEAN’s collective vision of a resilient, people-</w:t>
      </w:r>
      <w:proofErr w:type="spellStart"/>
      <w:r>
        <w:t>centred</w:t>
      </w:r>
      <w:proofErr w:type="spellEnd"/>
      <w:r>
        <w:t>, and forward-looking ASEAN Community while advancing economic growth and regional</w:t>
      </w:r>
      <w:r w:rsidR="00E4718F">
        <w:t xml:space="preserve"> </w:t>
      </w:r>
      <w:r>
        <w:t>connectivity, and enhancing regional resilience.</w:t>
      </w:r>
    </w:p>
    <w:p w14:paraId="2642AD07" w14:textId="77777777" w:rsidR="00E4718F" w:rsidRDefault="00E4718F" w:rsidP="00E4718F">
      <w:pPr>
        <w:spacing w:before="0" w:after="0"/>
      </w:pPr>
    </w:p>
    <w:p w14:paraId="2E9E72B8" w14:textId="2268E3AD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</w:t>
      </w:r>
      <w:proofErr w:type="spellStart"/>
      <w:r>
        <w:t>emphasised</w:t>
      </w:r>
      <w:proofErr w:type="spellEnd"/>
      <w:r>
        <w:t xml:space="preserve"> the importance of </w:t>
      </w:r>
      <w:proofErr w:type="spellStart"/>
      <w:r>
        <w:t>realising</w:t>
      </w:r>
      <w:proofErr w:type="spellEnd"/>
      <w:r>
        <w:t xml:space="preserve"> these priorities to ensure ASEAN’s</w:t>
      </w:r>
      <w:r w:rsidR="00E4718F">
        <w:t xml:space="preserve"> </w:t>
      </w:r>
      <w:r>
        <w:t>continued role as a key driver of peace, stability, and prosperity in the region, and</w:t>
      </w:r>
      <w:r w:rsidR="00E4718F">
        <w:t xml:space="preserve"> </w:t>
      </w:r>
      <w:r>
        <w:t>looked forward to the successful implementation of these initiatives under</w:t>
      </w:r>
      <w:r w:rsidR="00E4718F">
        <w:t xml:space="preserve"> </w:t>
      </w:r>
      <w:r>
        <w:t>Malaysia’s Chairmanship in an inclusive and sustainable manner.</w:t>
      </w:r>
    </w:p>
    <w:p w14:paraId="3EC46A4E" w14:textId="77777777" w:rsidR="00E4718F" w:rsidRDefault="00E4718F" w:rsidP="00E4718F">
      <w:pPr>
        <w:spacing w:before="0" w:after="0"/>
      </w:pPr>
    </w:p>
    <w:p w14:paraId="677990F2" w14:textId="4FA3E3E6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excellent progress made by the High-Level Task Force on the</w:t>
      </w:r>
      <w:r w:rsidR="00E4718F">
        <w:t xml:space="preserve"> </w:t>
      </w:r>
      <w:r w:rsidR="00250A37">
        <w:br/>
      </w:r>
      <w:r>
        <w:t>ASEAN Community Post-2025 Vision (HLTF-ACV) in developing the Strategic</w:t>
      </w:r>
      <w:r w:rsidR="00E4718F">
        <w:t xml:space="preserve"> </w:t>
      </w:r>
      <w:r>
        <w:t xml:space="preserve">Plans of the </w:t>
      </w:r>
      <w:r w:rsidR="00250A37">
        <w:br/>
      </w:r>
      <w:r>
        <w:t>ASEAN Community Vision 2045 (ACV 2045): Resilient, Innovative,</w:t>
      </w:r>
      <w:r w:rsidR="00E4718F">
        <w:t xml:space="preserve"> </w:t>
      </w:r>
      <w:r>
        <w:t>Dynamic and People-</w:t>
      </w:r>
      <w:proofErr w:type="spellStart"/>
      <w:r>
        <w:t>Centred</w:t>
      </w:r>
      <w:proofErr w:type="spellEnd"/>
      <w:r>
        <w:t xml:space="preserve"> ASEAN. In this regard, we looked forward to the</w:t>
      </w:r>
      <w:r w:rsidR="00E4718F">
        <w:t xml:space="preserve"> </w:t>
      </w:r>
      <w:r>
        <w:t>adoption of the ACV 2045 and all its Strategic Plans at the 46th ASEAN Summit in</w:t>
      </w:r>
      <w:r w:rsidR="00E4718F">
        <w:t xml:space="preserve"> </w:t>
      </w:r>
      <w:r>
        <w:t>Kuala Lumpur. We looked forward to the convening of the ASEAN Future Forum</w:t>
      </w:r>
      <w:r w:rsidR="00E4718F">
        <w:t xml:space="preserve"> </w:t>
      </w:r>
      <w:r>
        <w:t>2025 next month in Ha Noi, Viet Nam, which would continue to complement the</w:t>
      </w:r>
      <w:r w:rsidR="00E4718F">
        <w:t xml:space="preserve"> </w:t>
      </w:r>
      <w:r>
        <w:t>exercise of developing the Strategic Plans of the ASEAN Community Vision 2045</w:t>
      </w:r>
      <w:r w:rsidR="00E4718F">
        <w:t xml:space="preserve"> </w:t>
      </w:r>
      <w:r>
        <w:t>as well as their future implementation.</w:t>
      </w:r>
    </w:p>
    <w:p w14:paraId="1CF15234" w14:textId="77777777" w:rsidR="00E4718F" w:rsidRDefault="00E4718F" w:rsidP="00E4718F">
      <w:pPr>
        <w:spacing w:before="0" w:after="0"/>
      </w:pPr>
    </w:p>
    <w:p w14:paraId="22366685" w14:textId="781C133A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commitment to strengthening ASEAN’s institutional capacity</w:t>
      </w:r>
      <w:r w:rsidR="00E4718F">
        <w:t xml:space="preserve"> </w:t>
      </w:r>
      <w:r>
        <w:t>and effectiveness through enhanced role of the Committee of Permanent</w:t>
      </w:r>
      <w:r w:rsidR="00E4718F">
        <w:t xml:space="preserve"> </w:t>
      </w:r>
      <w:r>
        <w:t>Representatives to ASEAN, and the East Asia Summit Group of Ambassadors, in</w:t>
      </w:r>
      <w:r w:rsidR="00E4718F">
        <w:t xml:space="preserve"> </w:t>
      </w:r>
      <w:r>
        <w:t>discussing and responding to pressing regional challenges.</w:t>
      </w:r>
    </w:p>
    <w:p w14:paraId="1B9D823E" w14:textId="77777777" w:rsidR="00E4718F" w:rsidRDefault="00E4718F" w:rsidP="00E4718F">
      <w:pPr>
        <w:spacing w:before="0" w:after="0"/>
      </w:pPr>
    </w:p>
    <w:p w14:paraId="7F2964BD" w14:textId="357DDD5B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underscored the importance of ASEAN’s efforts in promoting peace, conflict</w:t>
      </w:r>
      <w:r w:rsidR="00E4718F">
        <w:t xml:space="preserve"> </w:t>
      </w:r>
      <w:r>
        <w:t>management and conflict resolution in the region. We recognised the potential of</w:t>
      </w:r>
      <w:r w:rsidR="00E4718F">
        <w:t xml:space="preserve"> </w:t>
      </w:r>
      <w:r>
        <w:t>the ASEAN Institute for Peace and Reconciliation (AIPR) in support of ASEAN’s</w:t>
      </w:r>
      <w:r w:rsidR="00E4718F">
        <w:t xml:space="preserve"> </w:t>
      </w:r>
      <w:r>
        <w:t>efforts in promoting peace and stability in the region.</w:t>
      </w:r>
    </w:p>
    <w:p w14:paraId="3EE0D236" w14:textId="77777777" w:rsidR="00E4718F" w:rsidRDefault="00E4718F" w:rsidP="00E4718F">
      <w:pPr>
        <w:spacing w:before="0" w:after="0"/>
      </w:pPr>
    </w:p>
    <w:p w14:paraId="7ABFE9FA" w14:textId="5D6ADA86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looked forward to the development of the report on complementarities</w:t>
      </w:r>
      <w:r w:rsidR="00E4718F">
        <w:t xml:space="preserve"> </w:t>
      </w:r>
      <w:r>
        <w:t xml:space="preserve">between the </w:t>
      </w:r>
      <w:r w:rsidR="00250A37">
        <w:br/>
      </w:r>
      <w:r>
        <w:t>ASEAN Community Vision 2045 and the UN 2030 Agenda for</w:t>
      </w:r>
      <w:r w:rsidR="00E4718F">
        <w:t xml:space="preserve"> </w:t>
      </w:r>
      <w:r>
        <w:t>Sustainable Development, which will help guide us in advancing our green</w:t>
      </w:r>
      <w:r w:rsidR="00E4718F">
        <w:t xml:space="preserve"> </w:t>
      </w:r>
      <w:r>
        <w:t>agenda, as we strive towards a more sustainable and resilient future, set out in</w:t>
      </w:r>
      <w:r w:rsidR="00E4718F">
        <w:t xml:space="preserve"> </w:t>
      </w:r>
      <w:r>
        <w:t>the ACV 2045.</w:t>
      </w:r>
    </w:p>
    <w:p w14:paraId="7F8A5001" w14:textId="77777777" w:rsidR="00E4718F" w:rsidRDefault="00E4718F" w:rsidP="00E4718F">
      <w:pPr>
        <w:spacing w:before="0" w:after="0"/>
      </w:pPr>
    </w:p>
    <w:p w14:paraId="0C6C6B21" w14:textId="1C02C7C9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commitment to preserve the Southeast Asian region as a</w:t>
      </w:r>
      <w:r w:rsidR="00E4718F">
        <w:t xml:space="preserve"> </w:t>
      </w:r>
      <w:r>
        <w:t>nuclear weapon-free zone and free of all other weapons of mass destruction as</w:t>
      </w:r>
      <w:r w:rsidR="00E4718F">
        <w:t xml:space="preserve"> </w:t>
      </w:r>
      <w:r>
        <w:t>enshrined in the SEANWFZ Treaty and the ASEAN Charter. We noted that the</w:t>
      </w:r>
      <w:r w:rsidR="00E4718F">
        <w:t xml:space="preserve"> </w:t>
      </w:r>
      <w:r>
        <w:t>Executive Committee of the SEANWFZ Commission is continuing to explore the</w:t>
      </w:r>
      <w:r w:rsidR="00E4718F">
        <w:t xml:space="preserve"> </w:t>
      </w:r>
      <w:r>
        <w:t>possibility of allowing individual Nuclear Weapon States (NWS) which are willing</w:t>
      </w:r>
      <w:r w:rsidR="00E4718F">
        <w:t xml:space="preserve"> </w:t>
      </w:r>
      <w:r>
        <w:t>to sign and ratify the Protocol to the SEANWFZ Treaty without reservations and</w:t>
      </w:r>
      <w:r w:rsidR="00E4718F">
        <w:t xml:space="preserve"> </w:t>
      </w:r>
      <w:r>
        <w:t>provide prior formal assurance of this commitment in writing to go ahead with the</w:t>
      </w:r>
      <w:r w:rsidR="00E4718F">
        <w:t xml:space="preserve"> </w:t>
      </w:r>
      <w:r>
        <w:t>signing. We welcome any NWS that are ready to do so. We reaffirmed our</w:t>
      </w:r>
      <w:r w:rsidR="00E4718F">
        <w:t xml:space="preserve"> </w:t>
      </w:r>
      <w:r>
        <w:t>commitment to continuously engage all the NWS, including those with</w:t>
      </w:r>
      <w:r w:rsidR="00E4718F">
        <w:t xml:space="preserve"> </w:t>
      </w:r>
      <w:r>
        <w:t>reservations, and intensify efforts of all parties to resolve all outstanding issues in</w:t>
      </w:r>
      <w:r w:rsidR="00E4718F">
        <w:t xml:space="preserve"> </w:t>
      </w:r>
      <w:r>
        <w:t>accordance with the objectives and principles of the SEANWFZ Treaty.</w:t>
      </w:r>
    </w:p>
    <w:p w14:paraId="0B9DBAE8" w14:textId="77777777" w:rsidR="00E4718F" w:rsidRDefault="00E4718F" w:rsidP="00E4718F">
      <w:pPr>
        <w:spacing w:before="0" w:after="0"/>
      </w:pPr>
    </w:p>
    <w:p w14:paraId="47B457C9" w14:textId="6E23D4EF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progress of the negotiations on the Code of Conduct in the</w:t>
      </w:r>
      <w:r w:rsidR="00E4718F">
        <w:t xml:space="preserve"> </w:t>
      </w:r>
      <w:r>
        <w:t>South China Sea (COC), including the completion of the third reading of the Single</w:t>
      </w:r>
      <w:r w:rsidR="00E4718F">
        <w:t xml:space="preserve"> </w:t>
      </w:r>
      <w:r>
        <w:t xml:space="preserve">Draft COC Negotiating Text (SDNT), and </w:t>
      </w:r>
      <w:proofErr w:type="spellStart"/>
      <w:r>
        <w:t>emphasised</w:t>
      </w:r>
      <w:proofErr w:type="spellEnd"/>
      <w:r>
        <w:t xml:space="preserve"> the importance of</w:t>
      </w:r>
      <w:r w:rsidR="00E4718F">
        <w:t xml:space="preserve"> </w:t>
      </w:r>
      <w:r>
        <w:t>maintaining positive momentum in this regard, towards the early conclusion of an</w:t>
      </w:r>
      <w:r w:rsidR="00E4718F">
        <w:t xml:space="preserve"> </w:t>
      </w:r>
      <w:r>
        <w:t>effective and substantive COC that is in accordance with international law,</w:t>
      </w:r>
      <w:r w:rsidR="00E4718F">
        <w:t xml:space="preserve"> </w:t>
      </w:r>
      <w:r>
        <w:t>including the 1982 UNCLOS.</w:t>
      </w:r>
    </w:p>
    <w:p w14:paraId="2E0BCA2B" w14:textId="77777777" w:rsidR="00E4718F" w:rsidRDefault="00E4718F" w:rsidP="00E4718F">
      <w:pPr>
        <w:spacing w:before="0" w:after="0"/>
      </w:pPr>
    </w:p>
    <w:p w14:paraId="6635CDF5" w14:textId="72D163AF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collective resolve to combat transnational crime, including</w:t>
      </w:r>
      <w:r w:rsidR="00E4718F">
        <w:t xml:space="preserve"> </w:t>
      </w:r>
      <w:r>
        <w:t>people smuggling, trafficking in persons, drug trafficking, cybercrime, money</w:t>
      </w:r>
      <w:r w:rsidR="00E4718F">
        <w:t xml:space="preserve"> </w:t>
      </w:r>
      <w:r>
        <w:t>laundering, and the growing threat of online scams. We welcomed the inaugural</w:t>
      </w:r>
      <w:r w:rsidR="00E4718F">
        <w:t xml:space="preserve"> </w:t>
      </w:r>
      <w:r>
        <w:t>meeting of the ASEAN Senior Officials’ Meeting on Transnational Crime (SOMTC)</w:t>
      </w:r>
      <w:r w:rsidR="00E4718F">
        <w:t xml:space="preserve"> </w:t>
      </w:r>
      <w:r>
        <w:t>Working Group on People Smuggling and the proposal to establish the Working</w:t>
      </w:r>
      <w:r w:rsidR="00E4718F">
        <w:t xml:space="preserve"> </w:t>
      </w:r>
      <w:r>
        <w:t>Group on Money Laundering as significant mechanisms to enhance regional</w:t>
      </w:r>
      <w:r w:rsidR="00E4718F">
        <w:t xml:space="preserve"> </w:t>
      </w:r>
      <w:r>
        <w:t>capacity and coordination, contributing to strengthening regional security.</w:t>
      </w:r>
    </w:p>
    <w:p w14:paraId="442AB6C8" w14:textId="77777777" w:rsidR="00E4718F" w:rsidRDefault="00E4718F" w:rsidP="00E4718F">
      <w:pPr>
        <w:spacing w:before="0" w:after="0"/>
      </w:pPr>
    </w:p>
    <w:p w14:paraId="298529F2" w14:textId="7E041625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stressed the importance of intensifying regional cooperation to effectively</w:t>
      </w:r>
      <w:r w:rsidR="00E4718F">
        <w:t xml:space="preserve"> </w:t>
      </w:r>
      <w:r>
        <w:t>address cyber threats, as ASEAN continues to advance in its digital</w:t>
      </w:r>
      <w:r w:rsidR="00E4718F">
        <w:t xml:space="preserve"> </w:t>
      </w:r>
      <w:r>
        <w:t>transformation. We welcomed the establishment of the ASEAN Regional</w:t>
      </w:r>
      <w:r w:rsidR="00E4718F">
        <w:t xml:space="preserve"> </w:t>
      </w:r>
      <w:r>
        <w:t>Computer Emergency Response Team (CERT) located in Singapore with</w:t>
      </w:r>
      <w:r w:rsidR="00E4718F">
        <w:t xml:space="preserve"> </w:t>
      </w:r>
      <w:r>
        <w:t>Malaysia as first regional coordinator. We reaffirmed our commitment to</w:t>
      </w:r>
      <w:r w:rsidR="00E4718F">
        <w:t xml:space="preserve"> </w:t>
      </w:r>
      <w:r>
        <w:t>advancing CERT-related information sharing and capacity building that will enable</w:t>
      </w:r>
      <w:r w:rsidR="00E4718F">
        <w:t xml:space="preserve"> </w:t>
      </w:r>
      <w:r>
        <w:t>ASEAN Member States to quickly exchange information and where appropriate,</w:t>
      </w:r>
      <w:r w:rsidR="00E4718F">
        <w:t xml:space="preserve"> </w:t>
      </w:r>
      <w:r>
        <w:t>work together to address common threats.</w:t>
      </w:r>
    </w:p>
    <w:p w14:paraId="14AADE3F" w14:textId="77777777" w:rsidR="002A6BAE" w:rsidRDefault="002A6BAE" w:rsidP="00E4718F">
      <w:pPr>
        <w:spacing w:before="0" w:after="0"/>
      </w:pPr>
    </w:p>
    <w:p w14:paraId="6CFAE385" w14:textId="47D7F3C1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reaffirmed the roles of the ASEAN </w:t>
      </w:r>
      <w:proofErr w:type="spellStart"/>
      <w:r>
        <w:t>Defence</w:t>
      </w:r>
      <w:proofErr w:type="spellEnd"/>
      <w:r>
        <w:t xml:space="preserve"> Ministers’ Meeting (ADMM) and</w:t>
      </w:r>
      <w:r>
        <w:t xml:space="preserve"> </w:t>
      </w:r>
      <w:r>
        <w:t>ADMM-Plus in promoting strategic dialogue and enhancing practical cooperation</w:t>
      </w:r>
      <w:r>
        <w:t xml:space="preserve"> </w:t>
      </w:r>
      <w:r>
        <w:t>including through the seven ADMM-Plus Experts’ Working Groups. We welcomed</w:t>
      </w:r>
      <w:r>
        <w:t xml:space="preserve"> </w:t>
      </w:r>
      <w:r>
        <w:t>the progress in enhancing civil-military coordination for the management of</w:t>
      </w:r>
      <w:r>
        <w:t xml:space="preserve"> </w:t>
      </w:r>
      <w:r>
        <w:t>Humanitarian Assistance and Disaster Relief (HADR) efforts. We commended</w:t>
      </w:r>
      <w:r>
        <w:t xml:space="preserve"> </w:t>
      </w:r>
      <w:r>
        <w:t>efforts to advance discussions on the proposed application of artificial intelligence</w:t>
      </w:r>
      <w:r>
        <w:t xml:space="preserve"> </w:t>
      </w:r>
      <w:r>
        <w:t xml:space="preserve">(AI) in the </w:t>
      </w:r>
      <w:proofErr w:type="spellStart"/>
      <w:r>
        <w:t>defence</w:t>
      </w:r>
      <w:proofErr w:type="spellEnd"/>
      <w:r>
        <w:t xml:space="preserve"> sector and supported the strengthening of cooperation among</w:t>
      </w:r>
      <w:r>
        <w:t xml:space="preserve"> </w:t>
      </w:r>
      <w:r>
        <w:t xml:space="preserve">ASEAN Member States in the </w:t>
      </w:r>
      <w:proofErr w:type="spellStart"/>
      <w:r>
        <w:t>defence</w:t>
      </w:r>
      <w:proofErr w:type="spellEnd"/>
      <w:r>
        <w:t xml:space="preserve"> industry.</w:t>
      </w:r>
    </w:p>
    <w:p w14:paraId="6690B92A" w14:textId="77777777" w:rsidR="002A6BAE" w:rsidRDefault="002A6BAE" w:rsidP="00E4718F">
      <w:pPr>
        <w:spacing w:before="0" w:after="0"/>
      </w:pPr>
    </w:p>
    <w:p w14:paraId="2B5FEA8D" w14:textId="5F4C9AEF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the convening of the Dialogue among ASEAN National</w:t>
      </w:r>
      <w:r>
        <w:t xml:space="preserve"> </w:t>
      </w:r>
      <w:r>
        <w:t>Security Advisors as a forum to address issues of strategic concern and to</w:t>
      </w:r>
      <w:r>
        <w:t xml:space="preserve"> </w:t>
      </w:r>
      <w:r>
        <w:t>contribute to strengthening the resilience and institutional capacity of ASEAN and</w:t>
      </w:r>
      <w:r>
        <w:t xml:space="preserve"> </w:t>
      </w:r>
      <w:r>
        <w:t>ASEAN-led mechanisms as well as in shaping the region’s inclusive and</w:t>
      </w:r>
      <w:r>
        <w:t xml:space="preserve"> </w:t>
      </w:r>
      <w:r>
        <w:t>comprehensive security architecture.</w:t>
      </w:r>
    </w:p>
    <w:p w14:paraId="32F593D8" w14:textId="77777777" w:rsidR="002A6BAE" w:rsidRDefault="002A6BAE" w:rsidP="00E4718F">
      <w:pPr>
        <w:spacing w:before="0" w:after="0"/>
      </w:pPr>
    </w:p>
    <w:p w14:paraId="72B867F3" w14:textId="7B0C3E62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regional cooperation in international commercial arbitration and</w:t>
      </w:r>
      <w:r>
        <w:t xml:space="preserve"> </w:t>
      </w:r>
      <w:r>
        <w:t>mediation. These efforts aim to foster a robust arbitration and mediation</w:t>
      </w:r>
      <w:r>
        <w:t xml:space="preserve"> </w:t>
      </w:r>
      <w:r>
        <w:t>landscape in accordance with established international standards to drive</w:t>
      </w:r>
      <w:r>
        <w:t xml:space="preserve"> </w:t>
      </w:r>
      <w:r>
        <w:t>economic growth in the region.</w:t>
      </w:r>
    </w:p>
    <w:p w14:paraId="6FD63598" w14:textId="77777777" w:rsidR="002A6BAE" w:rsidRDefault="002A6BAE" w:rsidP="00E4718F">
      <w:pPr>
        <w:spacing w:before="0" w:after="0"/>
      </w:pPr>
    </w:p>
    <w:p w14:paraId="31C1538E" w14:textId="586076FB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reaffirmed our commitment to the ASEAN economic agenda, particularly on</w:t>
      </w:r>
      <w:r>
        <w:t xml:space="preserve"> </w:t>
      </w:r>
      <w:r>
        <w:t>enhancing the region’s competitiveness and resilience in a time of digital</w:t>
      </w:r>
      <w:r>
        <w:t xml:space="preserve"> </w:t>
      </w:r>
      <w:r>
        <w:t>transformation and in the face of an increasingly complex and unpredictable global</w:t>
      </w:r>
      <w:r>
        <w:t xml:space="preserve"> </w:t>
      </w:r>
      <w:r>
        <w:t xml:space="preserve">environment. We are encouraged by ASEAN’s </w:t>
      </w:r>
      <w:r w:rsidR="00250A37">
        <w:br/>
      </w:r>
      <w:r>
        <w:t>on-going efforts toward developing</w:t>
      </w:r>
      <w:r>
        <w:t xml:space="preserve"> </w:t>
      </w:r>
      <w:r>
        <w:t>a comprehensive, high-quality, and forward-looking ASEAN Digital Economy</w:t>
      </w:r>
      <w:r>
        <w:t xml:space="preserve"> </w:t>
      </w:r>
      <w:r>
        <w:t>Framework Agreement (DEFA) and looked forward to its conclusion by 2025. We</w:t>
      </w:r>
      <w:r>
        <w:t xml:space="preserve"> </w:t>
      </w:r>
      <w:r>
        <w:t>underscored the need to leverage our collective strengths and harness</w:t>
      </w:r>
      <w:r>
        <w:t xml:space="preserve"> </w:t>
      </w:r>
      <w:proofErr w:type="spellStart"/>
      <w:r>
        <w:t>digitalisation</w:t>
      </w:r>
      <w:proofErr w:type="spellEnd"/>
      <w:r>
        <w:t xml:space="preserve"> to foster deeper economic integration, and promote sustainable and</w:t>
      </w:r>
      <w:r>
        <w:t xml:space="preserve"> </w:t>
      </w:r>
      <w:r>
        <w:t xml:space="preserve">inclusive growth to ensure the </w:t>
      </w:r>
      <w:r w:rsidR="00250A37">
        <w:br/>
      </w:r>
      <w:r>
        <w:t>long-term prosperity and stability of the region and</w:t>
      </w:r>
      <w:r>
        <w:t xml:space="preserve"> </w:t>
      </w:r>
      <w:r>
        <w:t>our peoples.</w:t>
      </w:r>
    </w:p>
    <w:p w14:paraId="1377A86E" w14:textId="77777777" w:rsidR="002A6BAE" w:rsidRDefault="002A6BAE" w:rsidP="00E4718F">
      <w:pPr>
        <w:spacing w:before="0" w:after="0"/>
      </w:pPr>
    </w:p>
    <w:p w14:paraId="2ECC681D" w14:textId="23A0D457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full support for Malaysia’s priorities to navigate the region’s</w:t>
      </w:r>
      <w:r>
        <w:t xml:space="preserve"> </w:t>
      </w:r>
      <w:r>
        <w:t>economic agenda. We looked forward to the implementation of the Priority</w:t>
      </w:r>
      <w:r>
        <w:t xml:space="preserve"> </w:t>
      </w:r>
      <w:r>
        <w:t>Economic Deliverables (PEDs), anchored by four (4) Strategic Thrusts namely (</w:t>
      </w:r>
      <w:proofErr w:type="spellStart"/>
      <w:r>
        <w:t>i</w:t>
      </w:r>
      <w:proofErr w:type="spellEnd"/>
      <w:r>
        <w:t>)</w:t>
      </w:r>
      <w:r>
        <w:t xml:space="preserve"> </w:t>
      </w:r>
      <w:r>
        <w:t>Enhancing Trade and Investment; (ii) Creating an Inclusive and Sustainable</w:t>
      </w:r>
      <w:r>
        <w:t xml:space="preserve"> </w:t>
      </w:r>
      <w:r>
        <w:t>Pathway; (iii) Promoting Integration and Connectivity of Economies; and (iv)</w:t>
      </w:r>
      <w:r>
        <w:t xml:space="preserve"> </w:t>
      </w:r>
      <w:r>
        <w:t>Building a Digitally Resilient ASEAN that reflects a holistic and forward-looking</w:t>
      </w:r>
      <w:r>
        <w:t xml:space="preserve"> </w:t>
      </w:r>
      <w:r>
        <w:t>approach to advancing ASEAN’s economic objectives while addressing key</w:t>
      </w:r>
      <w:r>
        <w:t xml:space="preserve"> </w:t>
      </w:r>
      <w:r>
        <w:t>regional challenges and opportunities.</w:t>
      </w:r>
    </w:p>
    <w:p w14:paraId="5F21099C" w14:textId="77777777" w:rsidR="002A6BAE" w:rsidRDefault="002A6BAE" w:rsidP="00E4718F">
      <w:pPr>
        <w:spacing w:before="0" w:after="0"/>
      </w:pPr>
    </w:p>
    <w:p w14:paraId="535408C4" w14:textId="0FD708EC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underscored the importance of elevating culture and heritage value creation,</w:t>
      </w:r>
      <w:r>
        <w:t xml:space="preserve"> </w:t>
      </w:r>
      <w:r>
        <w:t>targeted towards harnessing the rich cultural diversity and heritage assets of</w:t>
      </w:r>
      <w:r>
        <w:t xml:space="preserve"> </w:t>
      </w:r>
      <w:r>
        <w:t>Member States to contribute towards enhanced economic growth, cultural</w:t>
      </w:r>
      <w:r>
        <w:t xml:space="preserve"> </w:t>
      </w:r>
      <w:r>
        <w:t>resilience and sustainable development.</w:t>
      </w:r>
    </w:p>
    <w:p w14:paraId="66C67158" w14:textId="77777777" w:rsidR="002A6BAE" w:rsidRDefault="002A6BAE" w:rsidP="00E4718F">
      <w:pPr>
        <w:spacing w:before="0" w:after="0"/>
      </w:pPr>
    </w:p>
    <w:p w14:paraId="35F2204E" w14:textId="12B62E53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acknowledged the need to advance regional efforts in addressing</w:t>
      </w:r>
      <w:r>
        <w:t xml:space="preserve"> </w:t>
      </w:r>
      <w:r>
        <w:t>environmental challenges, including biodiversity loss, climate change, natural</w:t>
      </w:r>
      <w:r>
        <w:t xml:space="preserve"> </w:t>
      </w:r>
      <w:r>
        <w:t>disasters, sustainable use and management of water resources, among others,</w:t>
      </w:r>
      <w:r>
        <w:t xml:space="preserve"> </w:t>
      </w:r>
      <w:r>
        <w:t>towards promoting sustainable development and achieving carbon neutrality</w:t>
      </w:r>
      <w:r>
        <w:t xml:space="preserve"> </w:t>
      </w:r>
      <w:r>
        <w:t>through stewardship, partnership, and ownership. We looked forward to the early</w:t>
      </w:r>
      <w:r>
        <w:t xml:space="preserve"> </w:t>
      </w:r>
      <w:proofErr w:type="spellStart"/>
      <w:r>
        <w:t>operationalisation</w:t>
      </w:r>
      <w:proofErr w:type="spellEnd"/>
      <w:r>
        <w:t xml:space="preserve"> of the ASEAN Centre for Climate Change.</w:t>
      </w:r>
    </w:p>
    <w:p w14:paraId="6D49E7B1" w14:textId="77777777" w:rsidR="002A6BAE" w:rsidRDefault="002A6BAE" w:rsidP="00E4718F">
      <w:pPr>
        <w:spacing w:before="0" w:after="0"/>
      </w:pPr>
    </w:p>
    <w:p w14:paraId="0A5D553E" w14:textId="32A3417C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reaffirmed our commitment to </w:t>
      </w:r>
      <w:proofErr w:type="spellStart"/>
      <w:r>
        <w:t>realise</w:t>
      </w:r>
      <w:proofErr w:type="spellEnd"/>
      <w:r>
        <w:t xml:space="preserve"> the ASEAN Power Grid (APG) by 2045,</w:t>
      </w:r>
      <w:r>
        <w:t xml:space="preserve"> </w:t>
      </w:r>
      <w:r>
        <w:t>and encouraged efforts to accelerate the establishment of the APG to promote</w:t>
      </w:r>
      <w:r>
        <w:t xml:space="preserve"> </w:t>
      </w:r>
      <w:r>
        <w:t>regional energy connectivity, security, and resilience.</w:t>
      </w:r>
    </w:p>
    <w:p w14:paraId="63CB8BD7" w14:textId="77777777" w:rsidR="002A6BAE" w:rsidRDefault="002A6BAE" w:rsidP="00E4718F">
      <w:pPr>
        <w:spacing w:before="0" w:after="0"/>
      </w:pPr>
    </w:p>
    <w:p w14:paraId="2B0BFD14" w14:textId="05843025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commitment to advancing green jobs and skills to drive</w:t>
      </w:r>
      <w:r>
        <w:t xml:space="preserve"> </w:t>
      </w:r>
      <w:r>
        <w:t>sustainable and inclusive development across ASEAN.</w:t>
      </w:r>
    </w:p>
    <w:p w14:paraId="0D3B54E4" w14:textId="77777777" w:rsidR="002A6BAE" w:rsidRDefault="002A6BAE" w:rsidP="00E4718F">
      <w:pPr>
        <w:spacing w:before="0" w:after="0"/>
      </w:pPr>
    </w:p>
    <w:p w14:paraId="1077AEB7" w14:textId="1BFBBA22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resolve to strengthen regional capacities for the prevention,</w:t>
      </w:r>
      <w:r>
        <w:t xml:space="preserve"> </w:t>
      </w:r>
      <w:r>
        <w:t>preparedness, and response to public health emergencies for a healthy, resilient</w:t>
      </w:r>
      <w:r>
        <w:t xml:space="preserve"> </w:t>
      </w:r>
      <w:r>
        <w:t>and prosperous ASEAN.</w:t>
      </w:r>
    </w:p>
    <w:p w14:paraId="209976E1" w14:textId="77777777" w:rsidR="002A6BAE" w:rsidRDefault="002A6BAE" w:rsidP="00E4718F">
      <w:pPr>
        <w:spacing w:before="0" w:after="0"/>
      </w:pPr>
    </w:p>
    <w:p w14:paraId="1E8F9068" w14:textId="2A01157A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the commitment to further promote equitable, inclusive and</w:t>
      </w:r>
      <w:r>
        <w:t xml:space="preserve"> </w:t>
      </w:r>
      <w:r>
        <w:t>sustainable development across the ASEAN Community by aligning sub-regional</w:t>
      </w:r>
      <w:r>
        <w:t xml:space="preserve"> </w:t>
      </w:r>
      <w:r>
        <w:t>growth with the comprehensive development of ASEAN.</w:t>
      </w:r>
    </w:p>
    <w:p w14:paraId="2A18AA49" w14:textId="77777777" w:rsidR="002A6BAE" w:rsidRDefault="002A6BAE" w:rsidP="00E4718F">
      <w:pPr>
        <w:spacing w:before="0" w:after="0"/>
      </w:pPr>
    </w:p>
    <w:p w14:paraId="6635286F" w14:textId="7EAE4BCB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</w:t>
      </w:r>
      <w:proofErr w:type="spellStart"/>
      <w:r>
        <w:t>emphasised</w:t>
      </w:r>
      <w:proofErr w:type="spellEnd"/>
      <w:r>
        <w:t xml:space="preserve"> the importance of enhanced ASEAN-wide collaboration, focusing</w:t>
      </w:r>
      <w:r>
        <w:t xml:space="preserve"> </w:t>
      </w:r>
      <w:r>
        <w:t>on innovation and engagement to advance youth development and sports</w:t>
      </w:r>
      <w:r>
        <w:t xml:space="preserve"> </w:t>
      </w:r>
      <w:r>
        <w:t>excellence.</w:t>
      </w:r>
    </w:p>
    <w:p w14:paraId="49F704C4" w14:textId="77777777" w:rsidR="002A6BAE" w:rsidRDefault="002A6BAE" w:rsidP="00E4718F">
      <w:pPr>
        <w:spacing w:before="0" w:after="0"/>
      </w:pPr>
    </w:p>
    <w:p w14:paraId="268F8910" w14:textId="03E914D3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Timor-Leste being a full member of ASEAN, and recognised</w:t>
      </w:r>
      <w:r>
        <w:t xml:space="preserve"> </w:t>
      </w:r>
      <w:r>
        <w:t>the progress made by Timor-Leste in implementing the Roadmap for Timor-Leste’s Full Membership, as well as welcomed the enhanced participation of</w:t>
      </w:r>
      <w:r>
        <w:t xml:space="preserve"> </w:t>
      </w:r>
      <w:r>
        <w:t>Timor-Leste in ASEAN Meetings following the adoption of the revised Guidelines</w:t>
      </w:r>
      <w:r>
        <w:t xml:space="preserve"> </w:t>
      </w:r>
      <w:r>
        <w:t>for the Implementation of the Observer Status Granted to Timor-Leste. We</w:t>
      </w:r>
      <w:r>
        <w:t xml:space="preserve"> </w:t>
      </w:r>
      <w:r>
        <w:t>reiterated our commitment, and called on our external partners to continue</w:t>
      </w:r>
      <w:r>
        <w:t xml:space="preserve"> </w:t>
      </w:r>
      <w:r>
        <w:t>providing capacity building assistance to Timor-Leste. We looked forward to the</w:t>
      </w:r>
      <w:r>
        <w:t xml:space="preserve"> </w:t>
      </w:r>
      <w:r>
        <w:t>establishment of the Timor-Leste Unit in the ASEAN Secretariat, to intensify</w:t>
      </w:r>
      <w:r>
        <w:t xml:space="preserve"> </w:t>
      </w:r>
      <w:r>
        <w:t>efforts in facilitating Timor-Leste’s accession to ASEAN.</w:t>
      </w:r>
    </w:p>
    <w:p w14:paraId="1B4FD759" w14:textId="77777777" w:rsidR="002A6BAE" w:rsidRDefault="002A6BAE" w:rsidP="00E4718F">
      <w:pPr>
        <w:spacing w:before="0" w:after="0"/>
      </w:pPr>
    </w:p>
    <w:p w14:paraId="6E38892A" w14:textId="46CEEB89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are convinced that ASEAN can play a greater role in fostering a stable and</w:t>
      </w:r>
      <w:r>
        <w:t xml:space="preserve"> </w:t>
      </w:r>
      <w:r>
        <w:t>predictable environment through adherence to principles of international law,</w:t>
      </w:r>
      <w:r>
        <w:t xml:space="preserve"> </w:t>
      </w:r>
      <w:r>
        <w:t>mutual respect, and the peaceful resolution of disputes, including full respect for</w:t>
      </w:r>
      <w:r>
        <w:t xml:space="preserve"> </w:t>
      </w:r>
      <w:r>
        <w:t>legal and diplomatic processes, without resorting to the threat or use of force, in</w:t>
      </w:r>
      <w:r>
        <w:t xml:space="preserve"> </w:t>
      </w:r>
      <w:r>
        <w:t>accordance with the universally recognised principles of international law,</w:t>
      </w:r>
      <w:r>
        <w:t xml:space="preserve"> </w:t>
      </w:r>
      <w:r>
        <w:t>including the 1982 UNCLOS. We also underscored the importance of the full and</w:t>
      </w:r>
      <w:r>
        <w:t xml:space="preserve"> </w:t>
      </w:r>
      <w:r>
        <w:t>effective implementation of the 2002 Declaration on the Conduct of Parties in the</w:t>
      </w:r>
      <w:r>
        <w:t xml:space="preserve"> </w:t>
      </w:r>
      <w:r>
        <w:t>South China Sea (DOC) in its entirety. We reaffirmed our steadfast commitment</w:t>
      </w:r>
      <w:r>
        <w:t xml:space="preserve"> </w:t>
      </w:r>
      <w:r>
        <w:t>to an ASEAN-</w:t>
      </w:r>
      <w:proofErr w:type="spellStart"/>
      <w:r>
        <w:t>centred</w:t>
      </w:r>
      <w:proofErr w:type="spellEnd"/>
      <w:r>
        <w:t>, open, inclusive, transparent, resilient, and rules-based</w:t>
      </w:r>
      <w:r>
        <w:t xml:space="preserve"> </w:t>
      </w:r>
      <w:r>
        <w:t>regional architecture that upholds international law, in light of evolving regional</w:t>
      </w:r>
      <w:r>
        <w:t xml:space="preserve"> </w:t>
      </w:r>
      <w:r>
        <w:t>and international challenges.</w:t>
      </w:r>
    </w:p>
    <w:p w14:paraId="643F7D1F" w14:textId="77777777" w:rsidR="002A6BAE" w:rsidRDefault="002A6BAE" w:rsidP="00E4718F">
      <w:pPr>
        <w:spacing w:before="0" w:after="0"/>
      </w:pPr>
    </w:p>
    <w:p w14:paraId="7887ECE8" w14:textId="4378DA6A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noted the UN General Assembly Resolution A/RES/79/144 </w:t>
      </w:r>
      <w:proofErr w:type="spellStart"/>
      <w:r>
        <w:t>emphasising</w:t>
      </w:r>
      <w:proofErr w:type="spellEnd"/>
      <w:r>
        <w:t xml:space="preserve"> in</w:t>
      </w:r>
      <w:r>
        <w:t xml:space="preserve"> </w:t>
      </w:r>
      <w:r>
        <w:t>the Preamble, the universal and unified character of the 1982 UNCLOS, and</w:t>
      </w:r>
      <w:r>
        <w:t xml:space="preserve"> </w:t>
      </w:r>
      <w:r>
        <w:t>reaffirmed that the Convention sets out the legal framework within which all</w:t>
      </w:r>
      <w:r>
        <w:t xml:space="preserve"> </w:t>
      </w:r>
      <w:r>
        <w:t>activities in the oceans and seas must be carried out and is of strategic importance</w:t>
      </w:r>
      <w:r>
        <w:t xml:space="preserve"> </w:t>
      </w:r>
      <w:r>
        <w:t>as the basis for national, regional and global action and cooperation in the marine</w:t>
      </w:r>
      <w:r>
        <w:t xml:space="preserve"> </w:t>
      </w:r>
      <w:r>
        <w:t>sector, and that its integrity needs to be maintained.</w:t>
      </w:r>
    </w:p>
    <w:p w14:paraId="633AF6C6" w14:textId="77777777" w:rsidR="002A6BAE" w:rsidRDefault="002A6BAE" w:rsidP="00E4718F">
      <w:pPr>
        <w:spacing w:before="0" w:after="0"/>
      </w:pPr>
    </w:p>
    <w:p w14:paraId="1C3BEE22" w14:textId="62ECAA0E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the importance of the TAC as the key code of conduct in</w:t>
      </w:r>
      <w:r>
        <w:t xml:space="preserve"> </w:t>
      </w:r>
      <w:r>
        <w:t>governing inter-state relations in the region and as a foundation for maintaining</w:t>
      </w:r>
      <w:r>
        <w:t xml:space="preserve"> </w:t>
      </w:r>
      <w:r>
        <w:t>regional peace and stability. We called on all High Contracting Parties to fulfil</w:t>
      </w:r>
      <w:r>
        <w:t xml:space="preserve"> </w:t>
      </w:r>
      <w:r>
        <w:t>their obligations under the Treaty. We welcomed the growing interest of non-regional countries to accede to the TAC, on the basis of respect for and in</w:t>
      </w:r>
      <w:r>
        <w:t xml:space="preserve"> </w:t>
      </w:r>
      <w:r>
        <w:t>conformity with the purposes and principles of the TAC. We are committed to</w:t>
      </w:r>
      <w:r>
        <w:t xml:space="preserve"> </w:t>
      </w:r>
      <w:r>
        <w:t>strengthening relations with ASEAN’s current partners and engaging those who</w:t>
      </w:r>
      <w:r>
        <w:t xml:space="preserve"> </w:t>
      </w:r>
      <w:r>
        <w:t>have acceded to the TAC. We also looked forward to substantive preparations</w:t>
      </w:r>
      <w:r>
        <w:t xml:space="preserve"> </w:t>
      </w:r>
      <w:r>
        <w:t>of the 50th anniversary of the TAC next year.</w:t>
      </w:r>
    </w:p>
    <w:p w14:paraId="13E8621B" w14:textId="77777777" w:rsidR="002A6BAE" w:rsidRDefault="002A6BAE" w:rsidP="00E4718F">
      <w:pPr>
        <w:spacing w:before="0" w:after="0"/>
      </w:pPr>
    </w:p>
    <w:p w14:paraId="79CE2F34" w14:textId="297743CD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underscored the value and relevance of the AOIP in promoting regional</w:t>
      </w:r>
      <w:r>
        <w:t xml:space="preserve"> </w:t>
      </w:r>
      <w:r>
        <w:t>peace, security, stability, and prosperity in light of geopolitical tensions affecting</w:t>
      </w:r>
      <w:r>
        <w:t xml:space="preserve"> </w:t>
      </w:r>
      <w:r>
        <w:t>the region, including in building mutual trust and confidence as well as</w:t>
      </w:r>
      <w:r>
        <w:t xml:space="preserve"> </w:t>
      </w:r>
      <w:r>
        <w:t>reinforcing an open, transparent, resilient, inclusive, and rules-based regional</w:t>
      </w:r>
      <w:r>
        <w:t xml:space="preserve"> </w:t>
      </w:r>
      <w:r>
        <w:t>architecture with ASEAN at the centre that upholds international law. We noted</w:t>
      </w:r>
      <w:r>
        <w:t xml:space="preserve"> </w:t>
      </w:r>
      <w:r>
        <w:t>the establishment of the ASEAN Indo-Pacific Business Network (AIPBN) and</w:t>
      </w:r>
      <w:r>
        <w:t xml:space="preserve"> </w:t>
      </w:r>
      <w:r>
        <w:t>the intention to convene the ASEAN Indo-Pacific Forum this year.</w:t>
      </w:r>
    </w:p>
    <w:p w14:paraId="59B10EF6" w14:textId="77777777" w:rsidR="002A6BAE" w:rsidRDefault="002A6BAE" w:rsidP="00E4718F">
      <w:pPr>
        <w:spacing w:before="0" w:after="0"/>
      </w:pPr>
    </w:p>
    <w:p w14:paraId="0EF220FC" w14:textId="052BFE5F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commitment to promote the implementation of concrete AOIP</w:t>
      </w:r>
      <w:r>
        <w:t xml:space="preserve"> </w:t>
      </w:r>
      <w:r>
        <w:t>projects and activities, under the four priority areas in our engagement with</w:t>
      </w:r>
      <w:r>
        <w:t xml:space="preserve"> </w:t>
      </w:r>
      <w:r>
        <w:t>external partners, through the various ASEAN-led mechanisms. We</w:t>
      </w:r>
      <w:r>
        <w:t xml:space="preserve"> </w:t>
      </w:r>
      <w:r>
        <w:t>underscored the importance of advancing an AOIP that builds mutual trust and</w:t>
      </w:r>
      <w:r>
        <w:t xml:space="preserve"> </w:t>
      </w:r>
      <w:r>
        <w:t>confidence as well as reinforce an open, transparent, resilient, inclusive, and</w:t>
      </w:r>
      <w:r>
        <w:t xml:space="preserve"> </w:t>
      </w:r>
      <w:r>
        <w:t>rules-based regional architecture with ASEAN at the centre that upholds</w:t>
      </w:r>
      <w:r>
        <w:t xml:space="preserve"> </w:t>
      </w:r>
      <w:r>
        <w:t>international law.</w:t>
      </w:r>
    </w:p>
    <w:p w14:paraId="3A157EE2" w14:textId="77777777" w:rsidR="002A6BAE" w:rsidRDefault="002A6BAE" w:rsidP="00E4718F">
      <w:pPr>
        <w:spacing w:before="0" w:after="0"/>
      </w:pPr>
    </w:p>
    <w:p w14:paraId="03FDAD31" w14:textId="51DAF9E5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the importance of strengthening ASEAN unity and Centrality, and</w:t>
      </w:r>
      <w:r>
        <w:t xml:space="preserve"> </w:t>
      </w:r>
      <w:r>
        <w:t>our strong commitment to shaping and leading the evolving regional architecture</w:t>
      </w:r>
      <w:r>
        <w:t xml:space="preserve"> </w:t>
      </w:r>
      <w:r>
        <w:t>through existing ASEAN-led mechanisms. We agreed to conduct our</w:t>
      </w:r>
      <w:r>
        <w:t xml:space="preserve"> </w:t>
      </w:r>
      <w:r>
        <w:t>engagement with external partners based on shared interest, constructive</w:t>
      </w:r>
      <w:r>
        <w:t xml:space="preserve"> </w:t>
      </w:r>
      <w:r>
        <w:t>engagement, and mutual benefit, underpinned by ASEAN Centrality, which</w:t>
      </w:r>
      <w:r>
        <w:t xml:space="preserve"> </w:t>
      </w:r>
      <w:r>
        <w:t>would contribute to the implementation of the ASEAN Community Vision 2045.</w:t>
      </w:r>
      <w:r>
        <w:t xml:space="preserve"> </w:t>
      </w:r>
      <w:r>
        <w:t>We looked forward to the adoption of the 7 Plans of Action between ASEAN and</w:t>
      </w:r>
      <w:r>
        <w:t xml:space="preserve"> </w:t>
      </w:r>
      <w:r>
        <w:t>the relevant Dialogue Partners for the new period beginning in 2026.</w:t>
      </w:r>
    </w:p>
    <w:p w14:paraId="14DCAE09" w14:textId="77777777" w:rsidR="002A6BAE" w:rsidRDefault="002A6BAE" w:rsidP="00E4718F">
      <w:pPr>
        <w:spacing w:before="0" w:after="0"/>
      </w:pPr>
    </w:p>
    <w:p w14:paraId="019FCD0A" w14:textId="43637739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the ASEAN-New Zealand Commemorative Summit in</w:t>
      </w:r>
      <w:r>
        <w:t xml:space="preserve"> </w:t>
      </w:r>
      <w:r>
        <w:t>Malaysia later this year in conjunction with the 50th Anniversary of the ASEAN-New Zealand Dialogue Relations.</w:t>
      </w:r>
    </w:p>
    <w:p w14:paraId="7D25EB3B" w14:textId="77777777" w:rsidR="002A6BAE" w:rsidRDefault="002A6BAE" w:rsidP="00E4718F">
      <w:pPr>
        <w:spacing w:before="0" w:after="0"/>
      </w:pPr>
    </w:p>
    <w:p w14:paraId="2B4277C0" w14:textId="10033E07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the convening of the 2nd ASEAN-GCC Summit in 2025 in</w:t>
      </w:r>
      <w:r>
        <w:t xml:space="preserve"> </w:t>
      </w:r>
      <w:r>
        <w:t>Kuala Lumpur, and agreed to further advance the effective implementation of</w:t>
      </w:r>
      <w:r>
        <w:t xml:space="preserve"> </w:t>
      </w:r>
      <w:r>
        <w:t>the ASEAN-GCC Framework of Cooperation (2024-2028). We also looked</w:t>
      </w:r>
      <w:r>
        <w:t xml:space="preserve"> </w:t>
      </w:r>
      <w:r>
        <w:t xml:space="preserve">forward to the convening of an </w:t>
      </w:r>
      <w:proofErr w:type="spellStart"/>
      <w:r>
        <w:t>ASEAN-GCC+China</w:t>
      </w:r>
      <w:proofErr w:type="spellEnd"/>
      <w:r>
        <w:t xml:space="preserve"> Summit to enhance and</w:t>
      </w:r>
      <w:r>
        <w:t xml:space="preserve"> </w:t>
      </w:r>
      <w:r>
        <w:t>deepen economic collaboration.</w:t>
      </w:r>
    </w:p>
    <w:p w14:paraId="742503CD" w14:textId="77777777" w:rsidR="002A6BAE" w:rsidRDefault="002A6BAE" w:rsidP="00E4718F">
      <w:pPr>
        <w:spacing w:before="0" w:after="0"/>
      </w:pPr>
    </w:p>
    <w:p w14:paraId="030E59D8" w14:textId="117EE2CA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agreed to deepen cooperation under the ASEAN Plus Three (APT)</w:t>
      </w:r>
      <w:r>
        <w:t xml:space="preserve"> </w:t>
      </w:r>
      <w:r>
        <w:t>cooperation framework to promote peace, stability, and prosperity in the East</w:t>
      </w:r>
      <w:r>
        <w:t xml:space="preserve"> </w:t>
      </w:r>
      <w:r>
        <w:t>Asian region. We welcomed substantive progress in the implementation of the</w:t>
      </w:r>
      <w:r>
        <w:t xml:space="preserve"> </w:t>
      </w:r>
      <w:r>
        <w:t>APT Cooperation Work Plan (2023-2027).</w:t>
      </w:r>
    </w:p>
    <w:p w14:paraId="13608A50" w14:textId="77777777" w:rsidR="002A6BAE" w:rsidRDefault="002A6BAE" w:rsidP="00E4718F">
      <w:pPr>
        <w:spacing w:before="0" w:after="0"/>
      </w:pPr>
    </w:p>
    <w:p w14:paraId="206250BF" w14:textId="72EB6A86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commitment to further strengthening the EAS as a premier</w:t>
      </w:r>
      <w:r>
        <w:t xml:space="preserve"> </w:t>
      </w:r>
      <w:r>
        <w:t>Leaders-led forum for dialogue and cooperation on broad strategic, political, and</w:t>
      </w:r>
      <w:r>
        <w:t xml:space="preserve"> </w:t>
      </w:r>
      <w:r>
        <w:t>economic issues of common interest and concern with the aim of promoting</w:t>
      </w:r>
      <w:r>
        <w:t xml:space="preserve"> </w:t>
      </w:r>
      <w:r>
        <w:t>peace, stability, and economic prosperity in the region, with ASEAN as the</w:t>
      </w:r>
      <w:r>
        <w:t xml:space="preserve"> </w:t>
      </w:r>
      <w:r>
        <w:t>driving force. We underscored the importance of the East Asia Summit (EAS)</w:t>
      </w:r>
      <w:r>
        <w:t xml:space="preserve"> </w:t>
      </w:r>
      <w:r>
        <w:t xml:space="preserve">and supported the Chair’s proposal to develop and </w:t>
      </w:r>
      <w:proofErr w:type="spellStart"/>
      <w:r>
        <w:t>finalise</w:t>
      </w:r>
      <w:proofErr w:type="spellEnd"/>
      <w:r>
        <w:t xml:space="preserve"> a Declaration on the</w:t>
      </w:r>
      <w:r>
        <w:t xml:space="preserve"> </w:t>
      </w:r>
      <w:r>
        <w:t>20th Anniversary of the EAS, an EAS Joint Statement, and thematic statement(s)</w:t>
      </w:r>
      <w:r>
        <w:t xml:space="preserve"> </w:t>
      </w:r>
      <w:r>
        <w:t>to further enhance the implementation of the EAS Plan of Action (2024-2028)</w:t>
      </w:r>
      <w:r>
        <w:t xml:space="preserve"> </w:t>
      </w:r>
      <w:r>
        <w:t>as outcome documents of the East Asia Summit.</w:t>
      </w:r>
    </w:p>
    <w:p w14:paraId="2AB6CC2E" w14:textId="77777777" w:rsidR="002A6BAE" w:rsidRDefault="002A6BAE" w:rsidP="00E4718F">
      <w:pPr>
        <w:spacing w:before="0" w:after="0"/>
      </w:pPr>
    </w:p>
    <w:p w14:paraId="011B42A1" w14:textId="4FF979F2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agreed to </w:t>
      </w:r>
      <w:proofErr w:type="spellStart"/>
      <w:r>
        <w:t>revitalise</w:t>
      </w:r>
      <w:proofErr w:type="spellEnd"/>
      <w:r>
        <w:t xml:space="preserve"> the ASEAN Regional Forum (ARF) in a holistic and</w:t>
      </w:r>
      <w:r>
        <w:t xml:space="preserve"> </w:t>
      </w:r>
      <w:r>
        <w:t>comprehensive manner to maintain its effectiveness, relevance and function as</w:t>
      </w:r>
      <w:r>
        <w:t xml:space="preserve"> </w:t>
      </w:r>
      <w:r>
        <w:t>the leading regional security forum in the Asia-Pacific region, enabling it to</w:t>
      </w:r>
      <w:r>
        <w:t xml:space="preserve"> </w:t>
      </w:r>
      <w:r>
        <w:t>address current and emerging political and security challenges through a more</w:t>
      </w:r>
      <w:r>
        <w:t xml:space="preserve"> </w:t>
      </w:r>
      <w:r>
        <w:t>substantive, constructive and interactive dialogue while also pursuing</w:t>
      </w:r>
      <w:r>
        <w:t xml:space="preserve"> </w:t>
      </w:r>
      <w:r>
        <w:t>preventive diplomacy. We also discussed the ways forward on the Hanoi Plan</w:t>
      </w:r>
      <w:r>
        <w:t xml:space="preserve"> </w:t>
      </w:r>
      <w:r>
        <w:t>of Action II (2020-2025) which is set to expire this year.</w:t>
      </w:r>
    </w:p>
    <w:p w14:paraId="764AF246" w14:textId="77777777" w:rsidR="002A6BAE" w:rsidRDefault="002A6BAE" w:rsidP="00E4718F">
      <w:pPr>
        <w:spacing w:before="0" w:after="0"/>
      </w:pPr>
    </w:p>
    <w:p w14:paraId="0D1A1D76" w14:textId="52395AB6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also exchanged views on regional and international developments, reaffirming</w:t>
      </w:r>
      <w:r>
        <w:t xml:space="preserve"> </w:t>
      </w:r>
      <w:r>
        <w:t>our shared commitments to promoting sustainable peace, security, stability, and</w:t>
      </w:r>
      <w:r>
        <w:t xml:space="preserve"> </w:t>
      </w:r>
      <w:r>
        <w:t>prosperity within ASEAN and beyond.</w:t>
      </w:r>
    </w:p>
    <w:p w14:paraId="1042DD16" w14:textId="77777777" w:rsidR="002A6BAE" w:rsidRDefault="002A6BAE" w:rsidP="00E4718F">
      <w:pPr>
        <w:spacing w:before="0" w:after="0"/>
      </w:pPr>
    </w:p>
    <w:p w14:paraId="22DD0795" w14:textId="6BFBF942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our deep concern over the escalation of conflicts and</w:t>
      </w:r>
      <w:r>
        <w:t xml:space="preserve"> </w:t>
      </w:r>
      <w:r>
        <w:t>humanitarian situation in Myanmar and the minimal progress on the</w:t>
      </w:r>
      <w:r>
        <w:t xml:space="preserve"> </w:t>
      </w:r>
      <w:r>
        <w:t>implementation of the Five-Point Consensus (5PC). We reaffirmed our united</w:t>
      </w:r>
      <w:r>
        <w:t xml:space="preserve"> </w:t>
      </w:r>
      <w:r>
        <w:t>position that the 5PC remains our main reference to address the political crisis</w:t>
      </w:r>
      <w:r>
        <w:t xml:space="preserve"> </w:t>
      </w:r>
      <w:r>
        <w:t>in Myanmar and further reaffirmed the corresponding Leaders’ decisions. The</w:t>
      </w:r>
      <w:r>
        <w:t xml:space="preserve"> </w:t>
      </w:r>
      <w:r>
        <w:t>Leaders upheld the decision limiting Myanmar’s participation at the ASEAN</w:t>
      </w:r>
      <w:r>
        <w:t xml:space="preserve"> </w:t>
      </w:r>
      <w:r>
        <w:t>Summits and Foreign Ministers’ Meetings to the non-political level and reiterated</w:t>
      </w:r>
      <w:r>
        <w:t xml:space="preserve"> </w:t>
      </w:r>
      <w:r>
        <w:t>that ASEAN community building and decision-making should not be affected.</w:t>
      </w:r>
      <w:r>
        <w:t xml:space="preserve"> </w:t>
      </w:r>
      <w:r>
        <w:t>We denounced the continued acts of violence against civilians and public</w:t>
      </w:r>
      <w:r>
        <w:t xml:space="preserve"> </w:t>
      </w:r>
      <w:r>
        <w:t>facilities and urged all parties involved to take concrete action to immediately</w:t>
      </w:r>
      <w:r>
        <w:t xml:space="preserve"> </w:t>
      </w:r>
      <w:r>
        <w:t>halt indiscriminate violence, exercise utmost restraint, ensure the protection and</w:t>
      </w:r>
      <w:r>
        <w:t xml:space="preserve"> </w:t>
      </w:r>
      <w:r>
        <w:t>safety of all civilians and civilian infrastructures, and create a conducive</w:t>
      </w:r>
      <w:r>
        <w:t xml:space="preserve"> </w:t>
      </w:r>
      <w:r>
        <w:t>environment for the delivery of humanitarian assistance and inclusive national</w:t>
      </w:r>
      <w:r>
        <w:t xml:space="preserve"> </w:t>
      </w:r>
      <w:r>
        <w:t>dialogue. We welcomed the progress of the provision of ASEAN Humanitarian</w:t>
      </w:r>
      <w:r>
        <w:t xml:space="preserve"> </w:t>
      </w:r>
      <w:r>
        <w:t>Assistance to Myanmar by the AHA Centre to implement Point 4 of the ASEAN</w:t>
      </w:r>
      <w:r>
        <w:t xml:space="preserve"> </w:t>
      </w:r>
      <w:r>
        <w:t>Leaders’ 5PC.</w:t>
      </w:r>
    </w:p>
    <w:p w14:paraId="1469348A" w14:textId="77777777" w:rsidR="002A6BAE" w:rsidRDefault="002A6BAE" w:rsidP="00E4718F">
      <w:pPr>
        <w:spacing w:before="0" w:after="0"/>
      </w:pPr>
    </w:p>
    <w:p w14:paraId="463E0802" w14:textId="73B53D47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appointment of H.E. Tan Sri Othman Hashim as the Special</w:t>
      </w:r>
      <w:r>
        <w:t xml:space="preserve"> </w:t>
      </w:r>
      <w:r>
        <w:t>Envoy of the ASEAN Chair on Myanmar for 2025. We expressed our full support</w:t>
      </w:r>
      <w:r>
        <w:t xml:space="preserve"> </w:t>
      </w:r>
      <w:r>
        <w:t>to the Special Envoy in carrying out his mandate in facilitating efforts towards</w:t>
      </w:r>
      <w:r>
        <w:t xml:space="preserve"> </w:t>
      </w:r>
      <w:r>
        <w:t>finding an inclusive, durable and peaceful resolution in Myanmar through</w:t>
      </w:r>
      <w:r>
        <w:t xml:space="preserve"> </w:t>
      </w:r>
      <w:r>
        <w:t>promoting concrete progress on the implementation of the 5PC.</w:t>
      </w:r>
    </w:p>
    <w:p w14:paraId="246BA1C0" w14:textId="77777777" w:rsidR="002A6BAE" w:rsidRDefault="002A6BAE" w:rsidP="00E4718F">
      <w:pPr>
        <w:spacing w:before="0" w:after="0"/>
      </w:pPr>
    </w:p>
    <w:p w14:paraId="284E0E61" w14:textId="0EE85F57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the importance of maintaining and promoting peace, security,</w:t>
      </w:r>
      <w:r>
        <w:t xml:space="preserve"> </w:t>
      </w:r>
      <w:r>
        <w:t>stability, safety and freedom of navigation in and overflight above the South China</w:t>
      </w:r>
      <w:r>
        <w:t xml:space="preserve"> </w:t>
      </w:r>
      <w:r>
        <w:t>Sea. We further reaffirmed the need to enhance mutual trust and confidence,</w:t>
      </w:r>
      <w:r>
        <w:t xml:space="preserve"> </w:t>
      </w:r>
      <w:r>
        <w:t>exercise self-restraint in the conduct of activities that would complicate or escalate</w:t>
      </w:r>
      <w:r>
        <w:t xml:space="preserve"> </w:t>
      </w:r>
      <w:r>
        <w:t>disputes and affect peace and stability, avoid actions that may further complicate</w:t>
      </w:r>
      <w:r>
        <w:t xml:space="preserve"> </w:t>
      </w:r>
      <w:r>
        <w:t>the situation, and pursue peaceful resolution of disputes in accordance with the</w:t>
      </w:r>
      <w:r>
        <w:t xml:space="preserve"> </w:t>
      </w:r>
      <w:r>
        <w:t>universally recognised principles of international law, including the 1982</w:t>
      </w:r>
      <w:r>
        <w:t xml:space="preserve"> </w:t>
      </w:r>
      <w:r>
        <w:t>UNCLOS. Concerns were expressed by some Ministers on the land reclamations,</w:t>
      </w:r>
      <w:r>
        <w:t xml:space="preserve"> </w:t>
      </w:r>
      <w:r>
        <w:t>recent actions and ongoing developments in the area which have eroded trust and</w:t>
      </w:r>
      <w:r>
        <w:t xml:space="preserve"> </w:t>
      </w:r>
      <w:r>
        <w:t>confidence, increased tensions, and may undermine peace, security, and stability</w:t>
      </w:r>
      <w:r>
        <w:t xml:space="preserve"> </w:t>
      </w:r>
      <w:r>
        <w:t>in the region.</w:t>
      </w:r>
    </w:p>
    <w:p w14:paraId="3A49C00E" w14:textId="77777777" w:rsidR="002A6BAE" w:rsidRDefault="002A6BAE" w:rsidP="00E4718F">
      <w:pPr>
        <w:spacing w:before="0" w:after="0"/>
      </w:pPr>
    </w:p>
    <w:p w14:paraId="470EE566" w14:textId="07C160DD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expressed grave concern over the surge in the Democratic People’s Republic</w:t>
      </w:r>
      <w:r>
        <w:t xml:space="preserve"> </w:t>
      </w:r>
      <w:r>
        <w:t>of Korea’s (DPRK) intercontinental ballistic missile testing and ballistic missile</w:t>
      </w:r>
      <w:r>
        <w:t xml:space="preserve"> </w:t>
      </w:r>
      <w:r>
        <w:t>launches and the increased tension in the Korean Peninsula, which are a</w:t>
      </w:r>
      <w:r>
        <w:t xml:space="preserve"> </w:t>
      </w:r>
      <w:r>
        <w:t>worrisome development that threatens peace, and stability in the region. We</w:t>
      </w:r>
      <w:r>
        <w:t xml:space="preserve"> </w:t>
      </w:r>
      <w:r>
        <w:t>urged the DPRK to take action to de-escalate tension and called on all concerned</w:t>
      </w:r>
      <w:r>
        <w:t xml:space="preserve"> </w:t>
      </w:r>
      <w:r>
        <w:t>parties to resume peaceful dialogue, including to create a conducive environment</w:t>
      </w:r>
      <w:r>
        <w:t xml:space="preserve"> </w:t>
      </w:r>
      <w:r>
        <w:t xml:space="preserve">towards the </w:t>
      </w:r>
      <w:proofErr w:type="spellStart"/>
      <w:r>
        <w:t>realisation</w:t>
      </w:r>
      <w:proofErr w:type="spellEnd"/>
      <w:r>
        <w:t xml:space="preserve"> of lasting peace and stability in a </w:t>
      </w:r>
      <w:proofErr w:type="spellStart"/>
      <w:r>
        <w:t>denuclearised</w:t>
      </w:r>
      <w:proofErr w:type="spellEnd"/>
      <w:r>
        <w:t xml:space="preserve"> Korean</w:t>
      </w:r>
      <w:r>
        <w:t xml:space="preserve"> </w:t>
      </w:r>
      <w:r>
        <w:t xml:space="preserve">Peninsula. We </w:t>
      </w:r>
      <w:r w:rsidR="00250A37">
        <w:br/>
      </w:r>
      <w:proofErr w:type="spellStart"/>
      <w:r>
        <w:t>re-emphasised</w:t>
      </w:r>
      <w:proofErr w:type="spellEnd"/>
      <w:r>
        <w:t xml:space="preserve"> the importance of full compliance with all relevant</w:t>
      </w:r>
      <w:r>
        <w:t xml:space="preserve"> </w:t>
      </w:r>
      <w:r>
        <w:t>United Nations Security Council (UNSC) Resolutions and to abide by international</w:t>
      </w:r>
      <w:r>
        <w:t xml:space="preserve"> </w:t>
      </w:r>
      <w:r>
        <w:t>law. We stressed the importance of continued peaceful dialogue among all parties</w:t>
      </w:r>
      <w:r>
        <w:t xml:space="preserve"> </w:t>
      </w:r>
      <w:r>
        <w:t xml:space="preserve">concerned in order to </w:t>
      </w:r>
      <w:proofErr w:type="spellStart"/>
      <w:r>
        <w:t>realise</w:t>
      </w:r>
      <w:proofErr w:type="spellEnd"/>
      <w:r>
        <w:t xml:space="preserve"> lasting peace and stability in a </w:t>
      </w:r>
      <w:proofErr w:type="spellStart"/>
      <w:r>
        <w:t>denuclearised</w:t>
      </w:r>
      <w:proofErr w:type="spellEnd"/>
      <w:r>
        <w:t xml:space="preserve"> Korean</w:t>
      </w:r>
      <w:r>
        <w:t xml:space="preserve"> </w:t>
      </w:r>
      <w:r>
        <w:t>Peninsula.</w:t>
      </w:r>
    </w:p>
    <w:p w14:paraId="6DCE49C4" w14:textId="77777777" w:rsidR="002A6BAE" w:rsidRDefault="002A6BAE" w:rsidP="00E4718F">
      <w:pPr>
        <w:spacing w:before="0" w:after="0"/>
      </w:pPr>
    </w:p>
    <w:p w14:paraId="16BA2126" w14:textId="20ADC46C" w:rsidR="002A6BAE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With regard to Ukraine, as for all nations, we continued to reaffirm our respect for</w:t>
      </w:r>
      <w:r>
        <w:t xml:space="preserve"> </w:t>
      </w:r>
      <w:r>
        <w:t>sovereignty, political independence, and territorial integrity. We reiterated our call</w:t>
      </w:r>
      <w:r>
        <w:t xml:space="preserve"> </w:t>
      </w:r>
      <w:r>
        <w:t xml:space="preserve">for compliance with the </w:t>
      </w:r>
      <w:r w:rsidR="00250A37">
        <w:br/>
      </w:r>
      <w:r>
        <w:t>UN Charter and international law. We underlined the</w:t>
      </w:r>
      <w:r>
        <w:t xml:space="preserve"> </w:t>
      </w:r>
      <w:r>
        <w:t>importance of an immediate cessation of hostilities and the serious engagement</w:t>
      </w:r>
      <w:r>
        <w:t xml:space="preserve"> </w:t>
      </w:r>
      <w:r>
        <w:t>in a genuine dialogue for the peaceful resolution of the conflict. We supported the</w:t>
      </w:r>
      <w:r>
        <w:t xml:space="preserve"> </w:t>
      </w:r>
      <w:r>
        <w:t>efforts of the UN Secretary-General in the search for a peaceful solution. We also</w:t>
      </w:r>
      <w:r>
        <w:t xml:space="preserve"> </w:t>
      </w:r>
      <w:r>
        <w:t>called for the facilitation of rapid, safe, and unhindered access to humanitarian</w:t>
      </w:r>
      <w:r>
        <w:t xml:space="preserve"> </w:t>
      </w:r>
      <w:r>
        <w:t>assistance for those in need in Ukraine, and for the protection of civilians,</w:t>
      </w:r>
      <w:r>
        <w:t xml:space="preserve"> </w:t>
      </w:r>
      <w:r>
        <w:t>humanitarian personnel, and persons in vulnerable situations.</w:t>
      </w:r>
    </w:p>
    <w:p w14:paraId="675A3C96" w14:textId="77777777" w:rsidR="002A6BAE" w:rsidRDefault="002A6BAE" w:rsidP="00E4718F">
      <w:pPr>
        <w:spacing w:before="0" w:after="0"/>
      </w:pPr>
    </w:p>
    <w:p w14:paraId="5CE6D73D" w14:textId="4268303C" w:rsidR="00DF288A" w:rsidRPr="00E423E4" w:rsidRDefault="002A6BAE" w:rsidP="00E4718F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grave concern over the continued war in Gaza and the Middle</w:t>
      </w:r>
      <w:r>
        <w:t xml:space="preserve"> </w:t>
      </w:r>
      <w:r>
        <w:t>East and the dire humanitarian situation in Gaza, which has been exacerbated</w:t>
      </w:r>
      <w:r>
        <w:t xml:space="preserve"> </w:t>
      </w:r>
      <w:r>
        <w:t>following the 7 October attacks. We condemned all attacks against civilians and</w:t>
      </w:r>
      <w:r>
        <w:t xml:space="preserve"> </w:t>
      </w:r>
      <w:r>
        <w:t>civilian infrastructure, which have resulted in immense number of casualties,</w:t>
      </w:r>
      <w:r>
        <w:t xml:space="preserve"> </w:t>
      </w:r>
      <w:r>
        <w:t>particularly innocent women and children, the restricted access to food, water,</w:t>
      </w:r>
      <w:r>
        <w:t xml:space="preserve"> </w:t>
      </w:r>
      <w:r>
        <w:t>and other basic needs, leading to the further deterioration of the humanitarian</w:t>
      </w:r>
      <w:r>
        <w:t xml:space="preserve"> </w:t>
      </w:r>
      <w:r>
        <w:t>crisis in Gaza. We welcomed the ceasefire agreement in Gaza and urged that</w:t>
      </w:r>
      <w:r>
        <w:t xml:space="preserve"> </w:t>
      </w:r>
      <w:r>
        <w:t>the implementation of this agreement to be carried out immediately and</w:t>
      </w:r>
      <w:r>
        <w:t xml:space="preserve"> </w:t>
      </w:r>
      <w:r>
        <w:t>comprehensively. We called for the immediate and unconditional release of all</w:t>
      </w:r>
      <w:r>
        <w:t xml:space="preserve"> </w:t>
      </w:r>
      <w:r>
        <w:t>hostages, especially ASEAN nationals, women, children, the sick and the</w:t>
      </w:r>
      <w:r>
        <w:t xml:space="preserve"> </w:t>
      </w:r>
      <w:r>
        <w:t>elderly. We underscored the importance of release from any arbitrary detention.</w:t>
      </w:r>
      <w:r>
        <w:t xml:space="preserve"> </w:t>
      </w:r>
      <w:r>
        <w:t>We urged all parties concerned to work towards a peaceful resolution to the</w:t>
      </w:r>
      <w:r>
        <w:t xml:space="preserve"> </w:t>
      </w:r>
      <w:r>
        <w:t xml:space="preserve">conflict with a view to </w:t>
      </w:r>
      <w:proofErr w:type="spellStart"/>
      <w:r>
        <w:t>realising</w:t>
      </w:r>
      <w:proofErr w:type="spellEnd"/>
      <w:r>
        <w:t xml:space="preserve"> the two-State solution in accordance with</w:t>
      </w:r>
      <w:r>
        <w:t xml:space="preserve"> </w:t>
      </w:r>
      <w:r>
        <w:t>international law and the relevant UNSC and UNGA resolutions, including</w:t>
      </w:r>
      <w:r>
        <w:t xml:space="preserve"> </w:t>
      </w:r>
      <w:r>
        <w:t>UNGA resolution A/RES/ES-10/23 on the Admission of New Members to the</w:t>
      </w:r>
      <w:r>
        <w:t xml:space="preserve"> </w:t>
      </w:r>
      <w:r>
        <w:t xml:space="preserve">UN dated 10 May 2024 which we all voted in favour. We </w:t>
      </w:r>
      <w:proofErr w:type="spellStart"/>
      <w:r>
        <w:t>emphasised</w:t>
      </w:r>
      <w:proofErr w:type="spellEnd"/>
      <w:r>
        <w:t xml:space="preserve"> the</w:t>
      </w:r>
      <w:r>
        <w:t xml:space="preserve"> </w:t>
      </w:r>
      <w:r>
        <w:t>importance of intensifying humanitarian assistance to those in need, including</w:t>
      </w:r>
      <w:r>
        <w:t xml:space="preserve"> </w:t>
      </w:r>
      <w:r>
        <w:t>through the restoration of UNRWA’s role, and for post-conflict reconstruction in</w:t>
      </w:r>
      <w:r>
        <w:t xml:space="preserve"> </w:t>
      </w:r>
      <w:r>
        <w:t>Gaza.</w:t>
      </w:r>
    </w:p>
    <w:sectPr w:rsidR="00DF288A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8A9E" w14:textId="77777777" w:rsidR="00873B2E" w:rsidRDefault="00873B2E" w:rsidP="00F61B4F">
      <w:pPr>
        <w:spacing w:before="0" w:after="0" w:line="240" w:lineRule="auto"/>
      </w:pPr>
      <w:r>
        <w:separator/>
      </w:r>
    </w:p>
  </w:endnote>
  <w:endnote w:type="continuationSeparator" w:id="0">
    <w:p w14:paraId="1AD47F0C" w14:textId="77777777" w:rsidR="00873B2E" w:rsidRDefault="00873B2E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F7F3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08C1FF45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56EE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057FB198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B56B" w14:textId="77777777" w:rsidR="00873B2E" w:rsidRDefault="00873B2E" w:rsidP="00F61B4F">
      <w:pPr>
        <w:spacing w:before="0" w:after="0" w:line="240" w:lineRule="auto"/>
      </w:pPr>
      <w:r>
        <w:separator/>
      </w:r>
    </w:p>
  </w:footnote>
  <w:footnote w:type="continuationSeparator" w:id="0">
    <w:p w14:paraId="3CCC0412" w14:textId="77777777" w:rsidR="00873B2E" w:rsidRDefault="00873B2E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62D3" w14:textId="7BA251AF" w:rsidR="00B532E2" w:rsidRPr="00CD6026" w:rsidRDefault="00E4718F" w:rsidP="00E4718F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E4718F">
      <w:rPr>
        <w:rFonts w:cs="Arial"/>
        <w:caps/>
        <w:color w:val="808080"/>
        <w:sz w:val="16"/>
        <w:szCs w:val="16"/>
      </w:rPr>
      <w:t xml:space="preserve">2025 PRESS STATEMENT BY THE CHAIR OF THE </w:t>
    </w:r>
    <w:r>
      <w:rPr>
        <w:rFonts w:cs="Arial"/>
        <w:caps/>
        <w:color w:val="808080"/>
        <w:sz w:val="16"/>
        <w:szCs w:val="16"/>
      </w:rPr>
      <w:t xml:space="preserve">AMM </w:t>
    </w:r>
    <w:r w:rsidRPr="00E4718F">
      <w:rPr>
        <w:rFonts w:cs="Arial"/>
        <w:caps/>
        <w:color w:val="808080"/>
        <w:sz w:val="16"/>
        <w:szCs w:val="16"/>
      </w:rPr>
      <w:t>RETREAT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F53B5"/>
    <w:multiLevelType w:val="hybridMultilevel"/>
    <w:tmpl w:val="0D946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BD0"/>
    <w:multiLevelType w:val="hybridMultilevel"/>
    <w:tmpl w:val="753CE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28747">
    <w:abstractNumId w:val="12"/>
  </w:num>
  <w:num w:numId="2" w16cid:durableId="624888522">
    <w:abstractNumId w:val="11"/>
  </w:num>
  <w:num w:numId="3" w16cid:durableId="30158596">
    <w:abstractNumId w:val="9"/>
  </w:num>
  <w:num w:numId="4" w16cid:durableId="285738022">
    <w:abstractNumId w:val="7"/>
  </w:num>
  <w:num w:numId="5" w16cid:durableId="1869752977">
    <w:abstractNumId w:val="6"/>
  </w:num>
  <w:num w:numId="6" w16cid:durableId="1320353969">
    <w:abstractNumId w:val="5"/>
  </w:num>
  <w:num w:numId="7" w16cid:durableId="1689405221">
    <w:abstractNumId w:val="4"/>
  </w:num>
  <w:num w:numId="8" w16cid:durableId="714473657">
    <w:abstractNumId w:val="8"/>
  </w:num>
  <w:num w:numId="9" w16cid:durableId="787940424">
    <w:abstractNumId w:val="3"/>
  </w:num>
  <w:num w:numId="10" w16cid:durableId="2104763673">
    <w:abstractNumId w:val="2"/>
  </w:num>
  <w:num w:numId="11" w16cid:durableId="1527983887">
    <w:abstractNumId w:val="1"/>
  </w:num>
  <w:num w:numId="12" w16cid:durableId="349570905">
    <w:abstractNumId w:val="0"/>
  </w:num>
  <w:num w:numId="13" w16cid:durableId="1310860571">
    <w:abstractNumId w:val="10"/>
  </w:num>
  <w:num w:numId="14" w16cid:durableId="118393092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AE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0A37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13E0"/>
    <w:rsid w:val="00284792"/>
    <w:rsid w:val="002927F7"/>
    <w:rsid w:val="00294CBA"/>
    <w:rsid w:val="002952DD"/>
    <w:rsid w:val="00297B32"/>
    <w:rsid w:val="002A32A5"/>
    <w:rsid w:val="002A4172"/>
    <w:rsid w:val="002A6BAE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57DE4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2381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3B2E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18F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34F46"/>
  <w15:docId w15:val="{2AE6796A-7CE0-4541-813F-0FE92748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5</TotalTime>
  <Pages>6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2019-01-29T09:08:00Z</cp:lastPrinted>
  <dcterms:created xsi:type="dcterms:W3CDTF">2025-02-03T08:15:00Z</dcterms:created>
  <dcterms:modified xsi:type="dcterms:W3CDTF">2025-02-03T08:30:00Z</dcterms:modified>
</cp:coreProperties>
</file>