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7E90" w14:textId="77777777" w:rsidR="002E3C79" w:rsidRDefault="00000000">
      <w:pPr>
        <w:pStyle w:val="CILTitle"/>
      </w:pPr>
      <w:r>
        <w:t>2025 ASEAN Foreign Ministers’ Decision on Enhancing ASEAN Relations with External Parties</w:t>
      </w:r>
    </w:p>
    <w:p w14:paraId="1A314C48" w14:textId="4D16E499" w:rsidR="002E3C79" w:rsidRDefault="00000000">
      <w:pPr>
        <w:pStyle w:val="CILSubtitle"/>
      </w:pPr>
      <w:r>
        <w:t>Issued in Kuala Lumpur, Malaysia on 9 July 2025</w:t>
      </w:r>
      <w:r>
        <w:rPr>
          <w:rFonts w:ascii="Calibri" w:eastAsia="Calibri" w:hAnsi="Calibri" w:cs="Calibri"/>
          <w:sz w:val="22"/>
          <w:szCs w:val="22"/>
        </w:rPr>
        <w:br/>
      </w:r>
    </w:p>
    <w:p w14:paraId="70482432" w14:textId="77777777" w:rsidR="002E3C79" w:rsidRDefault="00000000">
      <w:pPr>
        <w:pStyle w:val="TOC6"/>
        <w:widowControl w:val="0"/>
        <w:numPr>
          <w:ilvl w:val="0"/>
          <w:numId w:val="2"/>
        </w:numPr>
        <w:spacing w:line="278" w:lineRule="auto"/>
        <w:ind w:right="32"/>
        <w:jc w:val="both"/>
        <w:rPr>
          <w:rFonts w:ascii="Arial" w:hAnsi="Arial"/>
          <w:sz w:val="20"/>
          <w:szCs w:val="20"/>
        </w:rPr>
      </w:pPr>
      <w:r w:rsidRPr="009A2248">
        <w:rPr>
          <w:rFonts w:ascii="Arial" w:hAnsi="Arial"/>
          <w:b/>
          <w:bCs/>
          <w:sz w:val="20"/>
          <w:szCs w:val="20"/>
        </w:rPr>
        <w:t>Reaffirming</w:t>
      </w:r>
      <w:r>
        <w:rPr>
          <w:rFonts w:ascii="Arial" w:hAnsi="Arial"/>
          <w:sz w:val="20"/>
          <w:szCs w:val="20"/>
        </w:rPr>
        <w:t xml:space="preserve"> the role of the ASEAN Foreign Ministers’ Meeting in ensuring consistency and coherence in the conduct of ASEAN’s external relations.</w:t>
      </w:r>
    </w:p>
    <w:p w14:paraId="1AA17B4B" w14:textId="77777777" w:rsidR="002E3C79" w:rsidRDefault="002E3C79">
      <w:pPr>
        <w:pStyle w:val="BodyText"/>
        <w:spacing w:before="44"/>
        <w:jc w:val="left"/>
        <w:rPr>
          <w:rFonts w:ascii="Arial" w:eastAsia="Arial" w:hAnsi="Arial" w:cs="Arial"/>
          <w:sz w:val="20"/>
          <w:szCs w:val="20"/>
        </w:rPr>
      </w:pPr>
    </w:p>
    <w:p w14:paraId="400399BA" w14:textId="77777777" w:rsidR="002E3C79" w:rsidRDefault="00000000">
      <w:pPr>
        <w:pStyle w:val="TOC6"/>
        <w:widowControl w:val="0"/>
        <w:numPr>
          <w:ilvl w:val="0"/>
          <w:numId w:val="2"/>
        </w:numPr>
        <w:spacing w:line="276" w:lineRule="auto"/>
        <w:ind w:right="37"/>
        <w:jc w:val="both"/>
        <w:rPr>
          <w:rFonts w:ascii="Arial" w:hAnsi="Arial"/>
          <w:sz w:val="20"/>
          <w:szCs w:val="20"/>
        </w:rPr>
      </w:pPr>
      <w:r w:rsidRPr="009A2248">
        <w:rPr>
          <w:rFonts w:ascii="Arial" w:hAnsi="Arial"/>
          <w:b/>
          <w:bCs/>
          <w:sz w:val="20"/>
          <w:szCs w:val="20"/>
        </w:rPr>
        <w:t>Recalling</w:t>
      </w:r>
      <w:r>
        <w:rPr>
          <w:rFonts w:ascii="Arial" w:hAnsi="Arial"/>
          <w:sz w:val="20"/>
          <w:szCs w:val="20"/>
        </w:rPr>
        <w:t xml:space="preserve"> the ASEAN Foreign Ministers' decision under Paragraph 79 of the Joint Communiqué of the 54th ASEAN Foreign Ministers' Meeting, held on 2 August 2021, to commence a comprehensive review of the moratorium on new Dialogue Partnerships, in conjunction with the development of the ASEAN Community Vision Post-2025.</w:t>
      </w:r>
    </w:p>
    <w:p w14:paraId="652D5839" w14:textId="77777777" w:rsidR="002E3C79" w:rsidRDefault="002E3C79">
      <w:pPr>
        <w:pStyle w:val="BodyText"/>
        <w:spacing w:before="48"/>
        <w:jc w:val="left"/>
        <w:rPr>
          <w:rFonts w:ascii="Arial" w:eastAsia="Arial" w:hAnsi="Arial" w:cs="Arial"/>
          <w:sz w:val="20"/>
          <w:szCs w:val="20"/>
        </w:rPr>
      </w:pPr>
    </w:p>
    <w:p w14:paraId="179E72E1" w14:textId="77777777" w:rsidR="002E3C79" w:rsidRDefault="00000000">
      <w:pPr>
        <w:pStyle w:val="TOC6"/>
        <w:widowControl w:val="0"/>
        <w:numPr>
          <w:ilvl w:val="0"/>
          <w:numId w:val="2"/>
        </w:numPr>
        <w:spacing w:line="276" w:lineRule="auto"/>
        <w:ind w:right="33"/>
        <w:jc w:val="both"/>
        <w:rPr>
          <w:rFonts w:ascii="Arial" w:hAnsi="Arial"/>
          <w:sz w:val="20"/>
          <w:szCs w:val="20"/>
        </w:rPr>
      </w:pPr>
      <w:r w:rsidRPr="009A2248">
        <w:rPr>
          <w:rFonts w:ascii="Arial" w:hAnsi="Arial"/>
          <w:b/>
          <w:bCs/>
          <w:sz w:val="20"/>
          <w:szCs w:val="20"/>
        </w:rPr>
        <w:t>Upholding</w:t>
      </w:r>
      <w:r>
        <w:rPr>
          <w:rFonts w:ascii="Arial" w:hAnsi="Arial"/>
          <w:sz w:val="20"/>
          <w:szCs w:val="20"/>
        </w:rPr>
        <w:t xml:space="preserve"> ASEAN Centrality and </w:t>
      </w:r>
      <w:r w:rsidRPr="009A2248">
        <w:rPr>
          <w:rFonts w:ascii="Arial" w:hAnsi="Arial"/>
          <w:b/>
          <w:bCs/>
          <w:sz w:val="20"/>
          <w:szCs w:val="20"/>
        </w:rPr>
        <w:t>ensuring</w:t>
      </w:r>
      <w:r>
        <w:rPr>
          <w:rFonts w:ascii="Arial" w:hAnsi="Arial"/>
          <w:sz w:val="20"/>
          <w:szCs w:val="20"/>
        </w:rPr>
        <w:t xml:space="preserve"> its role as the primary driver in managing relationships with external partners amidst today's evolving geopolitical and geoeconomic landscape. To this end, ASEAN should seek to transform existing partnerships that may be overly focused on the quantity of broad cooperation activities into ones that genuinely serve ASEAN's priorities and interests— emphasizing both practical outcomes and strategic value in its external engagements.</w:t>
      </w:r>
    </w:p>
    <w:p w14:paraId="34A9D1FE" w14:textId="77777777" w:rsidR="002E3C79" w:rsidRDefault="002E3C79">
      <w:pPr>
        <w:pStyle w:val="BodyText"/>
        <w:spacing w:before="46"/>
        <w:jc w:val="left"/>
        <w:rPr>
          <w:rFonts w:ascii="Arial" w:eastAsia="Arial" w:hAnsi="Arial" w:cs="Arial"/>
          <w:sz w:val="20"/>
          <w:szCs w:val="20"/>
        </w:rPr>
      </w:pPr>
    </w:p>
    <w:p w14:paraId="71E9D636" w14:textId="77777777" w:rsidR="002E3C79" w:rsidRDefault="00000000">
      <w:pPr>
        <w:pStyle w:val="TOC6"/>
        <w:widowControl w:val="0"/>
        <w:numPr>
          <w:ilvl w:val="0"/>
          <w:numId w:val="2"/>
        </w:numPr>
        <w:spacing w:before="1" w:line="276" w:lineRule="auto"/>
        <w:ind w:right="41"/>
        <w:jc w:val="both"/>
        <w:rPr>
          <w:rFonts w:ascii="Arial" w:hAnsi="Arial"/>
          <w:sz w:val="20"/>
          <w:szCs w:val="20"/>
        </w:rPr>
      </w:pPr>
      <w:r w:rsidRPr="009A2248">
        <w:rPr>
          <w:rFonts w:ascii="Arial" w:hAnsi="Arial"/>
          <w:b/>
          <w:bCs/>
          <w:sz w:val="20"/>
          <w:szCs w:val="20"/>
        </w:rPr>
        <w:t>Acknowledging</w:t>
      </w:r>
      <w:r>
        <w:rPr>
          <w:rFonts w:ascii="Arial" w:hAnsi="Arial"/>
          <w:sz w:val="20"/>
          <w:szCs w:val="20"/>
        </w:rPr>
        <w:t xml:space="preserve"> that, in addition to strengthening existing partnerships,</w:t>
      </w:r>
      <w:r>
        <w:rPr>
          <w:rFonts w:ascii="Arial" w:hAnsi="Arial"/>
          <w:spacing w:val="33"/>
          <w:sz w:val="20"/>
          <w:szCs w:val="20"/>
        </w:rPr>
        <w:t xml:space="preserve"> </w:t>
      </w:r>
      <w:r>
        <w:rPr>
          <w:rFonts w:ascii="Arial" w:hAnsi="Arial"/>
          <w:sz w:val="20"/>
          <w:szCs w:val="20"/>
        </w:rPr>
        <w:t>ASEAN should ensure that new external engagements are pursued through cooperation frameworks that are broadly supported and aligned with the ASEAN 2045: Our Shared Future.</w:t>
      </w:r>
    </w:p>
    <w:p w14:paraId="32CBC6C3" w14:textId="77777777" w:rsidR="002E3C79" w:rsidRDefault="002E3C79">
      <w:pPr>
        <w:pStyle w:val="BodyText"/>
        <w:spacing w:before="47"/>
        <w:jc w:val="left"/>
        <w:rPr>
          <w:rFonts w:ascii="Arial" w:eastAsia="Arial" w:hAnsi="Arial" w:cs="Arial"/>
          <w:sz w:val="20"/>
          <w:szCs w:val="20"/>
        </w:rPr>
      </w:pPr>
    </w:p>
    <w:p w14:paraId="4E94E51B" w14:textId="77777777" w:rsidR="002E3C79" w:rsidRDefault="00000000">
      <w:pPr>
        <w:pStyle w:val="TOC6"/>
        <w:widowControl w:val="0"/>
        <w:numPr>
          <w:ilvl w:val="0"/>
          <w:numId w:val="2"/>
        </w:numPr>
        <w:spacing w:before="1" w:line="276" w:lineRule="auto"/>
        <w:ind w:right="32"/>
        <w:jc w:val="both"/>
        <w:rPr>
          <w:rFonts w:ascii="Arial" w:hAnsi="Arial"/>
          <w:sz w:val="20"/>
          <w:szCs w:val="20"/>
        </w:rPr>
      </w:pPr>
      <w:r w:rsidRPr="009A2248">
        <w:rPr>
          <w:rFonts w:ascii="Arial" w:hAnsi="Arial"/>
          <w:b/>
          <w:bCs/>
          <w:sz w:val="20"/>
          <w:szCs w:val="20"/>
        </w:rPr>
        <w:t>Ensuring</w:t>
      </w:r>
      <w:r>
        <w:rPr>
          <w:rFonts w:ascii="Arial" w:hAnsi="Arial"/>
          <w:sz w:val="20"/>
          <w:szCs w:val="20"/>
        </w:rPr>
        <w:t xml:space="preserve"> that such engagements complement existing ASEAN mechanisms and sectoral bodies, and are consistent with ASEAN’s principles and decision-making processes, as set out in the ASEAN Charter, the Treaty of Amity and Cooperation in Southeast Asia (TAC), and the Guidelines for ASEAN's</w:t>
      </w:r>
      <w:r>
        <w:rPr>
          <w:rFonts w:ascii="Arial" w:hAnsi="Arial"/>
          <w:spacing w:val="66"/>
          <w:sz w:val="20"/>
          <w:szCs w:val="20"/>
        </w:rPr>
        <w:t xml:space="preserve"> </w:t>
      </w:r>
      <w:r>
        <w:rPr>
          <w:rFonts w:ascii="Arial" w:hAnsi="Arial"/>
          <w:sz w:val="20"/>
          <w:szCs w:val="20"/>
        </w:rPr>
        <w:t xml:space="preserve">External Relations, while also taking into account other relevant guidelines of ASEAN Sectoral Bodies, including the ADMM-Plus Experts’ Working Groups </w:t>
      </w:r>
      <w:proofErr w:type="spellStart"/>
      <w:r>
        <w:rPr>
          <w:rFonts w:ascii="Arial" w:hAnsi="Arial"/>
          <w:sz w:val="20"/>
          <w:szCs w:val="20"/>
        </w:rPr>
        <w:t>Observership</w:t>
      </w:r>
      <w:proofErr w:type="spellEnd"/>
      <w:r>
        <w:rPr>
          <w:rFonts w:ascii="Arial" w:hAnsi="Arial"/>
          <w:sz w:val="20"/>
          <w:szCs w:val="20"/>
        </w:rPr>
        <w:t xml:space="preserve"> Protocol, as well as the Non-Paper on Possible Areas of Cooperation under the Framework of the TAC.</w:t>
      </w:r>
    </w:p>
    <w:p w14:paraId="4126147A" w14:textId="77777777" w:rsidR="002E3C79" w:rsidRDefault="002E3C79">
      <w:pPr>
        <w:pStyle w:val="TOC6"/>
        <w:widowControl w:val="0"/>
        <w:tabs>
          <w:tab w:val="left" w:pos="586"/>
          <w:tab w:val="left" w:pos="589"/>
        </w:tabs>
        <w:spacing w:before="1" w:line="276" w:lineRule="auto"/>
        <w:ind w:left="3" w:right="32" w:hanging="3"/>
        <w:jc w:val="both"/>
        <w:rPr>
          <w:rFonts w:ascii="Arial" w:eastAsia="Arial" w:hAnsi="Arial" w:cs="Arial"/>
          <w:sz w:val="20"/>
          <w:szCs w:val="20"/>
        </w:rPr>
      </w:pPr>
    </w:p>
    <w:p w14:paraId="6CEC53B9" w14:textId="77777777" w:rsidR="002E3C79" w:rsidRDefault="00000000">
      <w:pPr>
        <w:pStyle w:val="TOC6"/>
        <w:widowControl w:val="0"/>
        <w:numPr>
          <w:ilvl w:val="0"/>
          <w:numId w:val="2"/>
        </w:numPr>
        <w:spacing w:before="1" w:line="276" w:lineRule="auto"/>
        <w:ind w:right="32"/>
        <w:jc w:val="both"/>
        <w:rPr>
          <w:rFonts w:ascii="Arial" w:hAnsi="Arial"/>
          <w:sz w:val="20"/>
          <w:szCs w:val="20"/>
        </w:rPr>
      </w:pPr>
      <w:r>
        <w:rPr>
          <w:rFonts w:ascii="Arial" w:hAnsi="Arial"/>
          <w:sz w:val="20"/>
          <w:szCs w:val="20"/>
        </w:rPr>
        <w:t>Therefore, the ASEAN Foreign Ministers reaffirmed the need to strengthen existing external engagements including through leveraging the role and functions of ASEAN organs and mechanisms, and proactively explore new engagements aligned with ASEAN’s principles and purposes, and consistent with ASEAN’s established rules, procedures, and protocols, including through pursuing the implementation of the ASEAN Outlook on the Indo-Pacific (AOIP) and enhancing engagements with the High Contracting Parties to the TAC. Towards this end, we agreed:</w:t>
      </w:r>
    </w:p>
    <w:p w14:paraId="4154E461" w14:textId="77777777" w:rsidR="002E3C79" w:rsidRDefault="002E3C79">
      <w:pPr>
        <w:pStyle w:val="BodyText"/>
        <w:spacing w:before="46"/>
        <w:jc w:val="left"/>
        <w:rPr>
          <w:rFonts w:ascii="Arial" w:eastAsia="Arial" w:hAnsi="Arial" w:cs="Arial"/>
          <w:sz w:val="20"/>
          <w:szCs w:val="20"/>
        </w:rPr>
      </w:pPr>
    </w:p>
    <w:p w14:paraId="70CA46F6" w14:textId="77777777" w:rsidR="002E3C79" w:rsidRDefault="00000000">
      <w:pPr>
        <w:pStyle w:val="TOC6"/>
        <w:widowControl w:val="0"/>
        <w:numPr>
          <w:ilvl w:val="1"/>
          <w:numId w:val="2"/>
        </w:numPr>
        <w:spacing w:line="276" w:lineRule="auto"/>
        <w:ind w:right="30"/>
        <w:jc w:val="both"/>
        <w:rPr>
          <w:rFonts w:ascii="Arial" w:hAnsi="Arial"/>
          <w:sz w:val="20"/>
          <w:szCs w:val="20"/>
        </w:rPr>
      </w:pPr>
      <w:r>
        <w:rPr>
          <w:rFonts w:ascii="Arial" w:hAnsi="Arial"/>
          <w:sz w:val="20"/>
          <w:szCs w:val="20"/>
        </w:rPr>
        <w:t>To task the ASEAN SOM to continue the review of ASEAN’s Dialogue Partnerships, including the moratorium on new Dialogue Partners.</w:t>
      </w:r>
    </w:p>
    <w:p w14:paraId="1B113086" w14:textId="77777777" w:rsidR="002E3C79" w:rsidRDefault="002E3C79">
      <w:pPr>
        <w:pStyle w:val="BodyText"/>
        <w:spacing w:before="18"/>
        <w:jc w:val="left"/>
        <w:rPr>
          <w:rFonts w:ascii="Arial" w:eastAsia="Arial" w:hAnsi="Arial" w:cs="Arial"/>
          <w:sz w:val="20"/>
          <w:szCs w:val="20"/>
        </w:rPr>
      </w:pPr>
    </w:p>
    <w:p w14:paraId="7D7F408B" w14:textId="77777777" w:rsidR="002E3C79" w:rsidRDefault="00000000">
      <w:pPr>
        <w:pStyle w:val="TOC6"/>
        <w:widowControl w:val="0"/>
        <w:numPr>
          <w:ilvl w:val="1"/>
          <w:numId w:val="2"/>
        </w:numPr>
        <w:spacing w:line="276" w:lineRule="auto"/>
        <w:ind w:right="19"/>
        <w:jc w:val="both"/>
        <w:rPr>
          <w:rFonts w:ascii="Arial" w:hAnsi="Arial"/>
          <w:sz w:val="20"/>
          <w:szCs w:val="20"/>
        </w:rPr>
      </w:pPr>
      <w:r>
        <w:rPr>
          <w:rFonts w:ascii="Arial" w:hAnsi="Arial"/>
          <w:sz w:val="20"/>
          <w:szCs w:val="20"/>
        </w:rPr>
        <w:t>To task the ASEAN Secretariat to prepare a comprehensive Assessment Paper on ASEAN’s Formal Partnerships, incorporating relevant elements from applicable existing guidelines from ASEAN mechanisms and</w:t>
      </w:r>
      <w:r>
        <w:rPr>
          <w:rFonts w:ascii="Arial" w:hAnsi="Arial"/>
          <w:spacing w:val="66"/>
          <w:sz w:val="20"/>
          <w:szCs w:val="20"/>
        </w:rPr>
        <w:t xml:space="preserve"> </w:t>
      </w:r>
      <w:r>
        <w:rPr>
          <w:rFonts w:ascii="Arial" w:hAnsi="Arial"/>
          <w:sz w:val="20"/>
          <w:szCs w:val="20"/>
        </w:rPr>
        <w:t>sectoral bodies, which will serve as a key input in guiding the evolution of ASEAN’s external partnerships in line with the region’s long-term strategic planning and priorities.</w:t>
      </w:r>
    </w:p>
    <w:p w14:paraId="15DC19B9" w14:textId="77777777" w:rsidR="002E3C79" w:rsidRDefault="002E3C79">
      <w:pPr>
        <w:pStyle w:val="BodyText"/>
        <w:spacing w:before="43"/>
        <w:jc w:val="left"/>
        <w:rPr>
          <w:rFonts w:ascii="Arial" w:eastAsia="Arial" w:hAnsi="Arial" w:cs="Arial"/>
          <w:sz w:val="20"/>
          <w:szCs w:val="20"/>
        </w:rPr>
      </w:pPr>
    </w:p>
    <w:p w14:paraId="37D3802F" w14:textId="77777777" w:rsidR="002E3C79" w:rsidRDefault="00000000">
      <w:pPr>
        <w:pStyle w:val="TOC6"/>
        <w:widowControl w:val="0"/>
        <w:numPr>
          <w:ilvl w:val="1"/>
          <w:numId w:val="3"/>
        </w:numPr>
        <w:spacing w:line="276" w:lineRule="auto"/>
        <w:ind w:right="17"/>
        <w:jc w:val="both"/>
        <w:rPr>
          <w:rFonts w:ascii="Arial" w:hAnsi="Arial"/>
          <w:sz w:val="20"/>
          <w:szCs w:val="20"/>
        </w:rPr>
      </w:pPr>
      <w:r>
        <w:rPr>
          <w:rFonts w:ascii="Arial" w:hAnsi="Arial"/>
          <w:sz w:val="20"/>
          <w:szCs w:val="20"/>
        </w:rPr>
        <w:t xml:space="preserve">That in undertaking this comprehensive review, the ASEAN Community Vision (ACV) </w:t>
      </w:r>
      <w:r>
        <w:rPr>
          <w:rFonts w:ascii="Arial" w:hAnsi="Arial"/>
          <w:sz w:val="20"/>
          <w:szCs w:val="20"/>
        </w:rPr>
        <w:lastRenderedPageBreak/>
        <w:t>2045 and its Strategic Plans should serve as primary reference documents in shaping ASEAN’s future external engagements to ensure that partnerships meaningfully support ASEAN’s strategic long-term goals.</w:t>
      </w:r>
    </w:p>
    <w:p w14:paraId="47E96AD5" w14:textId="77777777" w:rsidR="002E3C79" w:rsidRDefault="002E3C79">
      <w:pPr>
        <w:pStyle w:val="BodyText"/>
        <w:spacing w:before="38"/>
        <w:jc w:val="left"/>
        <w:rPr>
          <w:rFonts w:ascii="Arial" w:eastAsia="Arial" w:hAnsi="Arial" w:cs="Arial"/>
          <w:sz w:val="20"/>
          <w:szCs w:val="20"/>
        </w:rPr>
      </w:pPr>
    </w:p>
    <w:p w14:paraId="60B44C76" w14:textId="77777777" w:rsidR="002E3C79" w:rsidRDefault="00000000">
      <w:pPr>
        <w:pStyle w:val="TOC6"/>
        <w:widowControl w:val="0"/>
        <w:numPr>
          <w:ilvl w:val="1"/>
          <w:numId w:val="2"/>
        </w:numPr>
        <w:spacing w:line="276" w:lineRule="auto"/>
        <w:ind w:right="20"/>
        <w:jc w:val="both"/>
        <w:rPr>
          <w:rFonts w:ascii="Arial" w:hAnsi="Arial"/>
          <w:sz w:val="20"/>
          <w:szCs w:val="20"/>
        </w:rPr>
      </w:pPr>
      <w:r>
        <w:rPr>
          <w:rFonts w:ascii="Arial" w:hAnsi="Arial"/>
          <w:sz w:val="20"/>
          <w:szCs w:val="20"/>
        </w:rPr>
        <w:t>That the review should be action-oriented, with a view to strengthening ASEAN’s external relations in the evolving regional architecture, enhancing coherence across all three pillars of the ASEAN Community and Connectivity, and ensuring that all engagements are ASEAN-driven, relevant, strategic, mutually beneficial, and responsive to current and emerging challenges while ensuring ASEAN Centrality, and adhering to existing ASEAN processes and procedures.</w:t>
      </w:r>
    </w:p>
    <w:p w14:paraId="7FE637F6" w14:textId="77777777" w:rsidR="002E3C79" w:rsidRDefault="002E3C79">
      <w:pPr>
        <w:pStyle w:val="BodyText"/>
        <w:spacing w:before="15"/>
        <w:jc w:val="left"/>
        <w:rPr>
          <w:rFonts w:ascii="Arial" w:eastAsia="Arial" w:hAnsi="Arial" w:cs="Arial"/>
          <w:sz w:val="20"/>
          <w:szCs w:val="20"/>
        </w:rPr>
      </w:pPr>
    </w:p>
    <w:p w14:paraId="3DFDC431" w14:textId="77777777" w:rsidR="002E3C79" w:rsidRDefault="00000000">
      <w:pPr>
        <w:pStyle w:val="TOC6"/>
        <w:widowControl w:val="0"/>
        <w:numPr>
          <w:ilvl w:val="1"/>
          <w:numId w:val="2"/>
        </w:numPr>
        <w:spacing w:before="1" w:line="276" w:lineRule="auto"/>
        <w:ind w:right="19"/>
        <w:jc w:val="both"/>
        <w:rPr>
          <w:rFonts w:ascii="Arial" w:hAnsi="Arial"/>
          <w:sz w:val="20"/>
          <w:szCs w:val="20"/>
        </w:rPr>
      </w:pPr>
      <w:r>
        <w:rPr>
          <w:rFonts w:ascii="Arial" w:hAnsi="Arial"/>
          <w:sz w:val="20"/>
          <w:szCs w:val="20"/>
        </w:rPr>
        <w:t xml:space="preserve">That the review would </w:t>
      </w:r>
      <w:proofErr w:type="gramStart"/>
      <w:r>
        <w:rPr>
          <w:rFonts w:ascii="Arial" w:hAnsi="Arial"/>
          <w:sz w:val="20"/>
          <w:szCs w:val="20"/>
        </w:rPr>
        <w:t>look into</w:t>
      </w:r>
      <w:proofErr w:type="gramEnd"/>
      <w:r>
        <w:rPr>
          <w:rFonts w:ascii="Arial" w:hAnsi="Arial"/>
          <w:sz w:val="20"/>
          <w:szCs w:val="20"/>
        </w:rPr>
        <w:t xml:space="preserve"> optimizing ASEAN's mechanisms, resources, and facilities in managing and expanding ASEAN Relations with External Parties, with a view to </w:t>
      </w:r>
      <w:proofErr w:type="gramStart"/>
      <w:r>
        <w:rPr>
          <w:rFonts w:ascii="Arial" w:hAnsi="Arial"/>
          <w:sz w:val="20"/>
          <w:szCs w:val="20"/>
        </w:rPr>
        <w:t>enhance</w:t>
      </w:r>
      <w:proofErr w:type="gramEnd"/>
      <w:r>
        <w:rPr>
          <w:rFonts w:ascii="Arial" w:hAnsi="Arial"/>
          <w:sz w:val="20"/>
          <w:szCs w:val="20"/>
        </w:rPr>
        <w:t xml:space="preserve"> ASEAN Centrality and unity.</w:t>
      </w:r>
    </w:p>
    <w:p w14:paraId="4B5C4DF6" w14:textId="77777777" w:rsidR="002E3C79" w:rsidRDefault="002E3C79">
      <w:pPr>
        <w:pStyle w:val="BodyText"/>
        <w:spacing w:before="39"/>
        <w:jc w:val="left"/>
        <w:rPr>
          <w:rFonts w:ascii="Arial" w:eastAsia="Arial" w:hAnsi="Arial" w:cs="Arial"/>
          <w:sz w:val="20"/>
          <w:szCs w:val="20"/>
        </w:rPr>
      </w:pPr>
    </w:p>
    <w:p w14:paraId="2F27BF1E" w14:textId="77777777" w:rsidR="002E3C79" w:rsidRDefault="00000000">
      <w:pPr>
        <w:pStyle w:val="TOC6"/>
        <w:widowControl w:val="0"/>
        <w:numPr>
          <w:ilvl w:val="1"/>
          <w:numId w:val="4"/>
        </w:numPr>
        <w:spacing w:line="276" w:lineRule="auto"/>
        <w:ind w:right="30"/>
        <w:jc w:val="both"/>
        <w:rPr>
          <w:rFonts w:ascii="Arial" w:hAnsi="Arial"/>
          <w:sz w:val="20"/>
          <w:szCs w:val="20"/>
        </w:rPr>
      </w:pPr>
      <w:r>
        <w:rPr>
          <w:rFonts w:ascii="Arial" w:hAnsi="Arial"/>
          <w:sz w:val="20"/>
          <w:szCs w:val="20"/>
        </w:rPr>
        <w:t>For the ASEAN SOM to report the outcomes of the review to the ASEAN Foreign Ministers’ Meeting, upon its completion.</w:t>
      </w:r>
    </w:p>
    <w:p w14:paraId="22DBB931" w14:textId="77777777" w:rsidR="002E3C79" w:rsidRDefault="002E3C79">
      <w:pPr>
        <w:pStyle w:val="BodyText"/>
        <w:spacing w:before="35"/>
        <w:jc w:val="left"/>
        <w:rPr>
          <w:rFonts w:ascii="Arial" w:eastAsia="Arial" w:hAnsi="Arial" w:cs="Arial"/>
          <w:sz w:val="20"/>
          <w:szCs w:val="20"/>
        </w:rPr>
      </w:pPr>
    </w:p>
    <w:p w14:paraId="625C57BA" w14:textId="77777777" w:rsidR="002E3C79" w:rsidRDefault="00000000">
      <w:pPr>
        <w:pStyle w:val="BodyText"/>
        <w:ind w:left="23"/>
        <w:jc w:val="left"/>
      </w:pPr>
      <w:r>
        <w:rPr>
          <w:rFonts w:ascii="Arial" w:hAnsi="Arial"/>
          <w:spacing w:val="-3"/>
          <w:sz w:val="20"/>
          <w:szCs w:val="20"/>
        </w:rPr>
        <w:t>Done</w:t>
      </w:r>
      <w:r>
        <w:rPr>
          <w:rFonts w:ascii="Arial" w:hAnsi="Arial"/>
          <w:spacing w:val="-7"/>
          <w:sz w:val="20"/>
          <w:szCs w:val="20"/>
        </w:rPr>
        <w:t xml:space="preserve"> </w:t>
      </w:r>
      <w:r>
        <w:rPr>
          <w:rFonts w:ascii="Arial" w:hAnsi="Arial"/>
          <w:spacing w:val="-3"/>
          <w:sz w:val="20"/>
          <w:szCs w:val="20"/>
        </w:rPr>
        <w:t>at</w:t>
      </w:r>
      <w:r>
        <w:rPr>
          <w:rFonts w:ascii="Arial" w:hAnsi="Arial"/>
          <w:spacing w:val="-6"/>
          <w:sz w:val="20"/>
          <w:szCs w:val="20"/>
        </w:rPr>
        <w:t xml:space="preserve"> </w:t>
      </w:r>
      <w:r>
        <w:rPr>
          <w:rFonts w:ascii="Arial" w:hAnsi="Arial"/>
          <w:spacing w:val="-3"/>
          <w:sz w:val="20"/>
          <w:szCs w:val="20"/>
        </w:rPr>
        <w:t>the</w:t>
      </w:r>
      <w:r>
        <w:rPr>
          <w:rFonts w:ascii="Arial" w:hAnsi="Arial"/>
          <w:spacing w:val="-6"/>
          <w:sz w:val="20"/>
          <w:szCs w:val="20"/>
        </w:rPr>
        <w:t xml:space="preserve"> </w:t>
      </w:r>
      <w:r>
        <w:rPr>
          <w:rFonts w:ascii="Arial" w:hAnsi="Arial"/>
          <w:spacing w:val="-3"/>
          <w:sz w:val="20"/>
          <w:szCs w:val="20"/>
        </w:rPr>
        <w:t>58th</w:t>
      </w:r>
      <w:r>
        <w:rPr>
          <w:rFonts w:ascii="Arial" w:hAnsi="Arial"/>
          <w:spacing w:val="16"/>
          <w:position w:val="16"/>
          <w:sz w:val="20"/>
          <w:szCs w:val="20"/>
        </w:rPr>
        <w:t xml:space="preserve"> </w:t>
      </w:r>
      <w:r>
        <w:rPr>
          <w:rFonts w:ascii="Arial" w:hAnsi="Arial"/>
          <w:spacing w:val="-3"/>
          <w:sz w:val="20"/>
          <w:szCs w:val="20"/>
        </w:rPr>
        <w:t>ASEAN</w:t>
      </w:r>
      <w:r>
        <w:rPr>
          <w:rFonts w:ascii="Arial" w:hAnsi="Arial"/>
          <w:spacing w:val="-7"/>
          <w:sz w:val="20"/>
          <w:szCs w:val="20"/>
        </w:rPr>
        <w:t xml:space="preserve"> </w:t>
      </w:r>
      <w:r>
        <w:rPr>
          <w:rFonts w:ascii="Arial" w:hAnsi="Arial"/>
          <w:spacing w:val="-3"/>
          <w:sz w:val="20"/>
          <w:szCs w:val="20"/>
        </w:rPr>
        <w:t>Foreign</w:t>
      </w:r>
      <w:r>
        <w:rPr>
          <w:rFonts w:ascii="Arial" w:hAnsi="Arial"/>
          <w:spacing w:val="-6"/>
          <w:sz w:val="20"/>
          <w:szCs w:val="20"/>
        </w:rPr>
        <w:t xml:space="preserve"> </w:t>
      </w:r>
      <w:r>
        <w:rPr>
          <w:rFonts w:ascii="Arial" w:hAnsi="Arial"/>
          <w:spacing w:val="-3"/>
          <w:sz w:val="20"/>
          <w:szCs w:val="20"/>
        </w:rPr>
        <w:t>Ministers’</w:t>
      </w:r>
      <w:r>
        <w:rPr>
          <w:rFonts w:ascii="Arial" w:hAnsi="Arial"/>
          <w:spacing w:val="-7"/>
          <w:sz w:val="20"/>
          <w:szCs w:val="20"/>
        </w:rPr>
        <w:t xml:space="preserve"> </w:t>
      </w:r>
      <w:r>
        <w:rPr>
          <w:rFonts w:ascii="Arial" w:hAnsi="Arial"/>
          <w:spacing w:val="-3"/>
          <w:sz w:val="20"/>
          <w:szCs w:val="20"/>
        </w:rPr>
        <w:t>Meeting</w:t>
      </w:r>
      <w:r>
        <w:rPr>
          <w:rFonts w:ascii="Arial" w:hAnsi="Arial"/>
          <w:spacing w:val="-8"/>
          <w:sz w:val="20"/>
          <w:szCs w:val="20"/>
        </w:rPr>
        <w:t xml:space="preserve"> </w:t>
      </w:r>
      <w:r>
        <w:rPr>
          <w:rFonts w:ascii="Arial" w:hAnsi="Arial"/>
          <w:spacing w:val="-3"/>
          <w:sz w:val="20"/>
          <w:szCs w:val="20"/>
        </w:rPr>
        <w:t>on</w:t>
      </w:r>
      <w:r>
        <w:rPr>
          <w:rFonts w:ascii="Arial" w:hAnsi="Arial"/>
          <w:spacing w:val="-6"/>
          <w:sz w:val="20"/>
          <w:szCs w:val="20"/>
        </w:rPr>
        <w:t xml:space="preserve"> </w:t>
      </w:r>
      <w:r>
        <w:rPr>
          <w:rFonts w:ascii="Arial" w:hAnsi="Arial"/>
          <w:spacing w:val="-3"/>
          <w:sz w:val="20"/>
          <w:szCs w:val="20"/>
        </w:rPr>
        <w:t>9</w:t>
      </w:r>
      <w:r>
        <w:rPr>
          <w:rFonts w:ascii="Arial" w:hAnsi="Arial"/>
          <w:spacing w:val="-6"/>
          <w:sz w:val="20"/>
          <w:szCs w:val="20"/>
        </w:rPr>
        <w:t xml:space="preserve"> </w:t>
      </w:r>
      <w:r>
        <w:rPr>
          <w:rFonts w:ascii="Arial" w:hAnsi="Arial"/>
          <w:spacing w:val="-3"/>
          <w:sz w:val="20"/>
          <w:szCs w:val="20"/>
        </w:rPr>
        <w:t>July</w:t>
      </w:r>
      <w:r>
        <w:rPr>
          <w:rFonts w:ascii="Arial" w:hAnsi="Arial"/>
          <w:spacing w:val="-10"/>
          <w:sz w:val="20"/>
          <w:szCs w:val="20"/>
        </w:rPr>
        <w:t xml:space="preserve"> </w:t>
      </w:r>
      <w:r>
        <w:rPr>
          <w:rFonts w:ascii="Arial" w:hAnsi="Arial"/>
          <w:spacing w:val="-3"/>
          <w:sz w:val="20"/>
          <w:szCs w:val="20"/>
        </w:rPr>
        <w:t>2025</w:t>
      </w:r>
      <w:r>
        <w:rPr>
          <w:rFonts w:ascii="Arial" w:hAnsi="Arial"/>
          <w:spacing w:val="-6"/>
          <w:sz w:val="20"/>
          <w:szCs w:val="20"/>
        </w:rPr>
        <w:t xml:space="preserve"> </w:t>
      </w:r>
      <w:r>
        <w:rPr>
          <w:rFonts w:ascii="Arial" w:hAnsi="Arial"/>
          <w:spacing w:val="-3"/>
          <w:sz w:val="20"/>
          <w:szCs w:val="20"/>
        </w:rPr>
        <w:t>in</w:t>
      </w:r>
      <w:r>
        <w:rPr>
          <w:rFonts w:ascii="Arial" w:hAnsi="Arial"/>
          <w:spacing w:val="-6"/>
          <w:sz w:val="20"/>
          <w:szCs w:val="20"/>
        </w:rPr>
        <w:t xml:space="preserve"> </w:t>
      </w:r>
      <w:r>
        <w:rPr>
          <w:rFonts w:ascii="Arial" w:hAnsi="Arial"/>
          <w:spacing w:val="-3"/>
          <w:sz w:val="20"/>
          <w:szCs w:val="20"/>
        </w:rPr>
        <w:t>Kuala</w:t>
      </w:r>
      <w:r>
        <w:rPr>
          <w:rFonts w:ascii="Arial" w:hAnsi="Arial"/>
          <w:spacing w:val="-6"/>
          <w:sz w:val="20"/>
          <w:szCs w:val="20"/>
        </w:rPr>
        <w:t xml:space="preserve"> </w:t>
      </w:r>
      <w:r>
        <w:rPr>
          <w:rFonts w:ascii="Arial" w:hAnsi="Arial"/>
          <w:spacing w:val="-3"/>
          <w:sz w:val="20"/>
          <w:szCs w:val="20"/>
        </w:rPr>
        <w:t>Lumpur.</w:t>
      </w:r>
    </w:p>
    <w:sectPr w:rsidR="002E3C7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763A" w14:textId="77777777" w:rsidR="00502B2D" w:rsidRDefault="00502B2D">
      <w:r>
        <w:separator/>
      </w:r>
    </w:p>
  </w:endnote>
  <w:endnote w:type="continuationSeparator" w:id="0">
    <w:p w14:paraId="407EF228" w14:textId="77777777" w:rsidR="00502B2D" w:rsidRDefault="0050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7796" w14:textId="77777777" w:rsidR="007277E8" w:rsidRDefault="00727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31C0" w14:textId="77777777" w:rsidR="002E3C79" w:rsidRDefault="002E3C79">
    <w:pPr>
      <w:pStyle w:val="Footer"/>
      <w:tabs>
        <w:tab w:val="clear" w:pos="9360"/>
        <w:tab w:val="right" w:pos="8931"/>
      </w:tabs>
      <w:jc w:val="right"/>
    </w:pPr>
  </w:p>
  <w:p w14:paraId="40A83AE9" w14:textId="77777777" w:rsidR="002E3C79" w:rsidRDefault="00000000">
    <w:pPr>
      <w:pStyle w:val="Footer"/>
      <w:pBdr>
        <w:top w:val="single" w:sz="4" w:space="0" w:color="000000"/>
      </w:pBdr>
      <w:tabs>
        <w:tab w:val="clear" w:pos="9360"/>
        <w:tab w:val="right" w:pos="8931"/>
      </w:tabs>
      <w:jc w:val="left"/>
    </w:pPr>
    <w:r>
      <w:rPr>
        <w:color w:val="7F7F7F"/>
        <w:sz w:val="16"/>
        <w:szCs w:val="16"/>
        <w:u w:color="7F7F7F"/>
      </w:rPr>
      <w:t xml:space="preserve">UNOFFICIAL TEXT · CENTRE FOR INTERNATIONAL LAW · </w:t>
    </w:r>
    <w:hyperlink r:id="rId1" w:history="1">
      <w:r w:rsidR="002E3C79">
        <w:rPr>
          <w:rStyle w:val="Hyperlink0"/>
        </w:rPr>
        <w:t>www.cil.nus.edu.sg</w:t>
      </w:r>
    </w:hyperlink>
    <w:r>
      <w:rPr>
        <w:color w:val="7F7F7F"/>
        <w:sz w:val="16"/>
        <w:szCs w:val="16"/>
        <w:u w:color="7F7F7F"/>
      </w:rPr>
      <w:t xml:space="preserve">                           </w:t>
    </w:r>
    <w:r>
      <w:rPr>
        <w:color w:val="7F7F7F"/>
        <w:sz w:val="16"/>
        <w:szCs w:val="16"/>
        <w:u w:color="7F7F7F"/>
      </w:rPr>
      <w:tab/>
      <w:t xml:space="preserve">     Page </w:t>
    </w:r>
    <w:r>
      <w:rPr>
        <w:color w:val="7F7F7F"/>
        <w:sz w:val="16"/>
        <w:szCs w:val="16"/>
        <w:u w:color="7F7F7F"/>
      </w:rPr>
      <w:fldChar w:fldCharType="begin"/>
    </w:r>
    <w:r>
      <w:rPr>
        <w:color w:val="7F7F7F"/>
        <w:sz w:val="16"/>
        <w:szCs w:val="16"/>
        <w:u w:color="7F7F7F"/>
      </w:rPr>
      <w:instrText xml:space="preserve"> PAGE </w:instrText>
    </w:r>
    <w:r>
      <w:rPr>
        <w:color w:val="7F7F7F"/>
        <w:sz w:val="16"/>
        <w:szCs w:val="16"/>
        <w:u w:color="7F7F7F"/>
      </w:rPr>
      <w:fldChar w:fldCharType="separate"/>
    </w:r>
    <w:r w:rsidR="007277E8">
      <w:rPr>
        <w:noProof/>
        <w:color w:val="7F7F7F"/>
        <w:sz w:val="16"/>
        <w:szCs w:val="16"/>
        <w:u w:color="7F7F7F"/>
      </w:rPr>
      <w:t>2</w:t>
    </w:r>
    <w:r>
      <w:rPr>
        <w:color w:val="7F7F7F"/>
        <w:sz w:val="16"/>
        <w:szCs w:val="16"/>
        <w:u w:color="7F7F7F"/>
      </w:rPr>
      <w:fldChar w:fldCharType="end"/>
    </w:r>
    <w:r>
      <w:rPr>
        <w:color w:val="7F7F7F"/>
        <w:sz w:val="16"/>
        <w:szCs w:val="16"/>
        <w:u w:color="7F7F7F"/>
      </w:rPr>
      <w:t xml:space="preserve"> of </w:t>
    </w:r>
    <w:r>
      <w:rPr>
        <w:color w:val="7F7F7F"/>
        <w:sz w:val="16"/>
        <w:szCs w:val="16"/>
        <w:u w:color="7F7F7F"/>
      </w:rPr>
      <w:fldChar w:fldCharType="begin"/>
    </w:r>
    <w:r>
      <w:rPr>
        <w:color w:val="7F7F7F"/>
        <w:sz w:val="16"/>
        <w:szCs w:val="16"/>
        <w:u w:color="7F7F7F"/>
      </w:rPr>
      <w:instrText xml:space="preserve"> NUMPAGES </w:instrText>
    </w:r>
    <w:r>
      <w:rPr>
        <w:color w:val="7F7F7F"/>
        <w:sz w:val="16"/>
        <w:szCs w:val="16"/>
        <w:u w:color="7F7F7F"/>
      </w:rPr>
      <w:fldChar w:fldCharType="separate"/>
    </w:r>
    <w:r w:rsidR="007277E8">
      <w:rPr>
        <w:noProof/>
        <w:color w:val="7F7F7F"/>
        <w:sz w:val="16"/>
        <w:szCs w:val="16"/>
        <w:u w:color="7F7F7F"/>
      </w:rPr>
      <w:t>2</w:t>
    </w:r>
    <w:r>
      <w:rPr>
        <w:color w:val="7F7F7F"/>
        <w:sz w:val="16"/>
        <w:szCs w:val="16"/>
        <w:u w:color="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F156" w14:textId="77777777" w:rsidR="002E3C79" w:rsidRDefault="002E3C79">
    <w:pPr>
      <w:pStyle w:val="Footer"/>
      <w:tabs>
        <w:tab w:val="clear" w:pos="9360"/>
        <w:tab w:val="right" w:pos="8931"/>
      </w:tabs>
      <w:jc w:val="right"/>
    </w:pPr>
  </w:p>
  <w:p w14:paraId="0DD219D5" w14:textId="77777777" w:rsidR="002E3C79" w:rsidRDefault="00000000">
    <w:pPr>
      <w:pStyle w:val="Footer"/>
      <w:pBdr>
        <w:top w:val="single" w:sz="4" w:space="0" w:color="000000"/>
      </w:pBdr>
      <w:tabs>
        <w:tab w:val="clear" w:pos="9360"/>
        <w:tab w:val="right" w:pos="8931"/>
      </w:tabs>
      <w:jc w:val="left"/>
    </w:pPr>
    <w:r>
      <w:rPr>
        <w:color w:val="7F7F7F"/>
        <w:sz w:val="16"/>
        <w:szCs w:val="16"/>
        <w:u w:color="7F7F7F"/>
      </w:rPr>
      <w:t xml:space="preserve">UNOFFICIAL TEXT · CENTRE FOR INTERNATIONAL LAW · </w:t>
    </w:r>
    <w:hyperlink r:id="rId1" w:history="1">
      <w:r w:rsidR="002E3C79">
        <w:rPr>
          <w:rStyle w:val="Hyperlink0"/>
        </w:rPr>
        <w:t>www.cil.nus.edu.sg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A854" w14:textId="77777777" w:rsidR="00502B2D" w:rsidRDefault="00502B2D">
      <w:r>
        <w:separator/>
      </w:r>
    </w:p>
  </w:footnote>
  <w:footnote w:type="continuationSeparator" w:id="0">
    <w:p w14:paraId="79EDD8C5" w14:textId="77777777" w:rsidR="00502B2D" w:rsidRDefault="0050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C13F" w14:textId="77777777" w:rsidR="007277E8" w:rsidRDefault="00727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740" w14:textId="024CA851" w:rsidR="002E3C79" w:rsidRDefault="00000000">
    <w:pPr>
      <w:pStyle w:val="Header"/>
      <w:pBdr>
        <w:bottom w:val="single" w:sz="4" w:space="0" w:color="000000"/>
      </w:pBdr>
      <w:tabs>
        <w:tab w:val="clear" w:pos="9360"/>
        <w:tab w:val="right" w:pos="9000"/>
      </w:tabs>
    </w:pPr>
    <w:r>
      <w:rPr>
        <w:caps/>
        <w:color w:val="808080"/>
        <w:sz w:val="16"/>
        <w:szCs w:val="16"/>
        <w:u w:color="808080"/>
      </w:rPr>
      <w:t xml:space="preserve">2025 ASEAN </w:t>
    </w:r>
    <w:r w:rsidR="007277E8">
      <w:rPr>
        <w:caps/>
        <w:color w:val="808080"/>
        <w:sz w:val="16"/>
        <w:szCs w:val="16"/>
        <w:u w:color="808080"/>
      </w:rPr>
      <w:t>FM</w:t>
    </w:r>
    <w:r w:rsidR="007277E8" w:rsidRPr="007277E8">
      <w:rPr>
        <w:color w:val="808080"/>
        <w:sz w:val="16"/>
        <w:szCs w:val="16"/>
        <w:u w:color="808080"/>
      </w:rPr>
      <w:t>s</w:t>
    </w:r>
    <w:r>
      <w:rPr>
        <w:caps/>
        <w:color w:val="808080"/>
        <w:sz w:val="16"/>
        <w:szCs w:val="16"/>
        <w:u w:color="808080"/>
      </w:rPr>
      <w:t>’ Decision on Enhancing ASEAN Relations with External Parties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0CEC" w14:textId="77777777" w:rsidR="002E3C79" w:rsidRDefault="002E3C7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74D9"/>
    <w:multiLevelType w:val="hybridMultilevel"/>
    <w:tmpl w:val="4914FDD0"/>
    <w:numStyleLink w:val="ImportedStyle1"/>
  </w:abstractNum>
  <w:abstractNum w:abstractNumId="1" w15:restartNumberingAfterBreak="0">
    <w:nsid w:val="706938CF"/>
    <w:multiLevelType w:val="hybridMultilevel"/>
    <w:tmpl w:val="4914FDD0"/>
    <w:styleLink w:val="ImportedStyle1"/>
    <w:lvl w:ilvl="0" w:tplc="D1BA83B2">
      <w:start w:val="1"/>
      <w:numFmt w:val="decimal"/>
      <w:lvlText w:val="%1."/>
      <w:lvlJc w:val="left"/>
      <w:pPr>
        <w:tabs>
          <w:tab w:val="left" w:pos="589"/>
        </w:tabs>
        <w:ind w:left="58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46CECC">
      <w:start w:val="1"/>
      <w:numFmt w:val="lowerLetter"/>
      <w:lvlText w:val="(%2)"/>
      <w:lvlJc w:val="left"/>
      <w:pPr>
        <w:ind w:left="1158"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56E4FA">
      <w:start w:val="1"/>
      <w:numFmt w:val="lowerLetter"/>
      <w:lvlText w:val="(%3)"/>
      <w:lvlJc w:val="left"/>
      <w:pPr>
        <w:tabs>
          <w:tab w:val="left" w:pos="1158"/>
        </w:tabs>
        <w:ind w:left="174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A0CD08C">
      <w:start w:val="1"/>
      <w:numFmt w:val="lowerLetter"/>
      <w:lvlText w:val="(%4)"/>
      <w:lvlJc w:val="left"/>
      <w:pPr>
        <w:tabs>
          <w:tab w:val="left" w:pos="1158"/>
        </w:tabs>
        <w:ind w:left="23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68AF8AA">
      <w:start w:val="1"/>
      <w:numFmt w:val="lowerLetter"/>
      <w:lvlText w:val="(%5)"/>
      <w:lvlJc w:val="left"/>
      <w:pPr>
        <w:tabs>
          <w:tab w:val="left" w:pos="1158"/>
        </w:tabs>
        <w:ind w:left="2931"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BF644E4">
      <w:start w:val="1"/>
      <w:numFmt w:val="lowerLetter"/>
      <w:lvlText w:val="(%6)"/>
      <w:lvlJc w:val="left"/>
      <w:pPr>
        <w:tabs>
          <w:tab w:val="left" w:pos="1158"/>
        </w:tabs>
        <w:ind w:left="3522"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9B680AA">
      <w:start w:val="1"/>
      <w:numFmt w:val="lowerLetter"/>
      <w:lvlText w:val="(%7)"/>
      <w:lvlJc w:val="left"/>
      <w:pPr>
        <w:tabs>
          <w:tab w:val="left" w:pos="1158"/>
        </w:tabs>
        <w:ind w:left="4113"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9F24FDA">
      <w:start w:val="1"/>
      <w:numFmt w:val="lowerLetter"/>
      <w:lvlText w:val="(%8)"/>
      <w:lvlJc w:val="left"/>
      <w:pPr>
        <w:tabs>
          <w:tab w:val="left" w:pos="1158"/>
        </w:tabs>
        <w:ind w:left="4704"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354A86E">
      <w:start w:val="1"/>
      <w:numFmt w:val="lowerLetter"/>
      <w:lvlText w:val="(%9)"/>
      <w:lvlJc w:val="left"/>
      <w:pPr>
        <w:tabs>
          <w:tab w:val="left" w:pos="1158"/>
        </w:tabs>
        <w:ind w:left="5295"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16905463">
    <w:abstractNumId w:val="1"/>
  </w:num>
  <w:num w:numId="2" w16cid:durableId="1047027269">
    <w:abstractNumId w:val="0"/>
  </w:num>
  <w:num w:numId="3" w16cid:durableId="98379426">
    <w:abstractNumId w:val="0"/>
    <w:lvlOverride w:ilvl="0">
      <w:lvl w:ilvl="0" w:tplc="F4EA6CE4">
        <w:start w:val="1"/>
        <w:numFmt w:val="decimal"/>
        <w:lvlText w:val="%1."/>
        <w:lvlJc w:val="left"/>
        <w:pPr>
          <w:ind w:left="58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78333C">
        <w:start w:val="1"/>
        <w:numFmt w:val="lowerLetter"/>
        <w:lvlText w:val="(%2)"/>
        <w:lvlJc w:val="left"/>
        <w:pPr>
          <w:tabs>
            <w:tab w:val="left" w:pos="1158"/>
          </w:tabs>
          <w:ind w:left="1158"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EEACEC">
        <w:start w:val="1"/>
        <w:numFmt w:val="lowerLetter"/>
        <w:lvlText w:val="(%3)"/>
        <w:lvlJc w:val="left"/>
        <w:pPr>
          <w:tabs>
            <w:tab w:val="left" w:pos="1156"/>
            <w:tab w:val="left" w:pos="1158"/>
          </w:tabs>
          <w:ind w:left="174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E4A7A2">
        <w:start w:val="1"/>
        <w:numFmt w:val="lowerLetter"/>
        <w:lvlText w:val="(%4)"/>
        <w:lvlJc w:val="left"/>
        <w:pPr>
          <w:tabs>
            <w:tab w:val="left" w:pos="1156"/>
            <w:tab w:val="left" w:pos="1158"/>
          </w:tabs>
          <w:ind w:left="23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A4478C">
        <w:start w:val="1"/>
        <w:numFmt w:val="lowerLetter"/>
        <w:lvlText w:val="(%5)"/>
        <w:lvlJc w:val="left"/>
        <w:pPr>
          <w:tabs>
            <w:tab w:val="left" w:pos="1156"/>
            <w:tab w:val="left" w:pos="1158"/>
          </w:tabs>
          <w:ind w:left="2931"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2899E0">
        <w:start w:val="1"/>
        <w:numFmt w:val="lowerLetter"/>
        <w:lvlText w:val="(%6)"/>
        <w:lvlJc w:val="left"/>
        <w:pPr>
          <w:tabs>
            <w:tab w:val="left" w:pos="1156"/>
            <w:tab w:val="left" w:pos="1158"/>
          </w:tabs>
          <w:ind w:left="3522"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90FC5A">
        <w:start w:val="1"/>
        <w:numFmt w:val="lowerLetter"/>
        <w:lvlText w:val="(%7)"/>
        <w:lvlJc w:val="left"/>
        <w:pPr>
          <w:tabs>
            <w:tab w:val="left" w:pos="1156"/>
            <w:tab w:val="left" w:pos="1158"/>
          </w:tabs>
          <w:ind w:left="4113"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2C2A7C">
        <w:start w:val="1"/>
        <w:numFmt w:val="lowerLetter"/>
        <w:lvlText w:val="(%8)"/>
        <w:lvlJc w:val="left"/>
        <w:pPr>
          <w:tabs>
            <w:tab w:val="left" w:pos="1156"/>
            <w:tab w:val="left" w:pos="1158"/>
          </w:tabs>
          <w:ind w:left="4704"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C098A4">
        <w:start w:val="1"/>
        <w:numFmt w:val="lowerLetter"/>
        <w:lvlText w:val="(%9)"/>
        <w:lvlJc w:val="left"/>
        <w:pPr>
          <w:tabs>
            <w:tab w:val="left" w:pos="1156"/>
            <w:tab w:val="left" w:pos="1158"/>
          </w:tabs>
          <w:ind w:left="5295"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287932241">
    <w:abstractNumId w:val="0"/>
    <w:lvlOverride w:ilvl="0">
      <w:lvl w:ilvl="0" w:tplc="F4EA6CE4">
        <w:start w:val="1"/>
        <w:numFmt w:val="decimal"/>
        <w:lvlText w:val="%1."/>
        <w:lvlJc w:val="left"/>
        <w:pPr>
          <w:ind w:left="58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78333C">
        <w:start w:val="1"/>
        <w:numFmt w:val="lowerLetter"/>
        <w:lvlText w:val="(%2)"/>
        <w:lvlJc w:val="left"/>
        <w:pPr>
          <w:tabs>
            <w:tab w:val="left" w:pos="1158"/>
          </w:tabs>
          <w:ind w:left="1158"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EEACEC">
        <w:start w:val="1"/>
        <w:numFmt w:val="lowerLetter"/>
        <w:lvlText w:val="(%3)"/>
        <w:lvlJc w:val="left"/>
        <w:pPr>
          <w:tabs>
            <w:tab w:val="left" w:pos="1155"/>
            <w:tab w:val="left" w:pos="1158"/>
          </w:tabs>
          <w:ind w:left="1749"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E4A7A2">
        <w:start w:val="1"/>
        <w:numFmt w:val="lowerLetter"/>
        <w:lvlText w:val="(%4)"/>
        <w:lvlJc w:val="left"/>
        <w:pPr>
          <w:tabs>
            <w:tab w:val="left" w:pos="1155"/>
            <w:tab w:val="left" w:pos="1158"/>
          </w:tabs>
          <w:ind w:left="2340"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A4478C">
        <w:start w:val="1"/>
        <w:numFmt w:val="lowerLetter"/>
        <w:lvlText w:val="(%5)"/>
        <w:lvlJc w:val="left"/>
        <w:pPr>
          <w:tabs>
            <w:tab w:val="left" w:pos="1155"/>
            <w:tab w:val="left" w:pos="1158"/>
          </w:tabs>
          <w:ind w:left="2931"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2899E0">
        <w:start w:val="1"/>
        <w:numFmt w:val="lowerLetter"/>
        <w:lvlText w:val="(%6)"/>
        <w:lvlJc w:val="left"/>
        <w:pPr>
          <w:tabs>
            <w:tab w:val="left" w:pos="1155"/>
            <w:tab w:val="left" w:pos="1158"/>
          </w:tabs>
          <w:ind w:left="3522"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90FC5A">
        <w:start w:val="1"/>
        <w:numFmt w:val="lowerLetter"/>
        <w:lvlText w:val="(%7)"/>
        <w:lvlJc w:val="left"/>
        <w:pPr>
          <w:tabs>
            <w:tab w:val="left" w:pos="1155"/>
            <w:tab w:val="left" w:pos="1158"/>
          </w:tabs>
          <w:ind w:left="4113"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2C2A7C">
        <w:start w:val="1"/>
        <w:numFmt w:val="lowerLetter"/>
        <w:lvlText w:val="(%8)"/>
        <w:lvlJc w:val="left"/>
        <w:pPr>
          <w:tabs>
            <w:tab w:val="left" w:pos="1155"/>
            <w:tab w:val="left" w:pos="1158"/>
          </w:tabs>
          <w:ind w:left="4704"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C098A4">
        <w:start w:val="1"/>
        <w:numFmt w:val="lowerLetter"/>
        <w:lvlText w:val="(%9)"/>
        <w:lvlJc w:val="left"/>
        <w:pPr>
          <w:tabs>
            <w:tab w:val="left" w:pos="1155"/>
            <w:tab w:val="left" w:pos="1158"/>
          </w:tabs>
          <w:ind w:left="5295"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79"/>
    <w:rsid w:val="002E3C79"/>
    <w:rsid w:val="00414DF3"/>
    <w:rsid w:val="00502B2D"/>
    <w:rsid w:val="007277E8"/>
    <w:rsid w:val="008F5979"/>
    <w:rsid w:val="009A2248"/>
    <w:rsid w:val="00AB4E77"/>
    <w:rsid w:val="00F618B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7336"/>
  <w15:docId w15:val="{A8FC5C12-7408-49D3-B4AD-9CAE8B90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S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jc w:val="both"/>
    </w:pPr>
    <w:rPr>
      <w:rFonts w:ascii="Arial" w:hAnsi="Arial" w:cs="Arial Unicode MS"/>
      <w:color w:val="000000"/>
      <w:u w:color="000000"/>
      <w:lang w:val="en-US"/>
    </w:rPr>
  </w:style>
  <w:style w:type="paragraph" w:styleId="Footer">
    <w:name w:val="footer"/>
    <w:pPr>
      <w:tabs>
        <w:tab w:val="center" w:pos="4680"/>
        <w:tab w:val="right" w:pos="9360"/>
      </w:tabs>
      <w:jc w:val="both"/>
    </w:pPr>
    <w:rPr>
      <w:rFonts w:ascii="Arial" w:eastAsia="Arial" w:hAnsi="Arial" w:cs="Arial"/>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7F7F7F"/>
      <w:sz w:val="16"/>
      <w:szCs w:val="16"/>
      <w:u w:val="single" w:color="7F7F7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ILTitle">
    <w:name w:val="CIL Title"/>
    <w:pPr>
      <w:spacing w:before="240" w:after="120" w:line="276" w:lineRule="auto"/>
      <w:jc w:val="center"/>
    </w:pPr>
    <w:rPr>
      <w:rFonts w:ascii="Arial" w:hAnsi="Arial" w:cs="Arial Unicode MS"/>
      <w:b/>
      <w:bCs/>
      <w:caps/>
      <w:color w:val="000000"/>
      <w:kern w:val="32"/>
      <w:sz w:val="28"/>
      <w:szCs w:val="28"/>
      <w:u w:color="000000"/>
      <w:lang w:val="en-US"/>
    </w:rPr>
  </w:style>
  <w:style w:type="paragraph" w:customStyle="1" w:styleId="CILSubtitle">
    <w:name w:val="CIL Subtitle"/>
    <w:pPr>
      <w:spacing w:before="240" w:after="120" w:line="276" w:lineRule="auto"/>
      <w:jc w:val="center"/>
    </w:pPr>
    <w:rPr>
      <w:rFonts w:ascii="Arial" w:hAnsi="Arial" w:cs="Arial Unicode MS"/>
      <w:i/>
      <w:iCs/>
      <w:color w:val="000000"/>
      <w:u w:color="000000"/>
      <w:lang w:val="en-US"/>
    </w:rPr>
  </w:style>
  <w:style w:type="paragraph" w:styleId="TOC6">
    <w:name w:val="toc 6"/>
    <w:next w:val="Body"/>
    <w:pPr>
      <w:ind w:left="1200"/>
    </w:pPr>
    <w:rPr>
      <w:rFonts w:ascii="Cambria" w:hAnsi="Cambria" w:cs="Arial Unicode MS"/>
      <w:color w:val="000000"/>
      <w:sz w:val="24"/>
      <w:szCs w:val="24"/>
      <w:u w:color="000000"/>
      <w:lang w:val="en-US"/>
    </w:rPr>
  </w:style>
  <w:style w:type="paragraph" w:customStyle="1" w:styleId="Body">
    <w:name w:val="Body"/>
    <w:pPr>
      <w:spacing w:before="240" w:after="120" w:line="276" w:lineRule="auto"/>
      <w:jc w:val="both"/>
    </w:pPr>
    <w:rPr>
      <w:rFonts w:ascii="Arial" w:hAnsi="Arial" w:cs="Arial Unicode MS"/>
      <w:color w:val="000000"/>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
    <w:name w:val="Body Text"/>
    <w:pPr>
      <w:widowControl w:val="0"/>
      <w:jc w:val="both"/>
    </w:pPr>
    <w:rPr>
      <w:rFonts w:eastAsia="Times New Roman"/>
      <w:color w:val="000000"/>
      <w:sz w:val="28"/>
      <w:szCs w:val="28"/>
      <w:u w:color="000000"/>
      <w:lang w:val="en-US"/>
    </w:rPr>
  </w:style>
  <w:style w:type="paragraph" w:styleId="Revision">
    <w:name w:val="Revision"/>
    <w:hidden/>
    <w:uiPriority w:val="99"/>
    <w:semiHidden/>
    <w:rsid w:val="007277E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Sze Wei</cp:lastModifiedBy>
  <cp:revision>3</cp:revision>
  <dcterms:created xsi:type="dcterms:W3CDTF">2025-11-18T08:28:00Z</dcterms:created>
  <dcterms:modified xsi:type="dcterms:W3CDTF">2025-12-08T03:58:00Z</dcterms:modified>
</cp:coreProperties>
</file>