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D8BD0" w14:textId="295985BB" w:rsidR="00A711BF" w:rsidRDefault="00A711BF" w:rsidP="00A711BF">
      <w:pPr>
        <w:pStyle w:val="CILTitle"/>
      </w:pPr>
      <w:r>
        <w:t xml:space="preserve">2025 </w:t>
      </w:r>
      <w:r>
        <w:t>BANGKOK DIGITAL DECLARATION</w:t>
      </w:r>
    </w:p>
    <w:p w14:paraId="729837CE" w14:textId="2BFE7EB6" w:rsidR="00A711BF" w:rsidRDefault="00804BCB" w:rsidP="00A711BF">
      <w:pPr>
        <w:pStyle w:val="CILSubtitle"/>
      </w:pPr>
      <w:r>
        <w:t>Adopted</w:t>
      </w:r>
      <w:r w:rsidR="00A711BF">
        <w:t xml:space="preserve"> in </w:t>
      </w:r>
      <w:r w:rsidR="00A711BF">
        <w:t>Bangkok, Thailand</w:t>
      </w:r>
      <w:r w:rsidR="00A711BF">
        <w:t xml:space="preserve">, on </w:t>
      </w:r>
      <w:r w:rsidR="00A711BF">
        <w:t>17 January 2025</w:t>
      </w:r>
    </w:p>
    <w:p w14:paraId="4EA166C3" w14:textId="2453F141" w:rsidR="0040360F" w:rsidRDefault="0040360F" w:rsidP="0040360F">
      <w:pPr>
        <w:pStyle w:val="Heading2"/>
      </w:pPr>
      <w:r>
        <w:t xml:space="preserve">"Secure, Innovative, Inclusive: </w:t>
      </w:r>
      <w:r>
        <w:br/>
        <w:t>Shaping ASEAN's Digital Future"</w:t>
      </w:r>
    </w:p>
    <w:p w14:paraId="39D465D8" w14:textId="77777777" w:rsidR="0040360F" w:rsidRDefault="0040360F" w:rsidP="00A711BF">
      <w:pPr>
        <w:spacing w:before="0" w:after="0"/>
      </w:pPr>
    </w:p>
    <w:p w14:paraId="6B5A74F8" w14:textId="20F032AA" w:rsidR="00A711BF" w:rsidRDefault="00A711BF" w:rsidP="00A711BF">
      <w:pPr>
        <w:spacing w:before="0" w:after="0"/>
      </w:pPr>
      <w:r>
        <w:t>The Fifth ASEAN Digital Ministers’ Meeting (hereinafter referred to as “ADGMIN”) was</w:t>
      </w:r>
      <w:r>
        <w:t xml:space="preserve"> </w:t>
      </w:r>
      <w:r>
        <w:t>convened from 16 to 17 January 2025:</w:t>
      </w:r>
    </w:p>
    <w:p w14:paraId="6B200B38" w14:textId="77777777" w:rsidR="00A711BF" w:rsidRDefault="00A711BF" w:rsidP="00A711BF">
      <w:pPr>
        <w:spacing w:before="0" w:after="0"/>
      </w:pPr>
    </w:p>
    <w:p w14:paraId="206E31A9" w14:textId="14BBBCB8" w:rsidR="00A711BF" w:rsidRDefault="00A711BF" w:rsidP="00A711BF">
      <w:pPr>
        <w:spacing w:before="0" w:after="0"/>
      </w:pPr>
      <w:r w:rsidRPr="00515E40">
        <w:rPr>
          <w:b/>
          <w:bCs/>
        </w:rPr>
        <w:t>REAFFIRMING</w:t>
      </w:r>
      <w:r>
        <w:t xml:space="preserve"> the aims and purposes of ASEAN as enshrined in the Bangkok</w:t>
      </w:r>
      <w:r w:rsidR="00804BCB">
        <w:t xml:space="preserve"> </w:t>
      </w:r>
      <w:r>
        <w:t xml:space="preserve">Declaration of </w:t>
      </w:r>
      <w:r w:rsidR="00984EDC">
        <w:br/>
      </w:r>
      <w:r>
        <w:t>8 August 1967 and the ASEAN Charter, particularly to accelerate economic</w:t>
      </w:r>
      <w:r w:rsidR="00804BCB">
        <w:t xml:space="preserve"> </w:t>
      </w:r>
      <w:r>
        <w:t>growth, social progress, and cultural development in the region through joint endeavors</w:t>
      </w:r>
      <w:r w:rsidR="00804BCB">
        <w:t xml:space="preserve"> </w:t>
      </w:r>
      <w:r>
        <w:t>in the spirit of equality and partnerships to strengthen the foundation for a prosperous and</w:t>
      </w:r>
      <w:r w:rsidR="00804BCB">
        <w:t xml:space="preserve"> </w:t>
      </w:r>
      <w:r>
        <w:t xml:space="preserve">peaceful community of Southeast Asian </w:t>
      </w:r>
      <w:proofErr w:type="gramStart"/>
      <w:r>
        <w:t>Nations;</w:t>
      </w:r>
      <w:proofErr w:type="gramEnd"/>
    </w:p>
    <w:p w14:paraId="1DF38558" w14:textId="77777777" w:rsidR="00804BCB" w:rsidRDefault="00804BCB" w:rsidP="00A711BF">
      <w:pPr>
        <w:spacing w:before="0" w:after="0"/>
      </w:pPr>
    </w:p>
    <w:p w14:paraId="2C42982E" w14:textId="1DF95E8C" w:rsidR="00A711BF" w:rsidRDefault="00A711BF" w:rsidP="00A711BF">
      <w:pPr>
        <w:spacing w:before="0" w:after="0"/>
      </w:pPr>
      <w:r w:rsidRPr="00515E40">
        <w:rPr>
          <w:b/>
          <w:bCs/>
        </w:rPr>
        <w:t>GUIDED</w:t>
      </w:r>
      <w:r>
        <w:t xml:space="preserve"> by the ASEAN Economic Community Blueprint 2025, adopted by the ASEAN</w:t>
      </w:r>
      <w:r w:rsidR="00804BCB">
        <w:t xml:space="preserve"> </w:t>
      </w:r>
      <w:r>
        <w:t>Leaders at the 27th ASEAN Summit in Kuala Lumpur, Malaysia, in November 2015, which</w:t>
      </w:r>
      <w:r w:rsidR="00804BCB">
        <w:t xml:space="preserve"> </w:t>
      </w:r>
      <w:r>
        <w:t>aims to achieve the vision of an ASEAN Economic Community that is highly integrated</w:t>
      </w:r>
      <w:r w:rsidR="00804BCB">
        <w:t xml:space="preserve"> </w:t>
      </w:r>
      <w:r>
        <w:t>and cohesive, competitive, innovative, and dynamic, with enhanced connectivity and</w:t>
      </w:r>
      <w:r w:rsidR="00804BCB">
        <w:t xml:space="preserve"> </w:t>
      </w:r>
      <w:r>
        <w:t xml:space="preserve">sectoral cooperation, and a more resilient, inclusive, </w:t>
      </w:r>
      <w:r w:rsidR="00385F70">
        <w:br/>
      </w:r>
      <w:r>
        <w:t xml:space="preserve">people-oriented, and people-centered ASEAN as a strong part of the global </w:t>
      </w:r>
      <w:proofErr w:type="gramStart"/>
      <w:r>
        <w:t>economy;</w:t>
      </w:r>
      <w:proofErr w:type="gramEnd"/>
    </w:p>
    <w:p w14:paraId="28719D4D" w14:textId="77777777" w:rsidR="00804BCB" w:rsidRDefault="00804BCB" w:rsidP="00A711BF">
      <w:pPr>
        <w:spacing w:before="0" w:after="0"/>
      </w:pPr>
    </w:p>
    <w:p w14:paraId="0145AEAA" w14:textId="704EA34B" w:rsidR="00A711BF" w:rsidRDefault="00A711BF" w:rsidP="00A711BF">
      <w:pPr>
        <w:spacing w:before="0" w:after="0"/>
      </w:pPr>
      <w:r w:rsidRPr="00515E40">
        <w:rPr>
          <w:b/>
          <w:bCs/>
        </w:rPr>
        <w:t>FURTHER GUIDED</w:t>
      </w:r>
      <w:r>
        <w:t xml:space="preserve"> by the ASEAN Digital Masterplan 2025 to drive the region’s digital</w:t>
      </w:r>
      <w:r w:rsidR="00804BCB">
        <w:t xml:space="preserve"> </w:t>
      </w:r>
      <w:r>
        <w:t>cooperation from 2021 to 2025, transforming ASEAN into a leading digitally connected</w:t>
      </w:r>
      <w:r w:rsidR="00804BCB">
        <w:t xml:space="preserve"> </w:t>
      </w:r>
      <w:r>
        <w:t>community and economic bloc powered by secure and transformative digital services,</w:t>
      </w:r>
      <w:r w:rsidR="00804BCB">
        <w:t xml:space="preserve"> </w:t>
      </w:r>
      <w:r>
        <w:t xml:space="preserve">technologies, and ecosystems, undergirded by robust efforts to enhance </w:t>
      </w:r>
      <w:proofErr w:type="gramStart"/>
      <w:r>
        <w:t>cybersecurity;</w:t>
      </w:r>
      <w:proofErr w:type="gramEnd"/>
    </w:p>
    <w:p w14:paraId="2E1B5E1C" w14:textId="77777777" w:rsidR="00804BCB" w:rsidRDefault="00804BCB" w:rsidP="00A711BF">
      <w:pPr>
        <w:spacing w:before="0" w:after="0"/>
      </w:pPr>
    </w:p>
    <w:p w14:paraId="58470801" w14:textId="2F7B73EF" w:rsidR="00A711BF" w:rsidRDefault="00A711BF" w:rsidP="00A711BF">
      <w:pPr>
        <w:spacing w:before="0" w:after="0"/>
      </w:pPr>
      <w:r w:rsidRPr="00515E40">
        <w:rPr>
          <w:b/>
          <w:bCs/>
        </w:rPr>
        <w:t>RECOGNIZING</w:t>
      </w:r>
      <w:r>
        <w:t xml:space="preserve"> the eight desirable outcomes, under the implementation of ASEAN</w:t>
      </w:r>
      <w:r w:rsidR="00804BCB">
        <w:t xml:space="preserve"> </w:t>
      </w:r>
      <w:r>
        <w:t>Digital Masterplan 2025, in particular the importance of the delivery of trusted digital</w:t>
      </w:r>
      <w:r w:rsidR="00804BCB">
        <w:t xml:space="preserve"> </w:t>
      </w:r>
      <w:r>
        <w:t>services and the prevention of consumer harm, strengthening e-government service,</w:t>
      </w:r>
      <w:r w:rsidR="00804BCB">
        <w:t xml:space="preserve"> </w:t>
      </w:r>
      <w:r>
        <w:t>empowering our communities, and increasing capability for business and our peoples</w:t>
      </w:r>
      <w:r w:rsidR="00804BCB">
        <w:t xml:space="preserve"> </w:t>
      </w:r>
      <w:r>
        <w:t xml:space="preserve">with digital skills and </w:t>
      </w:r>
      <w:proofErr w:type="gramStart"/>
      <w:r>
        <w:t>talent;</w:t>
      </w:r>
      <w:proofErr w:type="gramEnd"/>
    </w:p>
    <w:p w14:paraId="62858EC0" w14:textId="77777777" w:rsidR="00804BCB" w:rsidRDefault="00804BCB" w:rsidP="00A711BF">
      <w:pPr>
        <w:spacing w:before="0" w:after="0"/>
      </w:pPr>
    </w:p>
    <w:p w14:paraId="2F923333" w14:textId="4757D75D" w:rsidR="00A711BF" w:rsidRDefault="00A711BF" w:rsidP="00A711BF">
      <w:pPr>
        <w:spacing w:before="0" w:after="0"/>
      </w:pPr>
      <w:r w:rsidRPr="00515E40">
        <w:rPr>
          <w:b/>
          <w:bCs/>
        </w:rPr>
        <w:t>FURTHER RECOGNIZING</w:t>
      </w:r>
      <w:r>
        <w:t xml:space="preserve"> the rapid pace of digital transformation and its profound</w:t>
      </w:r>
      <w:r w:rsidR="00804BCB">
        <w:t xml:space="preserve"> </w:t>
      </w:r>
      <w:r>
        <w:t>impact on our economies, societies, and governance—particularly the rise in significance</w:t>
      </w:r>
      <w:r w:rsidR="00804BCB">
        <w:t xml:space="preserve"> </w:t>
      </w:r>
      <w:r>
        <w:t>of artificial intelligence (AI) and the proliferation of generative AI as an emerging</w:t>
      </w:r>
      <w:r w:rsidR="00804BCB">
        <w:t xml:space="preserve"> </w:t>
      </w:r>
      <w:r>
        <w:t xml:space="preserve">transformative branch of information technology with cross-sectoral </w:t>
      </w:r>
      <w:proofErr w:type="gramStart"/>
      <w:r>
        <w:t>application;</w:t>
      </w:r>
      <w:proofErr w:type="gramEnd"/>
    </w:p>
    <w:p w14:paraId="16C2E992" w14:textId="38C246C0" w:rsidR="00A711BF" w:rsidRDefault="00A711BF" w:rsidP="00A711BF">
      <w:pPr>
        <w:spacing w:before="0" w:after="0"/>
      </w:pPr>
    </w:p>
    <w:p w14:paraId="3700B43E" w14:textId="50C0392D" w:rsidR="00A711BF" w:rsidRDefault="00A711BF" w:rsidP="00A711BF">
      <w:pPr>
        <w:spacing w:before="0" w:after="0"/>
      </w:pPr>
      <w:r w:rsidRPr="00515E40">
        <w:rPr>
          <w:b/>
          <w:bCs/>
        </w:rPr>
        <w:t>ACKNOWLEDGING</w:t>
      </w:r>
      <w:r>
        <w:t xml:space="preserve"> the critical importance of cybersecurity, innovation, and inclusivity</w:t>
      </w:r>
      <w:r w:rsidR="00804BCB">
        <w:t xml:space="preserve"> </w:t>
      </w:r>
      <w:r>
        <w:t xml:space="preserve">in shaping a resilient and prosperous digital future for </w:t>
      </w:r>
      <w:proofErr w:type="gramStart"/>
      <w:r>
        <w:t>ASEAN;</w:t>
      </w:r>
      <w:proofErr w:type="gramEnd"/>
    </w:p>
    <w:p w14:paraId="32FE7018" w14:textId="77777777" w:rsidR="00804BCB" w:rsidRDefault="00804BCB" w:rsidP="00A711BF">
      <w:pPr>
        <w:spacing w:before="0" w:after="0"/>
      </w:pPr>
    </w:p>
    <w:p w14:paraId="2BFE7520" w14:textId="02ACE6D9" w:rsidR="00A711BF" w:rsidRDefault="00A711BF" w:rsidP="00A711BF">
      <w:pPr>
        <w:spacing w:before="0" w:after="0"/>
      </w:pPr>
      <w:r w:rsidRPr="00515E40">
        <w:rPr>
          <w:b/>
          <w:bCs/>
        </w:rPr>
        <w:t>REALISING</w:t>
      </w:r>
      <w:r>
        <w:t xml:space="preserve"> the ASEAN Leaders' Declaration on the Development of Strategic Plans to</w:t>
      </w:r>
      <w:r w:rsidR="00804BCB">
        <w:t xml:space="preserve"> </w:t>
      </w:r>
      <w:r>
        <w:t>implement the ASEAN Community Vision 2045, which aspires to build a resilient,</w:t>
      </w:r>
      <w:r w:rsidR="00804BCB">
        <w:t xml:space="preserve"> </w:t>
      </w:r>
      <w:r>
        <w:t xml:space="preserve">innovative, dynamic, and </w:t>
      </w:r>
      <w:r w:rsidR="00385F70">
        <w:br/>
      </w:r>
      <w:r>
        <w:t>people-centered ASEAN by 2045, envisioning a developed</w:t>
      </w:r>
      <w:r w:rsidR="00804BCB">
        <w:t xml:space="preserve"> </w:t>
      </w:r>
      <w:r>
        <w:t>ASEAN as the epicenter of growth in the Indo-</w:t>
      </w:r>
      <w:proofErr w:type="gramStart"/>
      <w:r>
        <w:t>Pacific;</w:t>
      </w:r>
      <w:proofErr w:type="gramEnd"/>
    </w:p>
    <w:p w14:paraId="32E92EEB" w14:textId="77777777" w:rsidR="00804BCB" w:rsidRDefault="00804BCB" w:rsidP="00A711BF">
      <w:pPr>
        <w:spacing w:before="0" w:after="0"/>
      </w:pPr>
    </w:p>
    <w:p w14:paraId="050A7C28" w14:textId="40079BAF" w:rsidR="00A711BF" w:rsidRDefault="00A711BF" w:rsidP="00A711BF">
      <w:pPr>
        <w:spacing w:before="0" w:after="0"/>
      </w:pPr>
      <w:r w:rsidRPr="00515E40">
        <w:rPr>
          <w:b/>
          <w:bCs/>
        </w:rPr>
        <w:t>FURTHER REALISING</w:t>
      </w:r>
      <w:r>
        <w:t xml:space="preserve"> the ASEAN Leaders' Declaration on Enhancing Supply Chain</w:t>
      </w:r>
      <w:r w:rsidR="00804BCB">
        <w:t xml:space="preserve"> </w:t>
      </w:r>
      <w:r>
        <w:t>Connectivity, which emphasizes the adoption, application, and integration of advanced</w:t>
      </w:r>
      <w:r w:rsidR="00804BCB">
        <w:t xml:space="preserve"> </w:t>
      </w:r>
      <w:r>
        <w:t xml:space="preserve">technologies such as artificial intelligence, machine learning, blockchain, </w:t>
      </w:r>
      <w:proofErr w:type="spellStart"/>
      <w:r>
        <w:t>digitalisation</w:t>
      </w:r>
      <w:proofErr w:type="spellEnd"/>
      <w:r>
        <w:t>,</w:t>
      </w:r>
      <w:r w:rsidR="00804BCB">
        <w:t xml:space="preserve"> </w:t>
      </w:r>
      <w:r>
        <w:t>and the Internet of Things to enhance supply chain efficiency and resilience, and to create</w:t>
      </w:r>
      <w:r w:rsidR="00804BCB">
        <w:t xml:space="preserve"> </w:t>
      </w:r>
      <w:r>
        <w:t>a conducive regulatory environment, pursue capacity building, and foster partnerships for</w:t>
      </w:r>
      <w:r w:rsidR="00804BCB">
        <w:t xml:space="preserve"> </w:t>
      </w:r>
      <w:r>
        <w:t>wider technology adoption.</w:t>
      </w:r>
    </w:p>
    <w:p w14:paraId="0BE86780" w14:textId="77777777" w:rsidR="00804BCB" w:rsidRDefault="00804BCB" w:rsidP="00A711BF">
      <w:pPr>
        <w:spacing w:before="0" w:after="0"/>
      </w:pPr>
    </w:p>
    <w:p w14:paraId="43BDEEC0" w14:textId="77777777" w:rsidR="00515E40" w:rsidRDefault="00515E40" w:rsidP="00A711BF">
      <w:pPr>
        <w:spacing w:before="0" w:after="0"/>
      </w:pPr>
    </w:p>
    <w:p w14:paraId="7E49B636" w14:textId="2E303EDD" w:rsidR="00A711BF" w:rsidRDefault="00A711BF" w:rsidP="00A711BF">
      <w:pPr>
        <w:spacing w:before="0" w:after="0"/>
        <w:rPr>
          <w:b/>
          <w:bCs/>
        </w:rPr>
      </w:pPr>
      <w:r w:rsidRPr="00515E40">
        <w:rPr>
          <w:b/>
          <w:bCs/>
        </w:rPr>
        <w:lastRenderedPageBreak/>
        <w:t>HEREBY AGREED TO:</w:t>
      </w:r>
    </w:p>
    <w:p w14:paraId="4AF55EB5" w14:textId="77777777" w:rsidR="00515E40" w:rsidRPr="00515E40" w:rsidRDefault="00515E40" w:rsidP="00A711BF">
      <w:pPr>
        <w:spacing w:before="0" w:after="0"/>
        <w:rPr>
          <w:b/>
          <w:bCs/>
        </w:rPr>
      </w:pPr>
    </w:p>
    <w:p w14:paraId="2B96E079" w14:textId="1E7D2F32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Strengthen collaboration through the ASEAN Working Group on Anti-Online Scam</w:t>
      </w:r>
      <w:r w:rsidR="00515E40">
        <w:t xml:space="preserve"> </w:t>
      </w:r>
      <w:r>
        <w:t>(WG-AS) to develop regional recommendations for policies and necessary actions in</w:t>
      </w:r>
      <w:r w:rsidR="00515E40">
        <w:t xml:space="preserve"> </w:t>
      </w:r>
      <w:r>
        <w:t>combatting online scams, collaboration on scam enforcement action for crime</w:t>
      </w:r>
      <w:r w:rsidR="00515E40">
        <w:t xml:space="preserve"> </w:t>
      </w:r>
      <w:r>
        <w:t>syndicates with other related institutions that operate across jurisdictions, and</w:t>
      </w:r>
      <w:r w:rsidR="00515E40">
        <w:t xml:space="preserve"> </w:t>
      </w:r>
      <w:r>
        <w:t>coordination with online platforms and banking authorities to counter online scams</w:t>
      </w:r>
      <w:r w:rsidR="00515E40">
        <w:t xml:space="preserve"> </w:t>
      </w:r>
      <w:r>
        <w:t>and fraudulent activities.</w:t>
      </w:r>
    </w:p>
    <w:p w14:paraId="4E2C26CF" w14:textId="77777777" w:rsidR="00804BCB" w:rsidRDefault="00804BCB" w:rsidP="00515E40">
      <w:pPr>
        <w:spacing w:before="0" w:after="0"/>
      </w:pPr>
    </w:p>
    <w:p w14:paraId="40B66419" w14:textId="14D0CEF5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Recognise the Report of WG-AS and the ASEAN Recommendations on Anti – Online</w:t>
      </w:r>
      <w:r w:rsidR="00515E40">
        <w:t xml:space="preserve"> </w:t>
      </w:r>
      <w:r>
        <w:t>Scam as significant milestones in our collective efforts to combat online scams,</w:t>
      </w:r>
      <w:r w:rsidR="00515E40">
        <w:t xml:space="preserve"> </w:t>
      </w:r>
      <w:r>
        <w:t>underscoring the successful cooperation among ASEAN Member States in</w:t>
      </w:r>
      <w:r w:rsidR="00515E40">
        <w:t xml:space="preserve"> </w:t>
      </w:r>
      <w:r>
        <w:t>addressing this pressing issue.</w:t>
      </w:r>
    </w:p>
    <w:p w14:paraId="4F0CB319" w14:textId="77777777" w:rsidR="00804BCB" w:rsidRDefault="00804BCB" w:rsidP="00515E40">
      <w:pPr>
        <w:spacing w:before="0" w:after="0"/>
      </w:pPr>
    </w:p>
    <w:p w14:paraId="30DAD34E" w14:textId="182AA752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Enhance public awareness of online threats, equip citizens with digital literacy and</w:t>
      </w:r>
      <w:r w:rsidR="00515E40">
        <w:t xml:space="preserve"> </w:t>
      </w:r>
      <w:r>
        <w:t>skills, and foster collaboration with ASEAN Dialogue Partners to share best practices</w:t>
      </w:r>
      <w:r w:rsidR="00515E40">
        <w:t xml:space="preserve"> </w:t>
      </w:r>
      <w:r>
        <w:t>and knowledge as well as to support Anti-Online Scams collaboration mechanisms</w:t>
      </w:r>
      <w:r w:rsidR="00515E40">
        <w:t xml:space="preserve"> </w:t>
      </w:r>
      <w:r>
        <w:t>under the ASEAN Digital Economy Framework Agreement (DEFA) and other relevant</w:t>
      </w:r>
      <w:r w:rsidR="00515E40">
        <w:t xml:space="preserve"> </w:t>
      </w:r>
      <w:r>
        <w:t>Free Trade Agreements to create a more informed and resilient digital community.</w:t>
      </w:r>
    </w:p>
    <w:p w14:paraId="66961F01" w14:textId="77777777" w:rsidR="00804BCB" w:rsidRDefault="00804BCB" w:rsidP="00515E40">
      <w:pPr>
        <w:spacing w:before="0" w:after="0"/>
      </w:pPr>
    </w:p>
    <w:p w14:paraId="01E604A5" w14:textId="6C49EC04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Strengthen the coordinated regional approach in cybersecurity cooperation, including</w:t>
      </w:r>
      <w:r w:rsidR="00515E40">
        <w:t xml:space="preserve"> </w:t>
      </w:r>
      <w:r>
        <w:t>through the ASEAN Regional CERT, to promote and facilitate the timely sharing of</w:t>
      </w:r>
      <w:r w:rsidR="00515E40">
        <w:t xml:space="preserve"> </w:t>
      </w:r>
      <w:r>
        <w:t>information related to cyber incident response in support of the work of national</w:t>
      </w:r>
      <w:r w:rsidR="00515E40">
        <w:t xml:space="preserve"> </w:t>
      </w:r>
      <w:r>
        <w:t>CERTs in ASEAN Member States, and noting that the completed ASEAN Norms</w:t>
      </w:r>
      <w:r w:rsidR="00515E40">
        <w:t xml:space="preserve"> </w:t>
      </w:r>
      <w:r>
        <w:t>Implementation Checklist could serve as a reference for regional efforts to build</w:t>
      </w:r>
      <w:r w:rsidR="00515E40">
        <w:t xml:space="preserve"> </w:t>
      </w:r>
      <w:r>
        <w:t>collective cyber resilience against emerging cyber and digital threats.</w:t>
      </w:r>
    </w:p>
    <w:p w14:paraId="6396B99F" w14:textId="77777777" w:rsidR="00804BCB" w:rsidRDefault="00804BCB" w:rsidP="00515E40">
      <w:pPr>
        <w:spacing w:before="0" w:after="0"/>
      </w:pPr>
    </w:p>
    <w:p w14:paraId="2C59D7C1" w14:textId="13985AA7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Foster digital innovation by encouraging regional investment in research and</w:t>
      </w:r>
      <w:r w:rsidR="00515E40">
        <w:t xml:space="preserve"> </w:t>
      </w:r>
      <w:r>
        <w:t>development across emerging technologies, such as artificial intelligence, Internet of</w:t>
      </w:r>
      <w:r w:rsidR="00515E40">
        <w:t xml:space="preserve"> </w:t>
      </w:r>
      <w:r>
        <w:t>Things, blockchain, and robotics, supporting the growth of start-ups and SMEs in the</w:t>
      </w:r>
      <w:r w:rsidR="00515E40">
        <w:t xml:space="preserve"> </w:t>
      </w:r>
      <w:r>
        <w:t>digital economy, and promoting collaboration among ASEAN Member States in</w:t>
      </w:r>
      <w:r w:rsidR="00515E40">
        <w:t xml:space="preserve"> </w:t>
      </w:r>
      <w:r>
        <w:t>developing and adopting comprehensive governance standards for these</w:t>
      </w:r>
      <w:r w:rsidR="00515E40">
        <w:t xml:space="preserve"> </w:t>
      </w:r>
      <w:r>
        <w:t>technologies.</w:t>
      </w:r>
    </w:p>
    <w:p w14:paraId="6D078674" w14:textId="77777777" w:rsidR="00804BCB" w:rsidRDefault="00804BCB" w:rsidP="00515E40">
      <w:pPr>
        <w:spacing w:before="0" w:after="0"/>
      </w:pPr>
    </w:p>
    <w:p w14:paraId="4B2CDB5F" w14:textId="53A1BA88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Strengthen trust and promote innovation in AI-driven digital ecosystems through the</w:t>
      </w:r>
      <w:r w:rsidR="00515E40">
        <w:t xml:space="preserve"> </w:t>
      </w:r>
      <w:r>
        <w:t>ASEAN Working Group on Artificial Intelligence Governance (WG-AI) by</w:t>
      </w:r>
      <w:r w:rsidR="00515E40">
        <w:t xml:space="preserve"> </w:t>
      </w:r>
      <w:r>
        <w:t>recommending new dimensions for ASEAN to work together, to facilitate the trusted</w:t>
      </w:r>
      <w:r w:rsidR="00515E40">
        <w:t xml:space="preserve"> </w:t>
      </w:r>
      <w:r>
        <w:t>development and deployment of generative artificial intelligence, as outlined in the</w:t>
      </w:r>
      <w:r w:rsidR="00515E40">
        <w:t xml:space="preserve"> </w:t>
      </w:r>
      <w:r>
        <w:t>expanded ASEAN Guide on AI Governance and Ethics - Generative AI.</w:t>
      </w:r>
    </w:p>
    <w:p w14:paraId="17B1724F" w14:textId="77777777" w:rsidR="00804BCB" w:rsidRDefault="00804BCB" w:rsidP="00515E40">
      <w:pPr>
        <w:spacing w:before="0" w:after="0"/>
      </w:pPr>
    </w:p>
    <w:p w14:paraId="68D96683" w14:textId="288D2DDC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Expand the responsibilities of the WG-AI to support the ADGSOM in its leading role</w:t>
      </w:r>
      <w:r w:rsidR="00515E40">
        <w:t xml:space="preserve"> </w:t>
      </w:r>
      <w:r>
        <w:t>in ASEAN AI initiatives, particularly in AI policy, governance, safety, laws, regulations,</w:t>
      </w:r>
      <w:r w:rsidR="00515E40">
        <w:t xml:space="preserve"> </w:t>
      </w:r>
      <w:r>
        <w:t>and standards. Encourage other ASEAN Sectoral Bodies to leverage AI, develop</w:t>
      </w:r>
      <w:r w:rsidR="00515E40">
        <w:t xml:space="preserve"> </w:t>
      </w:r>
      <w:r>
        <w:t>impactful initiatives, and maximize the benefits of this transformative technology</w:t>
      </w:r>
      <w:r w:rsidR="00515E40">
        <w:t xml:space="preserve"> </w:t>
      </w:r>
      <w:r>
        <w:t xml:space="preserve">across the region, while consulting ADGSOM on </w:t>
      </w:r>
      <w:r w:rsidR="00D13580">
        <w:br/>
      </w:r>
      <w:r>
        <w:t>AI-related initiatives, including</w:t>
      </w:r>
      <w:r w:rsidR="00515E40">
        <w:t xml:space="preserve"> </w:t>
      </w:r>
      <w:r>
        <w:t>collaboration with AI industry players within and beyond ASEAN.</w:t>
      </w:r>
    </w:p>
    <w:p w14:paraId="4257C41D" w14:textId="77777777" w:rsidR="00804BCB" w:rsidRDefault="00804BCB" w:rsidP="00515E40">
      <w:pPr>
        <w:spacing w:before="0" w:after="0"/>
      </w:pPr>
    </w:p>
    <w:p w14:paraId="2442BD53" w14:textId="1EFEA27D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Promote free flow of data within ASEAN, including through the Working Group on</w:t>
      </w:r>
      <w:r w:rsidR="00515E40">
        <w:t xml:space="preserve"> </w:t>
      </w:r>
      <w:r>
        <w:t>Digital Data Governance (WG-DDG), and the adoption of ASEAN Model Contractual</w:t>
      </w:r>
      <w:r w:rsidR="00515E40">
        <w:t xml:space="preserve"> </w:t>
      </w:r>
      <w:r>
        <w:t>Clauses and the Operational Framework for Global Cross-Border Privacy Rules</w:t>
      </w:r>
      <w:r w:rsidR="00515E40">
        <w:t xml:space="preserve"> </w:t>
      </w:r>
      <w:r>
        <w:t>(Global CBPR) and Global Privacy Recognition for Processors (Global PRP), to foster</w:t>
      </w:r>
      <w:r w:rsidR="00515E40">
        <w:t xml:space="preserve"> </w:t>
      </w:r>
      <w:r>
        <w:t>trust and promote greater participation by our citizens and businesses in the digital</w:t>
      </w:r>
      <w:r w:rsidR="00515E40">
        <w:t xml:space="preserve"> </w:t>
      </w:r>
      <w:r>
        <w:t>economy.</w:t>
      </w:r>
    </w:p>
    <w:p w14:paraId="1B18B16C" w14:textId="77777777" w:rsidR="00804BCB" w:rsidRDefault="00804BCB" w:rsidP="00515E40">
      <w:pPr>
        <w:spacing w:before="0" w:after="0"/>
      </w:pPr>
    </w:p>
    <w:p w14:paraId="08BD92D2" w14:textId="07A9C296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Strengthen best practices and information sharing frameworks, to facilitate the</w:t>
      </w:r>
      <w:r w:rsidR="00515E40">
        <w:t xml:space="preserve"> </w:t>
      </w:r>
      <w:r>
        <w:t>expeditious repair, maintenance, removal, and protection of submarine cables,</w:t>
      </w:r>
      <w:r w:rsidR="00515E40">
        <w:t xml:space="preserve"> </w:t>
      </w:r>
      <w:r>
        <w:t>including through the Working Group on Submarine Cables (WG-SC)’s efforts to</w:t>
      </w:r>
      <w:r w:rsidR="00515E40">
        <w:t xml:space="preserve"> </w:t>
      </w:r>
      <w:r>
        <w:t>enhance the ASEAN Guidelines for Strengthening the Resilience and Repair of</w:t>
      </w:r>
      <w:r w:rsidR="00515E40">
        <w:t xml:space="preserve"> </w:t>
      </w:r>
      <w:r>
        <w:t>Submarine Cables.</w:t>
      </w:r>
    </w:p>
    <w:p w14:paraId="50393428" w14:textId="77777777" w:rsidR="00804BCB" w:rsidRDefault="00804BCB" w:rsidP="00515E40">
      <w:pPr>
        <w:spacing w:before="0" w:after="0"/>
      </w:pPr>
    </w:p>
    <w:p w14:paraId="34BF2DC4" w14:textId="3192D939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Ensure Digital Inclusivity without leaving any ASEAN Member States behind, bridging</w:t>
      </w:r>
      <w:r w:rsidR="00515E40">
        <w:t xml:space="preserve"> </w:t>
      </w:r>
      <w:r>
        <w:t>the digital divide by improving access to affordable and high-quality internet</w:t>
      </w:r>
      <w:r w:rsidR="00515E40">
        <w:t xml:space="preserve"> </w:t>
      </w:r>
      <w:r>
        <w:t>connectivity across all ASEAN Member States, promoting digital literacy and skills</w:t>
      </w:r>
      <w:r w:rsidR="00515E40">
        <w:t xml:space="preserve"> </w:t>
      </w:r>
      <w:r>
        <w:t>development and lifelong learning programs, with a focus on building cooperation</w:t>
      </w:r>
      <w:r w:rsidR="00515E40">
        <w:t xml:space="preserve"> </w:t>
      </w:r>
      <w:r>
        <w:t>between ASEAN Member States and ensuring that digital services are accessible to</w:t>
      </w:r>
      <w:r w:rsidR="00515E40">
        <w:t xml:space="preserve"> </w:t>
      </w:r>
      <w:r>
        <w:t>all, including people in vulnerable situations in every ASEAN Member States.</w:t>
      </w:r>
    </w:p>
    <w:p w14:paraId="42682DA4" w14:textId="77777777" w:rsidR="00804BCB" w:rsidRDefault="00804BCB" w:rsidP="00515E40">
      <w:pPr>
        <w:spacing w:before="0" w:after="0"/>
      </w:pPr>
    </w:p>
    <w:p w14:paraId="165287B7" w14:textId="527D2370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Promote digital talent development within ASEAN to address digital skills gap, foster</w:t>
      </w:r>
      <w:r w:rsidR="00515E40">
        <w:t xml:space="preserve"> </w:t>
      </w:r>
      <w:r>
        <w:t>innovation, enhance regional competitiveness as a global digital hub, and explore</w:t>
      </w:r>
      <w:r w:rsidR="00515E40">
        <w:t xml:space="preserve"> </w:t>
      </w:r>
      <w:r>
        <w:t>regional skills standard to adapt to evolving technological needs, ensuring its</w:t>
      </w:r>
      <w:r w:rsidR="00515E40">
        <w:t xml:space="preserve"> </w:t>
      </w:r>
      <w:r>
        <w:t>relevance to ASEAN’s long term digital development.</w:t>
      </w:r>
    </w:p>
    <w:p w14:paraId="236C8520" w14:textId="77777777" w:rsidR="00804BCB" w:rsidRDefault="00804BCB" w:rsidP="00515E40">
      <w:pPr>
        <w:spacing w:before="0" w:after="0"/>
      </w:pPr>
    </w:p>
    <w:p w14:paraId="72BE6A8E" w14:textId="60F0A600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Accelerate the development of sustainable, accessible, interoperable and inclusive</w:t>
      </w:r>
      <w:r w:rsidR="00515E40">
        <w:t xml:space="preserve"> </w:t>
      </w:r>
      <w:r>
        <w:t>digital infrastructure and connectivity across ASEAN to promote digital inclusion,</w:t>
      </w:r>
      <w:r w:rsidR="00515E40">
        <w:t xml:space="preserve"> </w:t>
      </w:r>
      <w:r>
        <w:t>ensure equitable access to digital services, and enhance regional competitiveness.</w:t>
      </w:r>
    </w:p>
    <w:p w14:paraId="36DB76E1" w14:textId="77777777" w:rsidR="00804BCB" w:rsidRDefault="00804BCB" w:rsidP="00515E40">
      <w:pPr>
        <w:spacing w:before="0" w:after="0"/>
      </w:pPr>
    </w:p>
    <w:p w14:paraId="71D27343" w14:textId="08E6FD92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Shape the future of ASEAN with the New ASEAN Digital Masterplan, leveraging the</w:t>
      </w:r>
      <w:r w:rsidR="00515E40">
        <w:t xml:space="preserve"> </w:t>
      </w:r>
      <w:r>
        <w:t>Masterplan as a framework for engaging with ASEAN's dialogue partners and the</w:t>
      </w:r>
      <w:r w:rsidR="00515E40">
        <w:t xml:space="preserve"> </w:t>
      </w:r>
      <w:r>
        <w:t>international organizations on digital cooperation initiatives to ensure that all initiatives</w:t>
      </w:r>
      <w:r w:rsidR="00515E40">
        <w:t xml:space="preserve"> </w:t>
      </w:r>
      <w:r>
        <w:t>under this declaration contribute directly to the achievement of the Masterplan's</w:t>
      </w:r>
      <w:r w:rsidR="00515E40">
        <w:t xml:space="preserve"> </w:t>
      </w:r>
      <w:r>
        <w:t>objectives.</w:t>
      </w:r>
    </w:p>
    <w:p w14:paraId="068B77BE" w14:textId="77777777" w:rsidR="00804BCB" w:rsidRDefault="00804BCB" w:rsidP="00515E40">
      <w:pPr>
        <w:spacing w:before="0" w:after="0"/>
      </w:pPr>
    </w:p>
    <w:p w14:paraId="6D5EEF00" w14:textId="50BD19E4" w:rsidR="00A711BF" w:rsidRDefault="00A711BF" w:rsidP="00515E40">
      <w:pPr>
        <w:pStyle w:val="ListParagraph"/>
        <w:numPr>
          <w:ilvl w:val="0"/>
          <w:numId w:val="14"/>
        </w:numPr>
        <w:spacing w:before="0" w:after="0"/>
        <w:ind w:left="360"/>
      </w:pPr>
      <w:r>
        <w:t>Strengthen partnerships with Dialogue Partners and Interested Organizations, to</w:t>
      </w:r>
      <w:r w:rsidR="00804BCB">
        <w:t xml:space="preserve"> </w:t>
      </w:r>
      <w:r>
        <w:t>leverage their expertise and resources in advancing ASEAN's digital agenda, and</w:t>
      </w:r>
      <w:r w:rsidR="00804BCB">
        <w:t xml:space="preserve"> </w:t>
      </w:r>
      <w:r>
        <w:t>promote ASEAN's digital development and best practices on the global stage.</w:t>
      </w:r>
    </w:p>
    <w:p w14:paraId="7B3A312D" w14:textId="77777777" w:rsidR="00804BCB" w:rsidRDefault="00804BCB" w:rsidP="00A711BF">
      <w:pPr>
        <w:spacing w:before="0" w:after="0"/>
      </w:pPr>
    </w:p>
    <w:p w14:paraId="7B457981" w14:textId="2F7D7690" w:rsidR="00DF288A" w:rsidRPr="00E423E4" w:rsidRDefault="00A711BF" w:rsidP="00A711BF">
      <w:pPr>
        <w:spacing w:before="0" w:after="0"/>
      </w:pPr>
      <w:r w:rsidRPr="00804BCB">
        <w:rPr>
          <w:b/>
          <w:bCs/>
        </w:rPr>
        <w:t>ADOPTED</w:t>
      </w:r>
      <w:r>
        <w:t xml:space="preserve"> this Declaration at the 5th ADGMIN in Bangkok, Thailand on 17 January 2025.</w:t>
      </w:r>
    </w:p>
    <w:sectPr w:rsidR="00DF288A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3D46E" w14:textId="77777777" w:rsidR="009E78AB" w:rsidRDefault="009E78AB" w:rsidP="00F61B4F">
      <w:pPr>
        <w:spacing w:before="0" w:after="0" w:line="240" w:lineRule="auto"/>
      </w:pPr>
      <w:r>
        <w:separator/>
      </w:r>
    </w:p>
  </w:endnote>
  <w:endnote w:type="continuationSeparator" w:id="0">
    <w:p w14:paraId="73D2A517" w14:textId="77777777" w:rsidR="009E78AB" w:rsidRDefault="009E78AB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89D69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6DCB9EC2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6238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4100BBC9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02A56" w14:textId="77777777" w:rsidR="009E78AB" w:rsidRDefault="009E78AB" w:rsidP="00F61B4F">
      <w:pPr>
        <w:spacing w:before="0" w:after="0" w:line="240" w:lineRule="auto"/>
      </w:pPr>
      <w:r>
        <w:separator/>
      </w:r>
    </w:p>
  </w:footnote>
  <w:footnote w:type="continuationSeparator" w:id="0">
    <w:p w14:paraId="037EF577" w14:textId="77777777" w:rsidR="009E78AB" w:rsidRDefault="009E78AB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8D4B3" w14:textId="6FF7675C" w:rsidR="00B532E2" w:rsidRPr="00CD6026" w:rsidRDefault="00A711BF" w:rsidP="00CD6026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A711BF">
      <w:rPr>
        <w:rFonts w:cs="Arial"/>
        <w:caps/>
        <w:color w:val="808080"/>
        <w:sz w:val="16"/>
        <w:szCs w:val="16"/>
      </w:rPr>
      <w:t>2025 BANGKOK DIGITAL 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636FB"/>
    <w:multiLevelType w:val="hybridMultilevel"/>
    <w:tmpl w:val="E68AB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E0C34"/>
    <w:multiLevelType w:val="hybridMultilevel"/>
    <w:tmpl w:val="9F46A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61571">
    <w:abstractNumId w:val="12"/>
  </w:num>
  <w:num w:numId="2" w16cid:durableId="1334799826">
    <w:abstractNumId w:val="10"/>
  </w:num>
  <w:num w:numId="3" w16cid:durableId="320080927">
    <w:abstractNumId w:val="9"/>
  </w:num>
  <w:num w:numId="4" w16cid:durableId="1120344832">
    <w:abstractNumId w:val="7"/>
  </w:num>
  <w:num w:numId="5" w16cid:durableId="1812166243">
    <w:abstractNumId w:val="6"/>
  </w:num>
  <w:num w:numId="6" w16cid:durableId="279727721">
    <w:abstractNumId w:val="5"/>
  </w:num>
  <w:num w:numId="7" w16cid:durableId="2085446169">
    <w:abstractNumId w:val="4"/>
  </w:num>
  <w:num w:numId="8" w16cid:durableId="521476094">
    <w:abstractNumId w:val="8"/>
  </w:num>
  <w:num w:numId="9" w16cid:durableId="1240555142">
    <w:abstractNumId w:val="3"/>
  </w:num>
  <w:num w:numId="10" w16cid:durableId="1216501520">
    <w:abstractNumId w:val="2"/>
  </w:num>
  <w:num w:numId="11" w16cid:durableId="217791374">
    <w:abstractNumId w:val="1"/>
  </w:num>
  <w:num w:numId="12" w16cid:durableId="1512834757">
    <w:abstractNumId w:val="0"/>
  </w:num>
  <w:num w:numId="13" w16cid:durableId="608901099">
    <w:abstractNumId w:val="11"/>
  </w:num>
  <w:num w:numId="14" w16cid:durableId="178915583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BF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1092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6648B"/>
    <w:rsid w:val="00274C7A"/>
    <w:rsid w:val="002750EF"/>
    <w:rsid w:val="00275D0D"/>
    <w:rsid w:val="002813E0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5F70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360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5E40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04BCB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84EDC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A6364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9E78AB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11BF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580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0DD4B"/>
  <w15:docId w15:val="{F3C9A850-9D9C-7B48-9CDF-7D9FAAAC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5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2019-01-29T09:08:00Z</cp:lastPrinted>
  <dcterms:created xsi:type="dcterms:W3CDTF">2025-02-03T08:39:00Z</dcterms:created>
  <dcterms:modified xsi:type="dcterms:W3CDTF">2025-02-03T08:49:00Z</dcterms:modified>
</cp:coreProperties>
</file>