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E38E" w14:textId="590D8C1C" w:rsidR="00A75372" w:rsidRDefault="00000000">
      <w:pPr>
        <w:pStyle w:val="CILTitle"/>
      </w:pPr>
      <w:r>
        <w:t xml:space="preserve">2025 JOINT LEADERS’ STATEMENT ON THE REGIONAL COMPREHENSIVE ECONOMIC PARTNERSHIP </w:t>
      </w:r>
    </w:p>
    <w:p w14:paraId="29E9AAE5" w14:textId="77777777" w:rsidR="00A75372" w:rsidRDefault="00000000">
      <w:pPr>
        <w:pStyle w:val="CILSubtitle"/>
        <w:rPr>
          <w:rFonts w:ascii="Calibri" w:eastAsia="Calibri" w:hAnsi="Calibri" w:cs="Calibri"/>
          <w:sz w:val="22"/>
          <w:szCs w:val="22"/>
        </w:rPr>
      </w:pPr>
      <w:r>
        <w:t>Issued in Kuala Lumpur, Malaysia on 27 October 2025</w:t>
      </w:r>
      <w:r>
        <w:br/>
      </w:r>
    </w:p>
    <w:p w14:paraId="044DEF6F" w14:textId="77777777" w:rsidR="00A75372" w:rsidRDefault="00000000">
      <w:pPr>
        <w:pStyle w:val="TOC6"/>
        <w:widowControl w:val="0"/>
        <w:numPr>
          <w:ilvl w:val="0"/>
          <w:numId w:val="2"/>
        </w:numPr>
        <w:spacing w:line="288" w:lineRule="auto"/>
        <w:ind w:right="24"/>
        <w:jc w:val="both"/>
        <w:rPr>
          <w:rFonts w:ascii="Arial" w:hAnsi="Arial"/>
          <w:sz w:val="20"/>
          <w:szCs w:val="20"/>
        </w:rPr>
      </w:pPr>
      <w:r>
        <w:rPr>
          <w:rFonts w:ascii="Arial" w:hAnsi="Arial"/>
          <w:sz w:val="20"/>
          <w:szCs w:val="20"/>
        </w:rPr>
        <w:t xml:space="preserve">We, the Regional Comprehensive Economic Partnership (RCEP) Participating Countries – ASEAN Member States, Australia, China, Japan, New Zealand and Republic of Korea gathered on 27 October 2025 in Kuala Lumpur, Malaysia, </w:t>
      </w:r>
      <w:proofErr w:type="gramStart"/>
      <w:r>
        <w:rPr>
          <w:rFonts w:ascii="Arial" w:hAnsi="Arial"/>
          <w:sz w:val="20"/>
          <w:szCs w:val="20"/>
        </w:rPr>
        <w:t>on the occasion of</w:t>
      </w:r>
      <w:proofErr w:type="gramEnd"/>
      <w:r>
        <w:rPr>
          <w:rFonts w:ascii="Arial" w:hAnsi="Arial"/>
          <w:sz w:val="20"/>
          <w:szCs w:val="20"/>
        </w:rPr>
        <w:t xml:space="preserve"> the 5th RCEP Summit.</w:t>
      </w:r>
    </w:p>
    <w:p w14:paraId="3CE71971" w14:textId="77777777" w:rsidR="00A75372" w:rsidRDefault="00000000">
      <w:pPr>
        <w:pStyle w:val="TOC6"/>
        <w:widowControl w:val="0"/>
        <w:numPr>
          <w:ilvl w:val="0"/>
          <w:numId w:val="2"/>
        </w:numPr>
        <w:spacing w:before="274" w:line="288" w:lineRule="auto"/>
        <w:ind w:right="15"/>
        <w:jc w:val="both"/>
        <w:rPr>
          <w:rFonts w:ascii="Arial" w:hAnsi="Arial"/>
          <w:sz w:val="20"/>
          <w:szCs w:val="20"/>
        </w:rPr>
      </w:pPr>
      <w:r>
        <w:rPr>
          <w:rFonts w:ascii="Arial" w:hAnsi="Arial"/>
          <w:sz w:val="20"/>
          <w:szCs w:val="20"/>
        </w:rPr>
        <w:t>We</w:t>
      </w:r>
      <w:r>
        <w:rPr>
          <w:rFonts w:ascii="Arial" w:hAnsi="Arial"/>
          <w:spacing w:val="-14"/>
          <w:sz w:val="20"/>
          <w:szCs w:val="20"/>
        </w:rPr>
        <w:t xml:space="preserve"> </w:t>
      </w:r>
      <w:r>
        <w:rPr>
          <w:rFonts w:ascii="Arial" w:hAnsi="Arial"/>
          <w:sz w:val="20"/>
          <w:szCs w:val="20"/>
        </w:rPr>
        <w:t>reaffirmed</w:t>
      </w:r>
      <w:r>
        <w:rPr>
          <w:rFonts w:ascii="Arial" w:hAnsi="Arial"/>
          <w:spacing w:val="-14"/>
          <w:sz w:val="20"/>
          <w:szCs w:val="20"/>
        </w:rPr>
        <w:t xml:space="preserve"> </w:t>
      </w:r>
      <w:r>
        <w:rPr>
          <w:rFonts w:ascii="Arial" w:hAnsi="Arial"/>
          <w:sz w:val="20"/>
          <w:szCs w:val="20"/>
        </w:rPr>
        <w:t>our</w:t>
      </w:r>
      <w:r>
        <w:rPr>
          <w:rFonts w:ascii="Arial" w:hAnsi="Arial"/>
          <w:spacing w:val="-13"/>
          <w:sz w:val="20"/>
          <w:szCs w:val="20"/>
        </w:rPr>
        <w:t xml:space="preserve"> </w:t>
      </w:r>
      <w:r>
        <w:rPr>
          <w:rFonts w:ascii="Arial" w:hAnsi="Arial"/>
          <w:sz w:val="20"/>
          <w:szCs w:val="20"/>
        </w:rPr>
        <w:t>commitment</w:t>
      </w:r>
      <w:r>
        <w:rPr>
          <w:rFonts w:ascii="Arial" w:hAnsi="Arial"/>
          <w:spacing w:val="-14"/>
          <w:sz w:val="20"/>
          <w:szCs w:val="20"/>
        </w:rPr>
        <w:t xml:space="preserve"> </w:t>
      </w:r>
      <w:r>
        <w:rPr>
          <w:rFonts w:ascii="Arial" w:hAnsi="Arial"/>
          <w:sz w:val="20"/>
          <w:szCs w:val="20"/>
        </w:rPr>
        <w:t>to</w:t>
      </w:r>
      <w:r>
        <w:rPr>
          <w:rFonts w:ascii="Arial" w:hAnsi="Arial"/>
          <w:spacing w:val="-14"/>
          <w:sz w:val="20"/>
          <w:szCs w:val="20"/>
        </w:rPr>
        <w:t xml:space="preserve"> </w:t>
      </w:r>
      <w:r>
        <w:rPr>
          <w:rFonts w:ascii="Arial" w:hAnsi="Arial"/>
          <w:sz w:val="20"/>
          <w:szCs w:val="20"/>
        </w:rPr>
        <w:t>the</w:t>
      </w:r>
      <w:r>
        <w:rPr>
          <w:rFonts w:ascii="Arial" w:hAnsi="Arial"/>
          <w:spacing w:val="-14"/>
          <w:sz w:val="20"/>
          <w:szCs w:val="20"/>
        </w:rPr>
        <w:t xml:space="preserve"> </w:t>
      </w:r>
      <w:r>
        <w:rPr>
          <w:rFonts w:ascii="Arial" w:hAnsi="Arial"/>
          <w:sz w:val="20"/>
          <w:szCs w:val="20"/>
        </w:rPr>
        <w:t>World</w:t>
      </w:r>
      <w:r>
        <w:rPr>
          <w:rFonts w:ascii="Arial" w:hAnsi="Arial"/>
          <w:spacing w:val="-13"/>
          <w:sz w:val="20"/>
          <w:szCs w:val="20"/>
        </w:rPr>
        <w:t xml:space="preserve"> </w:t>
      </w:r>
      <w:r>
        <w:rPr>
          <w:rFonts w:ascii="Arial" w:hAnsi="Arial"/>
          <w:sz w:val="20"/>
          <w:szCs w:val="20"/>
        </w:rPr>
        <w:t>Trade</w:t>
      </w:r>
      <w:r>
        <w:rPr>
          <w:rFonts w:ascii="Arial" w:hAnsi="Arial"/>
          <w:spacing w:val="-14"/>
          <w:sz w:val="20"/>
          <w:szCs w:val="20"/>
        </w:rPr>
        <w:t xml:space="preserve"> </w:t>
      </w:r>
      <w:r>
        <w:rPr>
          <w:rFonts w:ascii="Arial" w:hAnsi="Arial"/>
          <w:sz w:val="20"/>
          <w:szCs w:val="20"/>
        </w:rPr>
        <w:t>Organization</w:t>
      </w:r>
      <w:r>
        <w:rPr>
          <w:rFonts w:ascii="Arial" w:hAnsi="Arial"/>
          <w:spacing w:val="-13"/>
          <w:sz w:val="20"/>
          <w:szCs w:val="20"/>
        </w:rPr>
        <w:t xml:space="preserve"> </w:t>
      </w:r>
      <w:r>
        <w:rPr>
          <w:rFonts w:ascii="Arial" w:hAnsi="Arial"/>
          <w:sz w:val="20"/>
          <w:szCs w:val="20"/>
        </w:rPr>
        <w:t>(WTO)</w:t>
      </w:r>
      <w:r>
        <w:rPr>
          <w:rFonts w:ascii="Arial" w:hAnsi="Arial"/>
          <w:spacing w:val="-14"/>
          <w:sz w:val="20"/>
          <w:szCs w:val="20"/>
        </w:rPr>
        <w:t xml:space="preserve"> </w:t>
      </w:r>
      <w:r>
        <w:rPr>
          <w:rFonts w:ascii="Arial" w:hAnsi="Arial"/>
          <w:sz w:val="20"/>
          <w:szCs w:val="20"/>
        </w:rPr>
        <w:t>rules</w:t>
      </w:r>
      <w:r>
        <w:rPr>
          <w:rFonts w:ascii="Arial" w:hAnsi="Arial"/>
          <w:spacing w:val="-13"/>
          <w:sz w:val="20"/>
          <w:szCs w:val="20"/>
        </w:rPr>
        <w:t xml:space="preserve"> </w:t>
      </w:r>
      <w:r>
        <w:rPr>
          <w:rFonts w:ascii="Arial" w:hAnsi="Arial"/>
          <w:sz w:val="20"/>
          <w:szCs w:val="20"/>
        </w:rPr>
        <w:t>and principles as the foundations of an open, transparent, fair and rules-based multilateral trading system that ensures predictability and non-discrimination for all</w:t>
      </w:r>
      <w:r>
        <w:rPr>
          <w:rFonts w:ascii="Arial" w:hAnsi="Arial"/>
          <w:spacing w:val="-3"/>
          <w:sz w:val="20"/>
          <w:szCs w:val="20"/>
        </w:rPr>
        <w:t xml:space="preserve"> </w:t>
      </w:r>
      <w:r>
        <w:rPr>
          <w:rFonts w:ascii="Arial" w:hAnsi="Arial"/>
          <w:sz w:val="20"/>
          <w:szCs w:val="20"/>
        </w:rPr>
        <w:t>trading</w:t>
      </w:r>
      <w:r>
        <w:rPr>
          <w:rFonts w:ascii="Arial" w:hAnsi="Arial"/>
          <w:spacing w:val="-4"/>
          <w:sz w:val="20"/>
          <w:szCs w:val="20"/>
        </w:rPr>
        <w:t xml:space="preserve"> </w:t>
      </w:r>
      <w:r>
        <w:rPr>
          <w:rFonts w:ascii="Arial" w:hAnsi="Arial"/>
          <w:sz w:val="20"/>
          <w:szCs w:val="20"/>
        </w:rPr>
        <w:t>partners.</w:t>
      </w:r>
      <w:r>
        <w:rPr>
          <w:rFonts w:ascii="Arial" w:hAnsi="Arial"/>
          <w:spacing w:val="-5"/>
          <w:sz w:val="20"/>
          <w:szCs w:val="20"/>
        </w:rPr>
        <w:t xml:space="preserve"> </w:t>
      </w:r>
      <w:r>
        <w:rPr>
          <w:rFonts w:ascii="Arial" w:hAnsi="Arial"/>
          <w:sz w:val="20"/>
          <w:szCs w:val="20"/>
        </w:rPr>
        <w:t>We</w:t>
      </w:r>
      <w:r>
        <w:rPr>
          <w:rFonts w:ascii="Arial" w:hAnsi="Arial"/>
          <w:spacing w:val="-2"/>
          <w:sz w:val="20"/>
          <w:szCs w:val="20"/>
        </w:rPr>
        <w:t xml:space="preserve"> </w:t>
      </w:r>
      <w:r>
        <w:rPr>
          <w:rFonts w:ascii="Arial" w:hAnsi="Arial"/>
          <w:sz w:val="20"/>
          <w:szCs w:val="20"/>
        </w:rPr>
        <w:t>underscored</w:t>
      </w:r>
      <w:r>
        <w:rPr>
          <w:rFonts w:ascii="Arial" w:hAnsi="Arial"/>
          <w:spacing w:val="-3"/>
          <w:sz w:val="20"/>
          <w:szCs w:val="20"/>
        </w:rPr>
        <w:t xml:space="preserve"> </w:t>
      </w:r>
      <w:r>
        <w:rPr>
          <w:rFonts w:ascii="Arial" w:hAnsi="Arial"/>
          <w:sz w:val="20"/>
          <w:szCs w:val="20"/>
        </w:rPr>
        <w:t>that</w:t>
      </w:r>
      <w:r>
        <w:rPr>
          <w:rFonts w:ascii="Arial" w:hAnsi="Arial"/>
          <w:spacing w:val="-2"/>
          <w:sz w:val="20"/>
          <w:szCs w:val="20"/>
        </w:rPr>
        <w:t xml:space="preserve"> </w:t>
      </w:r>
      <w:r>
        <w:rPr>
          <w:rFonts w:ascii="Arial" w:hAnsi="Arial"/>
          <w:sz w:val="20"/>
          <w:szCs w:val="20"/>
        </w:rPr>
        <w:t>regional</w:t>
      </w:r>
      <w:r>
        <w:rPr>
          <w:rFonts w:ascii="Arial" w:hAnsi="Arial"/>
          <w:spacing w:val="-2"/>
          <w:sz w:val="20"/>
          <w:szCs w:val="20"/>
        </w:rPr>
        <w:t xml:space="preserve"> </w:t>
      </w:r>
      <w:r>
        <w:rPr>
          <w:rFonts w:ascii="Arial" w:hAnsi="Arial"/>
          <w:sz w:val="20"/>
          <w:szCs w:val="20"/>
        </w:rPr>
        <w:t>integration</w:t>
      </w:r>
      <w:r>
        <w:rPr>
          <w:rFonts w:ascii="Arial" w:hAnsi="Arial"/>
          <w:spacing w:val="-4"/>
          <w:sz w:val="20"/>
          <w:szCs w:val="20"/>
        </w:rPr>
        <w:t xml:space="preserve"> </w:t>
      </w:r>
      <w:r>
        <w:rPr>
          <w:rFonts w:ascii="Arial" w:hAnsi="Arial"/>
          <w:sz w:val="20"/>
          <w:szCs w:val="20"/>
        </w:rPr>
        <w:t>pursued</w:t>
      </w:r>
      <w:r>
        <w:rPr>
          <w:rFonts w:ascii="Arial" w:hAnsi="Arial"/>
          <w:spacing w:val="-2"/>
          <w:sz w:val="20"/>
          <w:szCs w:val="20"/>
        </w:rPr>
        <w:t xml:space="preserve"> </w:t>
      </w:r>
      <w:r>
        <w:rPr>
          <w:rFonts w:ascii="Arial" w:hAnsi="Arial"/>
          <w:sz w:val="20"/>
          <w:szCs w:val="20"/>
        </w:rPr>
        <w:t>within</w:t>
      </w:r>
      <w:r>
        <w:rPr>
          <w:rFonts w:ascii="Arial" w:hAnsi="Arial"/>
          <w:spacing w:val="-4"/>
          <w:sz w:val="20"/>
          <w:szCs w:val="20"/>
        </w:rPr>
        <w:t xml:space="preserve"> </w:t>
      </w:r>
      <w:r>
        <w:rPr>
          <w:rFonts w:ascii="Arial" w:hAnsi="Arial"/>
          <w:sz w:val="20"/>
          <w:szCs w:val="20"/>
        </w:rPr>
        <w:t xml:space="preserve">the framework of the multilateral trading system, with the WTO at its core, is fundamental to the region’s economic stability, resilience and long-term prosperity, and highlighted the importance of ambitious WTO reform to ensure the </w:t>
      </w:r>
      <w:proofErr w:type="spellStart"/>
      <w:r>
        <w:rPr>
          <w:rFonts w:ascii="Arial" w:hAnsi="Arial"/>
          <w:sz w:val="20"/>
          <w:szCs w:val="20"/>
        </w:rPr>
        <w:t>organisation</w:t>
      </w:r>
      <w:proofErr w:type="spellEnd"/>
      <w:r>
        <w:rPr>
          <w:rFonts w:ascii="Arial" w:hAnsi="Arial"/>
          <w:sz w:val="20"/>
          <w:szCs w:val="20"/>
        </w:rPr>
        <w:t xml:space="preserve"> better </w:t>
      </w:r>
      <w:proofErr w:type="gramStart"/>
      <w:r>
        <w:rPr>
          <w:rFonts w:ascii="Arial" w:hAnsi="Arial"/>
          <w:sz w:val="20"/>
          <w:szCs w:val="20"/>
        </w:rPr>
        <w:t>deliver on</w:t>
      </w:r>
      <w:proofErr w:type="gramEnd"/>
      <w:r>
        <w:rPr>
          <w:rFonts w:ascii="Arial" w:hAnsi="Arial"/>
          <w:sz w:val="20"/>
          <w:szCs w:val="20"/>
        </w:rPr>
        <w:t xml:space="preserve"> the interests of all Members.</w:t>
      </w:r>
    </w:p>
    <w:p w14:paraId="08C7CCA9" w14:textId="77777777" w:rsidR="00A75372" w:rsidRDefault="00A75372">
      <w:pPr>
        <w:pStyle w:val="BodyText"/>
        <w:spacing w:before="42" w:line="288" w:lineRule="auto"/>
        <w:jc w:val="left"/>
        <w:rPr>
          <w:rFonts w:ascii="Arial" w:eastAsia="Arial" w:hAnsi="Arial" w:cs="Arial"/>
          <w:sz w:val="20"/>
          <w:szCs w:val="20"/>
        </w:rPr>
      </w:pPr>
    </w:p>
    <w:p w14:paraId="7403233E" w14:textId="77777777" w:rsidR="00A75372" w:rsidRDefault="00000000">
      <w:pPr>
        <w:pStyle w:val="TOC6"/>
        <w:widowControl w:val="0"/>
        <w:numPr>
          <w:ilvl w:val="0"/>
          <w:numId w:val="2"/>
        </w:numPr>
        <w:spacing w:line="288" w:lineRule="auto"/>
        <w:ind w:right="17"/>
        <w:jc w:val="both"/>
        <w:rPr>
          <w:rFonts w:ascii="Arial" w:hAnsi="Arial"/>
          <w:sz w:val="20"/>
          <w:szCs w:val="20"/>
        </w:rPr>
      </w:pPr>
      <w:r>
        <w:rPr>
          <w:rFonts w:ascii="Arial" w:hAnsi="Arial"/>
          <w:sz w:val="20"/>
          <w:szCs w:val="20"/>
        </w:rPr>
        <w:t>We recognised the pivotal role of RCEP in contributing to regional economic integration and cooperation. We are also deeply conscious of the importance of strengthening the region’s economic resilience amidst current global and regional</w:t>
      </w:r>
      <w:r>
        <w:rPr>
          <w:rFonts w:ascii="Arial" w:hAnsi="Arial"/>
          <w:spacing w:val="-3"/>
          <w:sz w:val="20"/>
          <w:szCs w:val="20"/>
        </w:rPr>
        <w:t xml:space="preserve"> </w:t>
      </w:r>
      <w:r>
        <w:rPr>
          <w:rFonts w:ascii="Arial" w:hAnsi="Arial"/>
          <w:sz w:val="20"/>
          <w:szCs w:val="20"/>
        </w:rPr>
        <w:t>economic</w:t>
      </w:r>
      <w:r>
        <w:rPr>
          <w:rFonts w:ascii="Arial" w:hAnsi="Arial"/>
          <w:spacing w:val="-3"/>
          <w:sz w:val="20"/>
          <w:szCs w:val="20"/>
        </w:rPr>
        <w:t xml:space="preserve"> </w:t>
      </w:r>
      <w:r>
        <w:rPr>
          <w:rFonts w:ascii="Arial" w:hAnsi="Arial"/>
          <w:sz w:val="20"/>
          <w:szCs w:val="20"/>
        </w:rPr>
        <w:t>and</w:t>
      </w:r>
      <w:r>
        <w:rPr>
          <w:rFonts w:ascii="Arial" w:hAnsi="Arial"/>
          <w:spacing w:val="-3"/>
          <w:sz w:val="20"/>
          <w:szCs w:val="20"/>
        </w:rPr>
        <w:t xml:space="preserve"> </w:t>
      </w:r>
      <w:r>
        <w:rPr>
          <w:rFonts w:ascii="Arial" w:hAnsi="Arial"/>
          <w:sz w:val="20"/>
          <w:szCs w:val="20"/>
        </w:rPr>
        <w:t>trade</w:t>
      </w:r>
      <w:r>
        <w:rPr>
          <w:rFonts w:ascii="Arial" w:hAnsi="Arial"/>
          <w:spacing w:val="-3"/>
          <w:sz w:val="20"/>
          <w:szCs w:val="20"/>
        </w:rPr>
        <w:t xml:space="preserve"> </w:t>
      </w:r>
      <w:r>
        <w:rPr>
          <w:rFonts w:ascii="Arial" w:hAnsi="Arial"/>
          <w:sz w:val="20"/>
          <w:szCs w:val="20"/>
        </w:rPr>
        <w:t>uncertainties.</w:t>
      </w:r>
      <w:r>
        <w:rPr>
          <w:rFonts w:ascii="Arial" w:hAnsi="Arial"/>
          <w:spacing w:val="-3"/>
          <w:sz w:val="20"/>
          <w:szCs w:val="20"/>
        </w:rPr>
        <w:t xml:space="preserve"> </w:t>
      </w:r>
      <w:r>
        <w:rPr>
          <w:rFonts w:ascii="Arial" w:hAnsi="Arial"/>
          <w:sz w:val="20"/>
          <w:szCs w:val="20"/>
        </w:rPr>
        <w:t>In</w:t>
      </w:r>
      <w:r>
        <w:rPr>
          <w:rFonts w:ascii="Arial" w:hAnsi="Arial"/>
          <w:spacing w:val="-4"/>
          <w:sz w:val="20"/>
          <w:szCs w:val="20"/>
        </w:rPr>
        <w:t xml:space="preserve"> </w:t>
      </w:r>
      <w:r>
        <w:rPr>
          <w:rFonts w:ascii="Arial" w:hAnsi="Arial"/>
          <w:sz w:val="20"/>
          <w:szCs w:val="20"/>
        </w:rPr>
        <w:t>this</w:t>
      </w:r>
      <w:r>
        <w:rPr>
          <w:rFonts w:ascii="Arial" w:hAnsi="Arial"/>
          <w:spacing w:val="-1"/>
          <w:sz w:val="20"/>
          <w:szCs w:val="20"/>
        </w:rPr>
        <w:t xml:space="preserve"> </w:t>
      </w:r>
      <w:r>
        <w:rPr>
          <w:rFonts w:ascii="Arial" w:hAnsi="Arial"/>
          <w:sz w:val="20"/>
          <w:szCs w:val="20"/>
        </w:rPr>
        <w:t>context,</w:t>
      </w:r>
      <w:r>
        <w:rPr>
          <w:rFonts w:ascii="Arial" w:hAnsi="Arial"/>
          <w:spacing w:val="-1"/>
          <w:sz w:val="20"/>
          <w:szCs w:val="20"/>
        </w:rPr>
        <w:t xml:space="preserve"> </w:t>
      </w:r>
      <w:r>
        <w:rPr>
          <w:rFonts w:ascii="Arial" w:hAnsi="Arial"/>
          <w:sz w:val="20"/>
          <w:szCs w:val="20"/>
        </w:rPr>
        <w:t>we</w:t>
      </w:r>
      <w:r>
        <w:rPr>
          <w:rFonts w:ascii="Arial" w:hAnsi="Arial"/>
          <w:spacing w:val="-3"/>
          <w:sz w:val="20"/>
          <w:szCs w:val="20"/>
        </w:rPr>
        <w:t xml:space="preserve"> </w:t>
      </w:r>
      <w:proofErr w:type="gramStart"/>
      <w:r>
        <w:rPr>
          <w:rFonts w:ascii="Arial" w:hAnsi="Arial"/>
          <w:sz w:val="20"/>
          <w:szCs w:val="20"/>
        </w:rPr>
        <w:t>reiterated</w:t>
      </w:r>
      <w:proofErr w:type="gramEnd"/>
      <w:r>
        <w:rPr>
          <w:rFonts w:ascii="Arial" w:hAnsi="Arial"/>
          <w:spacing w:val="-3"/>
          <w:sz w:val="20"/>
          <w:szCs w:val="20"/>
        </w:rPr>
        <w:t xml:space="preserve"> </w:t>
      </w:r>
      <w:r>
        <w:rPr>
          <w:rFonts w:ascii="Arial" w:hAnsi="Arial"/>
          <w:sz w:val="20"/>
          <w:szCs w:val="20"/>
        </w:rPr>
        <w:t>our</w:t>
      </w:r>
      <w:r>
        <w:rPr>
          <w:rFonts w:ascii="Arial" w:hAnsi="Arial"/>
          <w:spacing w:val="-5"/>
          <w:sz w:val="20"/>
          <w:szCs w:val="20"/>
        </w:rPr>
        <w:t xml:space="preserve"> </w:t>
      </w:r>
      <w:r>
        <w:rPr>
          <w:rFonts w:ascii="Arial" w:hAnsi="Arial"/>
          <w:sz w:val="20"/>
          <w:szCs w:val="20"/>
        </w:rPr>
        <w:t>firm commitment to enhancing the full and effective implementation of the RCEP Agreement</w:t>
      </w:r>
      <w:r>
        <w:rPr>
          <w:rFonts w:ascii="Arial" w:hAnsi="Arial"/>
          <w:spacing w:val="-13"/>
          <w:sz w:val="20"/>
          <w:szCs w:val="20"/>
        </w:rPr>
        <w:t xml:space="preserve"> </w:t>
      </w:r>
      <w:r>
        <w:rPr>
          <w:rFonts w:ascii="Arial" w:hAnsi="Arial"/>
          <w:sz w:val="20"/>
          <w:szCs w:val="20"/>
        </w:rPr>
        <w:t>as</w:t>
      </w:r>
      <w:r>
        <w:rPr>
          <w:rFonts w:ascii="Arial" w:hAnsi="Arial"/>
          <w:spacing w:val="-13"/>
          <w:sz w:val="20"/>
          <w:szCs w:val="20"/>
        </w:rPr>
        <w:t xml:space="preserve"> </w:t>
      </w:r>
      <w:r>
        <w:rPr>
          <w:rFonts w:ascii="Arial" w:hAnsi="Arial"/>
          <w:sz w:val="20"/>
          <w:szCs w:val="20"/>
        </w:rPr>
        <w:t>a</w:t>
      </w:r>
      <w:r>
        <w:rPr>
          <w:rFonts w:ascii="Arial" w:hAnsi="Arial"/>
          <w:spacing w:val="-12"/>
          <w:sz w:val="20"/>
          <w:szCs w:val="20"/>
        </w:rPr>
        <w:t xml:space="preserve"> </w:t>
      </w:r>
      <w:r>
        <w:rPr>
          <w:rFonts w:ascii="Arial" w:hAnsi="Arial"/>
          <w:sz w:val="20"/>
          <w:szCs w:val="20"/>
        </w:rPr>
        <w:t>vital</w:t>
      </w:r>
      <w:r>
        <w:rPr>
          <w:rFonts w:ascii="Arial" w:hAnsi="Arial"/>
          <w:spacing w:val="-11"/>
          <w:sz w:val="20"/>
          <w:szCs w:val="20"/>
        </w:rPr>
        <w:t xml:space="preserve"> </w:t>
      </w:r>
      <w:r>
        <w:rPr>
          <w:rFonts w:ascii="Arial" w:hAnsi="Arial"/>
          <w:sz w:val="20"/>
          <w:szCs w:val="20"/>
        </w:rPr>
        <w:t>step</w:t>
      </w:r>
      <w:r>
        <w:rPr>
          <w:rFonts w:ascii="Arial" w:hAnsi="Arial"/>
          <w:spacing w:val="-13"/>
          <w:sz w:val="20"/>
          <w:szCs w:val="20"/>
        </w:rPr>
        <w:t xml:space="preserve"> </w:t>
      </w:r>
      <w:r>
        <w:rPr>
          <w:rFonts w:ascii="Arial" w:hAnsi="Arial"/>
          <w:sz w:val="20"/>
          <w:szCs w:val="20"/>
        </w:rPr>
        <w:t>towards</w:t>
      </w:r>
      <w:r>
        <w:rPr>
          <w:rFonts w:ascii="Arial" w:hAnsi="Arial"/>
          <w:spacing w:val="-13"/>
          <w:sz w:val="20"/>
          <w:szCs w:val="20"/>
        </w:rPr>
        <w:t xml:space="preserve"> </w:t>
      </w:r>
      <w:r>
        <w:rPr>
          <w:rFonts w:ascii="Arial" w:hAnsi="Arial"/>
          <w:sz w:val="20"/>
          <w:szCs w:val="20"/>
        </w:rPr>
        <w:t>achieving</w:t>
      </w:r>
      <w:r>
        <w:rPr>
          <w:rFonts w:ascii="Arial" w:hAnsi="Arial"/>
          <w:spacing w:val="-12"/>
          <w:sz w:val="20"/>
          <w:szCs w:val="20"/>
        </w:rPr>
        <w:t xml:space="preserve"> </w:t>
      </w:r>
      <w:r>
        <w:rPr>
          <w:rFonts w:ascii="Arial" w:hAnsi="Arial"/>
          <w:sz w:val="20"/>
          <w:szCs w:val="20"/>
        </w:rPr>
        <w:t>the</w:t>
      </w:r>
      <w:r>
        <w:rPr>
          <w:rFonts w:ascii="Arial" w:hAnsi="Arial"/>
          <w:spacing w:val="-13"/>
          <w:sz w:val="20"/>
          <w:szCs w:val="20"/>
        </w:rPr>
        <w:t xml:space="preserve"> </w:t>
      </w:r>
      <w:r>
        <w:rPr>
          <w:rFonts w:ascii="Arial" w:hAnsi="Arial"/>
          <w:sz w:val="20"/>
          <w:szCs w:val="20"/>
        </w:rPr>
        <w:t>full</w:t>
      </w:r>
      <w:r>
        <w:rPr>
          <w:rFonts w:ascii="Arial" w:hAnsi="Arial"/>
          <w:spacing w:val="-14"/>
          <w:sz w:val="20"/>
          <w:szCs w:val="20"/>
        </w:rPr>
        <w:t xml:space="preserve"> </w:t>
      </w:r>
      <w:r>
        <w:rPr>
          <w:rFonts w:ascii="Arial" w:hAnsi="Arial"/>
          <w:sz w:val="20"/>
          <w:szCs w:val="20"/>
        </w:rPr>
        <w:t>potential</w:t>
      </w:r>
      <w:r>
        <w:rPr>
          <w:rFonts w:ascii="Arial" w:hAnsi="Arial"/>
          <w:spacing w:val="-14"/>
          <w:sz w:val="20"/>
          <w:szCs w:val="20"/>
        </w:rPr>
        <w:t xml:space="preserve"> </w:t>
      </w:r>
      <w:r>
        <w:rPr>
          <w:rFonts w:ascii="Arial" w:hAnsi="Arial"/>
          <w:sz w:val="20"/>
          <w:szCs w:val="20"/>
        </w:rPr>
        <w:t>of</w:t>
      </w:r>
      <w:r>
        <w:rPr>
          <w:rFonts w:ascii="Arial" w:hAnsi="Arial"/>
          <w:spacing w:val="-13"/>
          <w:sz w:val="20"/>
          <w:szCs w:val="20"/>
        </w:rPr>
        <w:t xml:space="preserve"> </w:t>
      </w:r>
      <w:r>
        <w:rPr>
          <w:rFonts w:ascii="Arial" w:hAnsi="Arial"/>
          <w:sz w:val="20"/>
          <w:szCs w:val="20"/>
        </w:rPr>
        <w:t>the</w:t>
      </w:r>
      <w:r>
        <w:rPr>
          <w:rFonts w:ascii="Arial" w:hAnsi="Arial"/>
          <w:spacing w:val="-12"/>
          <w:sz w:val="20"/>
          <w:szCs w:val="20"/>
        </w:rPr>
        <w:t xml:space="preserve"> </w:t>
      </w:r>
      <w:r>
        <w:rPr>
          <w:rFonts w:ascii="Arial" w:hAnsi="Arial"/>
          <w:sz w:val="20"/>
          <w:szCs w:val="20"/>
        </w:rPr>
        <w:t>region’s</w:t>
      </w:r>
      <w:r>
        <w:rPr>
          <w:rFonts w:ascii="Arial" w:hAnsi="Arial"/>
          <w:spacing w:val="-14"/>
          <w:sz w:val="20"/>
          <w:szCs w:val="20"/>
        </w:rPr>
        <w:t xml:space="preserve"> </w:t>
      </w:r>
      <w:r>
        <w:rPr>
          <w:rFonts w:ascii="Arial" w:hAnsi="Arial"/>
          <w:sz w:val="20"/>
          <w:szCs w:val="20"/>
        </w:rPr>
        <w:t>trade and growth.</w:t>
      </w:r>
    </w:p>
    <w:p w14:paraId="376BF60A" w14:textId="77777777" w:rsidR="00A75372" w:rsidRDefault="00A75372">
      <w:pPr>
        <w:pStyle w:val="BodyText"/>
        <w:spacing w:before="42" w:line="288" w:lineRule="auto"/>
        <w:jc w:val="left"/>
        <w:rPr>
          <w:rFonts w:ascii="Arial" w:eastAsia="Arial" w:hAnsi="Arial" w:cs="Arial"/>
          <w:sz w:val="20"/>
          <w:szCs w:val="20"/>
        </w:rPr>
      </w:pPr>
    </w:p>
    <w:p w14:paraId="43CAA27E" w14:textId="77777777" w:rsidR="00A75372" w:rsidRDefault="00000000">
      <w:pPr>
        <w:pStyle w:val="TOC6"/>
        <w:widowControl w:val="0"/>
        <w:numPr>
          <w:ilvl w:val="0"/>
          <w:numId w:val="2"/>
        </w:numPr>
        <w:spacing w:line="288" w:lineRule="auto"/>
        <w:ind w:right="23"/>
        <w:jc w:val="both"/>
        <w:rPr>
          <w:rFonts w:ascii="Arial" w:hAnsi="Arial"/>
          <w:sz w:val="20"/>
          <w:szCs w:val="20"/>
        </w:rPr>
      </w:pPr>
      <w:r>
        <w:rPr>
          <w:rFonts w:ascii="Arial" w:hAnsi="Arial"/>
          <w:sz w:val="20"/>
          <w:szCs w:val="20"/>
        </w:rPr>
        <w:t>We also reaffirmed our commitment to refraining from taking any measures inconsistent with the obligations under the RCEP Agreement, ensuring that markets remain open, free and rules-based, removing unnecessary barriers to trade, and strengthening trade and investment facilitation for all.</w:t>
      </w:r>
    </w:p>
    <w:p w14:paraId="4FC892D7" w14:textId="77777777" w:rsidR="00A75372" w:rsidRDefault="00A75372">
      <w:pPr>
        <w:pStyle w:val="BodyText"/>
        <w:spacing w:line="288" w:lineRule="auto"/>
        <w:jc w:val="left"/>
        <w:rPr>
          <w:rFonts w:ascii="Arial" w:eastAsia="Arial" w:hAnsi="Arial" w:cs="Arial"/>
          <w:sz w:val="20"/>
          <w:szCs w:val="20"/>
        </w:rPr>
      </w:pPr>
    </w:p>
    <w:p w14:paraId="5CB61E7E" w14:textId="77777777" w:rsidR="00A75372" w:rsidRDefault="00000000">
      <w:pPr>
        <w:pStyle w:val="TOC6"/>
        <w:widowControl w:val="0"/>
        <w:numPr>
          <w:ilvl w:val="0"/>
          <w:numId w:val="2"/>
        </w:numPr>
        <w:spacing w:line="288" w:lineRule="auto"/>
        <w:ind w:right="17"/>
        <w:jc w:val="both"/>
        <w:rPr>
          <w:rFonts w:ascii="Arial" w:hAnsi="Arial"/>
          <w:sz w:val="20"/>
          <w:szCs w:val="20"/>
        </w:rPr>
      </w:pPr>
      <w:r>
        <w:rPr>
          <w:rFonts w:ascii="Arial" w:hAnsi="Arial"/>
          <w:sz w:val="20"/>
          <w:szCs w:val="20"/>
        </w:rPr>
        <w:t>We underscored the importance of the RCEP Agreement and domestic</w:t>
      </w:r>
      <w:r>
        <w:rPr>
          <w:rFonts w:ascii="Arial" w:hAnsi="Arial"/>
          <w:spacing w:val="-1"/>
          <w:sz w:val="20"/>
          <w:szCs w:val="20"/>
        </w:rPr>
        <w:t xml:space="preserve"> </w:t>
      </w:r>
      <w:r>
        <w:rPr>
          <w:rFonts w:ascii="Arial" w:hAnsi="Arial"/>
          <w:sz w:val="20"/>
          <w:szCs w:val="20"/>
        </w:rPr>
        <w:t>reforms in ensuring a level playing field and in promoting strong and resilient domestic and regional growth. We also acknowledged the essential role of regional governments’ efforts to mitigate uncertainties in the global economy.</w:t>
      </w:r>
    </w:p>
    <w:p w14:paraId="51BCA030" w14:textId="77777777" w:rsidR="00A75372" w:rsidRDefault="00A75372">
      <w:pPr>
        <w:pStyle w:val="BodyText"/>
        <w:spacing w:before="3" w:line="288" w:lineRule="auto"/>
        <w:jc w:val="left"/>
        <w:rPr>
          <w:rFonts w:ascii="Arial" w:eastAsia="Arial" w:hAnsi="Arial" w:cs="Arial"/>
          <w:sz w:val="20"/>
          <w:szCs w:val="20"/>
        </w:rPr>
      </w:pPr>
    </w:p>
    <w:p w14:paraId="532E5E35" w14:textId="77777777" w:rsidR="002C29B0" w:rsidRDefault="00000000">
      <w:pPr>
        <w:pStyle w:val="TOC6"/>
        <w:widowControl w:val="0"/>
        <w:numPr>
          <w:ilvl w:val="0"/>
          <w:numId w:val="2"/>
        </w:numPr>
        <w:spacing w:line="288" w:lineRule="auto"/>
        <w:ind w:right="18"/>
        <w:jc w:val="both"/>
        <w:rPr>
          <w:rFonts w:ascii="Arial" w:hAnsi="Arial"/>
          <w:sz w:val="20"/>
          <w:szCs w:val="20"/>
        </w:rPr>
      </w:pPr>
      <w:r>
        <w:rPr>
          <w:rFonts w:ascii="Arial" w:hAnsi="Arial"/>
          <w:sz w:val="20"/>
          <w:szCs w:val="20"/>
        </w:rPr>
        <w:t>To achieve these shared objectives and with a view to ensuring that the Agreement remains relevant and responsive to regional and global challenges, we have instructed Ministers and Officials to intensify efforts to:</w:t>
      </w:r>
    </w:p>
    <w:p w14:paraId="261D63C2" w14:textId="77C4EAEE" w:rsidR="002C29B0" w:rsidRDefault="00000000" w:rsidP="002C29B0">
      <w:pPr>
        <w:pStyle w:val="TOC6"/>
        <w:widowControl w:val="0"/>
        <w:tabs>
          <w:tab w:val="left" w:pos="589"/>
        </w:tabs>
        <w:spacing w:line="288" w:lineRule="auto"/>
        <w:ind w:left="589" w:right="18"/>
        <w:jc w:val="both"/>
        <w:rPr>
          <w:rFonts w:ascii="Arial" w:hAnsi="Arial"/>
          <w:spacing w:val="-1"/>
          <w:sz w:val="20"/>
          <w:szCs w:val="20"/>
        </w:rPr>
      </w:pPr>
      <w:r>
        <w:rPr>
          <w:rFonts w:ascii="Arial" w:eastAsia="Arial" w:hAnsi="Arial" w:cs="Arial"/>
          <w:sz w:val="20"/>
          <w:szCs w:val="20"/>
        </w:rPr>
        <w:br/>
      </w:r>
      <w:proofErr w:type="spellStart"/>
      <w:r>
        <w:rPr>
          <w:rFonts w:ascii="Arial" w:hAnsi="Arial"/>
          <w:sz w:val="20"/>
          <w:szCs w:val="20"/>
        </w:rPr>
        <w:t>i</w:t>
      </w:r>
      <w:proofErr w:type="spellEnd"/>
      <w:r>
        <w:rPr>
          <w:rFonts w:ascii="Arial" w:hAnsi="Arial"/>
          <w:sz w:val="20"/>
          <w:szCs w:val="20"/>
        </w:rPr>
        <w:t>. Enhance</w:t>
      </w:r>
      <w:r>
        <w:rPr>
          <w:rFonts w:ascii="Arial" w:hAnsi="Arial"/>
          <w:spacing w:val="-5"/>
          <w:sz w:val="20"/>
          <w:szCs w:val="20"/>
        </w:rPr>
        <w:t xml:space="preserve"> </w:t>
      </w:r>
      <w:r>
        <w:rPr>
          <w:rFonts w:ascii="Arial" w:hAnsi="Arial"/>
          <w:sz w:val="20"/>
          <w:szCs w:val="20"/>
        </w:rPr>
        <w:t>the</w:t>
      </w:r>
      <w:r>
        <w:rPr>
          <w:rFonts w:ascii="Arial" w:hAnsi="Arial"/>
          <w:spacing w:val="-3"/>
          <w:sz w:val="20"/>
          <w:szCs w:val="20"/>
        </w:rPr>
        <w:t xml:space="preserve"> </w:t>
      </w:r>
      <w:r>
        <w:rPr>
          <w:rFonts w:ascii="Arial" w:hAnsi="Arial"/>
          <w:sz w:val="20"/>
          <w:szCs w:val="20"/>
        </w:rPr>
        <w:t>full</w:t>
      </w:r>
      <w:r>
        <w:rPr>
          <w:rFonts w:ascii="Arial" w:hAnsi="Arial"/>
          <w:spacing w:val="-2"/>
          <w:sz w:val="20"/>
          <w:szCs w:val="20"/>
        </w:rPr>
        <w:t xml:space="preserve"> </w:t>
      </w:r>
      <w:r>
        <w:rPr>
          <w:rFonts w:ascii="Arial" w:hAnsi="Arial"/>
          <w:sz w:val="20"/>
          <w:szCs w:val="20"/>
        </w:rPr>
        <w:t>and</w:t>
      </w:r>
      <w:r>
        <w:rPr>
          <w:rFonts w:ascii="Arial" w:hAnsi="Arial"/>
          <w:spacing w:val="-3"/>
          <w:sz w:val="20"/>
          <w:szCs w:val="20"/>
        </w:rPr>
        <w:t xml:space="preserve"> </w:t>
      </w:r>
      <w:r>
        <w:rPr>
          <w:rFonts w:ascii="Arial" w:hAnsi="Arial"/>
          <w:sz w:val="20"/>
          <w:szCs w:val="20"/>
        </w:rPr>
        <w:t>effective</w:t>
      </w:r>
      <w:r>
        <w:rPr>
          <w:rFonts w:ascii="Arial" w:hAnsi="Arial"/>
          <w:spacing w:val="-1"/>
          <w:sz w:val="20"/>
          <w:szCs w:val="20"/>
        </w:rPr>
        <w:t xml:space="preserve"> </w:t>
      </w:r>
      <w:r>
        <w:rPr>
          <w:rFonts w:ascii="Arial" w:hAnsi="Arial"/>
          <w:sz w:val="20"/>
          <w:szCs w:val="20"/>
        </w:rPr>
        <w:t>implementation</w:t>
      </w:r>
      <w:r>
        <w:rPr>
          <w:rFonts w:ascii="Arial" w:hAnsi="Arial"/>
          <w:spacing w:val="-3"/>
          <w:sz w:val="20"/>
          <w:szCs w:val="20"/>
        </w:rPr>
        <w:t xml:space="preserve"> </w:t>
      </w:r>
      <w:r>
        <w:rPr>
          <w:rFonts w:ascii="Arial" w:hAnsi="Arial"/>
          <w:sz w:val="20"/>
          <w:szCs w:val="20"/>
        </w:rPr>
        <w:t>of</w:t>
      </w:r>
      <w:r>
        <w:rPr>
          <w:rFonts w:ascii="Arial" w:hAnsi="Arial"/>
          <w:spacing w:val="-1"/>
          <w:sz w:val="20"/>
          <w:szCs w:val="20"/>
        </w:rPr>
        <w:t xml:space="preserve"> </w:t>
      </w:r>
      <w:r>
        <w:rPr>
          <w:rFonts w:ascii="Arial" w:hAnsi="Arial"/>
          <w:sz w:val="20"/>
          <w:szCs w:val="20"/>
        </w:rPr>
        <w:t>the RCEP</w:t>
      </w:r>
      <w:r>
        <w:rPr>
          <w:rFonts w:ascii="Arial" w:hAnsi="Arial"/>
          <w:spacing w:val="-3"/>
          <w:sz w:val="20"/>
          <w:szCs w:val="20"/>
        </w:rPr>
        <w:t xml:space="preserve"> </w:t>
      </w:r>
      <w:r>
        <w:rPr>
          <w:rFonts w:ascii="Arial" w:hAnsi="Arial"/>
          <w:spacing w:val="-1"/>
          <w:sz w:val="20"/>
          <w:szCs w:val="20"/>
        </w:rPr>
        <w:t>Agreement;</w:t>
      </w:r>
    </w:p>
    <w:p w14:paraId="13110568" w14:textId="5875A7B8" w:rsidR="002C29B0" w:rsidRDefault="00000000" w:rsidP="002C29B0">
      <w:pPr>
        <w:pStyle w:val="TOC6"/>
        <w:widowControl w:val="0"/>
        <w:tabs>
          <w:tab w:val="left" w:pos="589"/>
        </w:tabs>
        <w:spacing w:line="288" w:lineRule="auto"/>
        <w:ind w:left="589" w:right="18"/>
        <w:jc w:val="both"/>
        <w:rPr>
          <w:rFonts w:ascii="Arial" w:hAnsi="Arial"/>
          <w:sz w:val="20"/>
          <w:szCs w:val="20"/>
        </w:rPr>
      </w:pPr>
      <w:r>
        <w:rPr>
          <w:rFonts w:ascii="Arial" w:eastAsia="Arial" w:hAnsi="Arial" w:cs="Arial"/>
          <w:spacing w:val="-1"/>
          <w:sz w:val="20"/>
          <w:szCs w:val="20"/>
        </w:rPr>
        <w:br/>
      </w:r>
      <w:r>
        <w:rPr>
          <w:rFonts w:ascii="Arial" w:hAnsi="Arial"/>
          <w:spacing w:val="-1"/>
          <w:sz w:val="20"/>
          <w:szCs w:val="20"/>
        </w:rPr>
        <w:t xml:space="preserve">ii. </w:t>
      </w:r>
      <w:r>
        <w:rPr>
          <w:rFonts w:ascii="Arial" w:hAnsi="Arial"/>
          <w:sz w:val="20"/>
          <w:szCs w:val="20"/>
        </w:rPr>
        <w:t>Advance the accession process of applicants into the RCEP Agreement while ensuring that the standards of the RCEP Agreement are maintained;</w:t>
      </w:r>
    </w:p>
    <w:p w14:paraId="4C5A382A" w14:textId="58F37556" w:rsidR="00A75372" w:rsidRDefault="00000000" w:rsidP="00635C15">
      <w:pPr>
        <w:pStyle w:val="TOC6"/>
        <w:widowControl w:val="0"/>
        <w:tabs>
          <w:tab w:val="left" w:pos="589"/>
        </w:tabs>
        <w:spacing w:line="288" w:lineRule="auto"/>
        <w:ind w:left="589" w:right="18"/>
        <w:jc w:val="both"/>
        <w:rPr>
          <w:rFonts w:ascii="Arial" w:hAnsi="Arial"/>
          <w:sz w:val="20"/>
          <w:szCs w:val="20"/>
        </w:rPr>
      </w:pPr>
      <w:r>
        <w:rPr>
          <w:rFonts w:ascii="Arial" w:eastAsia="Arial" w:hAnsi="Arial" w:cs="Arial"/>
          <w:sz w:val="20"/>
          <w:szCs w:val="20"/>
        </w:rPr>
        <w:br/>
      </w:r>
      <w:r>
        <w:rPr>
          <w:rFonts w:ascii="Arial" w:hAnsi="Arial"/>
          <w:sz w:val="20"/>
          <w:szCs w:val="20"/>
        </w:rPr>
        <w:t>iii. Advance the RCEP economic cooperation agenda to narrow the gap of implementation, particularly for the less developed economies and address longer-term emerging challenges such as climate change, digital transformation and supply chain vulnerabilities;</w:t>
      </w:r>
      <w:r>
        <w:rPr>
          <w:rFonts w:ascii="Arial" w:eastAsia="Arial" w:hAnsi="Arial" w:cs="Arial"/>
          <w:sz w:val="20"/>
          <w:szCs w:val="20"/>
        </w:rPr>
        <w:br/>
      </w:r>
      <w:r>
        <w:rPr>
          <w:rFonts w:ascii="Arial" w:eastAsia="Arial" w:hAnsi="Arial" w:cs="Arial"/>
          <w:sz w:val="20"/>
          <w:szCs w:val="20"/>
        </w:rPr>
        <w:br/>
      </w:r>
      <w:r>
        <w:rPr>
          <w:rFonts w:ascii="Arial" w:hAnsi="Arial"/>
          <w:sz w:val="20"/>
          <w:szCs w:val="20"/>
        </w:rPr>
        <w:t>iv. Strengthen RCEP institutions, through the establishment of an effective RCEP Secretariat;</w:t>
      </w:r>
      <w:r>
        <w:rPr>
          <w:rFonts w:ascii="Arial" w:eastAsia="Arial" w:hAnsi="Arial" w:cs="Arial"/>
          <w:sz w:val="20"/>
          <w:szCs w:val="20"/>
        </w:rPr>
        <w:br/>
      </w:r>
      <w:r>
        <w:rPr>
          <w:rFonts w:ascii="Arial" w:hAnsi="Arial"/>
          <w:sz w:val="20"/>
          <w:szCs w:val="20"/>
        </w:rPr>
        <w:lastRenderedPageBreak/>
        <w:t>v. Commence</w:t>
      </w:r>
      <w:r>
        <w:rPr>
          <w:rFonts w:ascii="Arial" w:hAnsi="Arial"/>
          <w:spacing w:val="-8"/>
          <w:sz w:val="20"/>
          <w:szCs w:val="20"/>
        </w:rPr>
        <w:t xml:space="preserve"> </w:t>
      </w:r>
      <w:r>
        <w:rPr>
          <w:rFonts w:ascii="Arial" w:hAnsi="Arial"/>
          <w:sz w:val="20"/>
          <w:szCs w:val="20"/>
        </w:rPr>
        <w:t>the</w:t>
      </w:r>
      <w:r>
        <w:rPr>
          <w:rFonts w:ascii="Arial" w:hAnsi="Arial"/>
          <w:spacing w:val="-11"/>
          <w:sz w:val="20"/>
          <w:szCs w:val="20"/>
        </w:rPr>
        <w:t xml:space="preserve"> </w:t>
      </w:r>
      <w:r>
        <w:rPr>
          <w:rFonts w:ascii="Arial" w:hAnsi="Arial"/>
          <w:sz w:val="20"/>
          <w:szCs w:val="20"/>
        </w:rPr>
        <w:t>preparation</w:t>
      </w:r>
      <w:r>
        <w:rPr>
          <w:rFonts w:ascii="Arial" w:hAnsi="Arial"/>
          <w:spacing w:val="-11"/>
          <w:sz w:val="20"/>
          <w:szCs w:val="20"/>
        </w:rPr>
        <w:t xml:space="preserve"> </w:t>
      </w:r>
      <w:r>
        <w:rPr>
          <w:rFonts w:ascii="Arial" w:hAnsi="Arial"/>
          <w:sz w:val="20"/>
          <w:szCs w:val="20"/>
        </w:rPr>
        <w:t>for</w:t>
      </w:r>
      <w:r>
        <w:rPr>
          <w:rFonts w:ascii="Arial" w:hAnsi="Arial"/>
          <w:spacing w:val="-13"/>
          <w:sz w:val="20"/>
          <w:szCs w:val="20"/>
        </w:rPr>
        <w:t xml:space="preserve"> </w:t>
      </w:r>
      <w:r>
        <w:rPr>
          <w:rFonts w:ascii="Arial" w:hAnsi="Arial"/>
          <w:sz w:val="20"/>
          <w:szCs w:val="20"/>
        </w:rPr>
        <w:t>the</w:t>
      </w:r>
      <w:r>
        <w:rPr>
          <w:rFonts w:ascii="Arial" w:hAnsi="Arial"/>
          <w:spacing w:val="-11"/>
          <w:sz w:val="20"/>
          <w:szCs w:val="20"/>
        </w:rPr>
        <w:t xml:space="preserve"> </w:t>
      </w:r>
      <w:r>
        <w:rPr>
          <w:rFonts w:ascii="Arial" w:hAnsi="Arial"/>
          <w:sz w:val="20"/>
          <w:szCs w:val="20"/>
        </w:rPr>
        <w:t>General</w:t>
      </w:r>
      <w:r>
        <w:rPr>
          <w:rFonts w:ascii="Arial" w:hAnsi="Arial"/>
          <w:spacing w:val="-10"/>
          <w:sz w:val="20"/>
          <w:szCs w:val="20"/>
        </w:rPr>
        <w:t xml:space="preserve"> </w:t>
      </w:r>
      <w:r>
        <w:rPr>
          <w:rFonts w:ascii="Arial" w:hAnsi="Arial"/>
          <w:sz w:val="20"/>
          <w:szCs w:val="20"/>
        </w:rPr>
        <w:t>Review</w:t>
      </w:r>
      <w:r>
        <w:rPr>
          <w:rFonts w:ascii="Arial" w:hAnsi="Arial"/>
          <w:spacing w:val="-10"/>
          <w:sz w:val="20"/>
          <w:szCs w:val="20"/>
        </w:rPr>
        <w:t xml:space="preserve"> </w:t>
      </w:r>
      <w:r>
        <w:rPr>
          <w:rFonts w:ascii="Arial" w:hAnsi="Arial"/>
          <w:sz w:val="20"/>
          <w:szCs w:val="20"/>
        </w:rPr>
        <w:t>of</w:t>
      </w:r>
      <w:r>
        <w:rPr>
          <w:rFonts w:ascii="Arial" w:hAnsi="Arial"/>
          <w:spacing w:val="-11"/>
          <w:sz w:val="20"/>
          <w:szCs w:val="20"/>
        </w:rPr>
        <w:t xml:space="preserve"> </w:t>
      </w:r>
      <w:r>
        <w:rPr>
          <w:rFonts w:ascii="Arial" w:hAnsi="Arial"/>
          <w:sz w:val="20"/>
          <w:szCs w:val="20"/>
        </w:rPr>
        <w:t>the</w:t>
      </w:r>
      <w:r>
        <w:rPr>
          <w:rFonts w:ascii="Arial" w:hAnsi="Arial"/>
          <w:spacing w:val="-10"/>
          <w:sz w:val="20"/>
          <w:szCs w:val="20"/>
        </w:rPr>
        <w:t xml:space="preserve"> </w:t>
      </w:r>
      <w:r>
        <w:rPr>
          <w:rFonts w:ascii="Arial" w:hAnsi="Arial"/>
          <w:sz w:val="20"/>
          <w:szCs w:val="20"/>
        </w:rPr>
        <w:t>RCEP</w:t>
      </w:r>
      <w:r>
        <w:rPr>
          <w:rFonts w:ascii="Arial" w:hAnsi="Arial"/>
          <w:spacing w:val="-11"/>
          <w:sz w:val="20"/>
          <w:szCs w:val="20"/>
        </w:rPr>
        <w:t xml:space="preserve"> </w:t>
      </w:r>
      <w:r>
        <w:rPr>
          <w:rFonts w:ascii="Arial" w:hAnsi="Arial"/>
          <w:sz w:val="20"/>
          <w:szCs w:val="20"/>
        </w:rPr>
        <w:t>Agreement, scheduled for 2027, and continue discussions on ways to accelerate the implementation of the RCEP Agreement to ensure a level playing field and promote strong and resilient domestic and regional growth, including by progressing the built-in agenda and expanding the benefits of RCEP by, among</w:t>
      </w:r>
      <w:r>
        <w:rPr>
          <w:rFonts w:ascii="Arial" w:hAnsi="Arial"/>
          <w:spacing w:val="-5"/>
          <w:sz w:val="20"/>
          <w:szCs w:val="20"/>
        </w:rPr>
        <w:t xml:space="preserve"> </w:t>
      </w:r>
      <w:r>
        <w:rPr>
          <w:rFonts w:ascii="Arial" w:hAnsi="Arial"/>
          <w:sz w:val="20"/>
          <w:szCs w:val="20"/>
        </w:rPr>
        <w:t>others,</w:t>
      </w:r>
      <w:r>
        <w:rPr>
          <w:rFonts w:ascii="Arial" w:hAnsi="Arial"/>
          <w:spacing w:val="-1"/>
          <w:sz w:val="20"/>
          <w:szCs w:val="20"/>
        </w:rPr>
        <w:t xml:space="preserve"> </w:t>
      </w:r>
      <w:r>
        <w:rPr>
          <w:rFonts w:ascii="Arial" w:hAnsi="Arial"/>
          <w:sz w:val="20"/>
          <w:szCs w:val="20"/>
        </w:rPr>
        <w:t>considering</w:t>
      </w:r>
      <w:r>
        <w:rPr>
          <w:rFonts w:ascii="Arial" w:hAnsi="Arial"/>
          <w:spacing w:val="-1"/>
          <w:sz w:val="20"/>
          <w:szCs w:val="20"/>
        </w:rPr>
        <w:t xml:space="preserve"> </w:t>
      </w:r>
      <w:r>
        <w:rPr>
          <w:rFonts w:ascii="Arial" w:hAnsi="Arial"/>
          <w:sz w:val="20"/>
          <w:szCs w:val="20"/>
        </w:rPr>
        <w:t>options</w:t>
      </w:r>
      <w:r>
        <w:rPr>
          <w:rFonts w:ascii="Arial" w:hAnsi="Arial"/>
          <w:spacing w:val="-2"/>
          <w:sz w:val="20"/>
          <w:szCs w:val="20"/>
        </w:rPr>
        <w:t xml:space="preserve"> </w:t>
      </w:r>
      <w:r>
        <w:rPr>
          <w:rFonts w:ascii="Arial" w:hAnsi="Arial"/>
          <w:sz w:val="20"/>
          <w:szCs w:val="20"/>
        </w:rPr>
        <w:t>to</w:t>
      </w:r>
      <w:r>
        <w:rPr>
          <w:rFonts w:ascii="Arial" w:hAnsi="Arial"/>
          <w:spacing w:val="-1"/>
          <w:sz w:val="20"/>
          <w:szCs w:val="20"/>
        </w:rPr>
        <w:t xml:space="preserve"> </w:t>
      </w:r>
      <w:r>
        <w:rPr>
          <w:rFonts w:ascii="Arial" w:hAnsi="Arial"/>
          <w:sz w:val="20"/>
          <w:szCs w:val="20"/>
        </w:rPr>
        <w:t>incorporate</w:t>
      </w:r>
      <w:r>
        <w:rPr>
          <w:rFonts w:ascii="Arial" w:hAnsi="Arial"/>
          <w:spacing w:val="-2"/>
          <w:sz w:val="20"/>
          <w:szCs w:val="20"/>
        </w:rPr>
        <w:t xml:space="preserve"> </w:t>
      </w:r>
      <w:r>
        <w:rPr>
          <w:rFonts w:ascii="Arial" w:hAnsi="Arial"/>
          <w:sz w:val="20"/>
          <w:szCs w:val="20"/>
        </w:rPr>
        <w:t>provisions</w:t>
      </w:r>
      <w:r>
        <w:rPr>
          <w:rFonts w:ascii="Arial" w:hAnsi="Arial"/>
          <w:spacing w:val="-3"/>
          <w:sz w:val="20"/>
          <w:szCs w:val="20"/>
        </w:rPr>
        <w:t xml:space="preserve"> </w:t>
      </w:r>
      <w:r>
        <w:rPr>
          <w:rFonts w:ascii="Arial" w:hAnsi="Arial"/>
          <w:sz w:val="20"/>
          <w:szCs w:val="20"/>
        </w:rPr>
        <w:t>on</w:t>
      </w:r>
      <w:r>
        <w:rPr>
          <w:rFonts w:ascii="Arial" w:hAnsi="Arial"/>
          <w:spacing w:val="-1"/>
          <w:sz w:val="20"/>
          <w:szCs w:val="20"/>
        </w:rPr>
        <w:t xml:space="preserve"> </w:t>
      </w:r>
      <w:r>
        <w:rPr>
          <w:rFonts w:ascii="Arial" w:hAnsi="Arial"/>
          <w:sz w:val="20"/>
          <w:szCs w:val="20"/>
        </w:rPr>
        <w:t>modern</w:t>
      </w:r>
      <w:r>
        <w:rPr>
          <w:rFonts w:ascii="Arial" w:hAnsi="Arial"/>
          <w:spacing w:val="-3"/>
          <w:sz w:val="20"/>
          <w:szCs w:val="20"/>
        </w:rPr>
        <w:t xml:space="preserve"> </w:t>
      </w:r>
      <w:r>
        <w:rPr>
          <w:rFonts w:ascii="Arial" w:hAnsi="Arial"/>
          <w:sz w:val="20"/>
          <w:szCs w:val="20"/>
        </w:rPr>
        <w:t>and emerging issues;</w:t>
      </w:r>
      <w:r>
        <w:rPr>
          <w:rFonts w:ascii="Arial" w:eastAsia="Arial" w:hAnsi="Arial" w:cs="Arial"/>
          <w:sz w:val="20"/>
          <w:szCs w:val="20"/>
        </w:rPr>
        <w:br/>
      </w:r>
      <w:r>
        <w:rPr>
          <w:rFonts w:ascii="Arial" w:eastAsia="Arial" w:hAnsi="Arial" w:cs="Arial"/>
          <w:sz w:val="20"/>
          <w:szCs w:val="20"/>
        </w:rPr>
        <w:br/>
      </w:r>
      <w:r>
        <w:rPr>
          <w:rFonts w:ascii="Arial" w:hAnsi="Arial"/>
          <w:sz w:val="20"/>
          <w:szCs w:val="20"/>
        </w:rPr>
        <w:t>vi. Engage</w:t>
      </w:r>
      <w:r>
        <w:rPr>
          <w:rFonts w:ascii="Arial" w:hAnsi="Arial"/>
          <w:spacing w:val="-1"/>
          <w:sz w:val="20"/>
          <w:szCs w:val="20"/>
        </w:rPr>
        <w:t xml:space="preserve"> </w:t>
      </w:r>
      <w:r>
        <w:rPr>
          <w:rFonts w:ascii="Arial" w:hAnsi="Arial"/>
          <w:sz w:val="20"/>
          <w:szCs w:val="20"/>
        </w:rPr>
        <w:t>businesses</w:t>
      </w:r>
      <w:r>
        <w:rPr>
          <w:rFonts w:ascii="Arial" w:hAnsi="Arial"/>
          <w:spacing w:val="-2"/>
          <w:sz w:val="20"/>
          <w:szCs w:val="20"/>
        </w:rPr>
        <w:t xml:space="preserve"> </w:t>
      </w:r>
      <w:r>
        <w:rPr>
          <w:rFonts w:ascii="Arial" w:hAnsi="Arial"/>
          <w:sz w:val="20"/>
          <w:szCs w:val="20"/>
        </w:rPr>
        <w:t>and other</w:t>
      </w:r>
      <w:r>
        <w:rPr>
          <w:rFonts w:ascii="Arial" w:hAnsi="Arial"/>
          <w:spacing w:val="-3"/>
          <w:sz w:val="20"/>
          <w:szCs w:val="20"/>
        </w:rPr>
        <w:t xml:space="preserve"> </w:t>
      </w:r>
      <w:r>
        <w:rPr>
          <w:rFonts w:ascii="Arial" w:hAnsi="Arial"/>
          <w:sz w:val="20"/>
          <w:szCs w:val="20"/>
        </w:rPr>
        <w:t>stakeholders in</w:t>
      </w:r>
      <w:r>
        <w:rPr>
          <w:rFonts w:ascii="Arial" w:hAnsi="Arial"/>
          <w:spacing w:val="-1"/>
          <w:sz w:val="20"/>
          <w:szCs w:val="20"/>
        </w:rPr>
        <w:t xml:space="preserve"> </w:t>
      </w:r>
      <w:r>
        <w:rPr>
          <w:rFonts w:ascii="Arial" w:hAnsi="Arial"/>
          <w:sz w:val="20"/>
          <w:szCs w:val="20"/>
        </w:rPr>
        <w:t>supporting implementation</w:t>
      </w:r>
      <w:r>
        <w:rPr>
          <w:rFonts w:ascii="Arial" w:hAnsi="Arial"/>
          <w:spacing w:val="-1"/>
          <w:sz w:val="20"/>
          <w:szCs w:val="20"/>
        </w:rPr>
        <w:t xml:space="preserve"> </w:t>
      </w:r>
      <w:r>
        <w:rPr>
          <w:rFonts w:ascii="Arial" w:hAnsi="Arial"/>
          <w:sz w:val="20"/>
          <w:szCs w:val="20"/>
        </w:rPr>
        <w:t>of the RCEP Agreement and advancing the economic cooperation agenda, thereby ensuring that RCEP remains inclusive.</w:t>
      </w:r>
    </w:p>
    <w:p w14:paraId="3C297E39" w14:textId="77777777" w:rsidR="00A75372" w:rsidRDefault="00A75372">
      <w:pPr>
        <w:pStyle w:val="BodyText"/>
        <w:spacing w:before="42" w:line="288" w:lineRule="auto"/>
        <w:jc w:val="left"/>
        <w:rPr>
          <w:rFonts w:ascii="Arial" w:eastAsia="Arial" w:hAnsi="Arial" w:cs="Arial"/>
          <w:sz w:val="20"/>
          <w:szCs w:val="20"/>
        </w:rPr>
      </w:pPr>
    </w:p>
    <w:p w14:paraId="1EDC17D1" w14:textId="77777777" w:rsidR="00A75372" w:rsidRDefault="00000000">
      <w:pPr>
        <w:pStyle w:val="TOC6"/>
        <w:widowControl w:val="0"/>
        <w:numPr>
          <w:ilvl w:val="0"/>
          <w:numId w:val="3"/>
        </w:numPr>
        <w:spacing w:line="288" w:lineRule="auto"/>
        <w:ind w:right="18"/>
        <w:jc w:val="both"/>
        <w:rPr>
          <w:rFonts w:ascii="Arial" w:hAnsi="Arial"/>
          <w:sz w:val="20"/>
          <w:szCs w:val="20"/>
        </w:rPr>
      </w:pPr>
      <w:r>
        <w:rPr>
          <w:rFonts w:ascii="Arial" w:hAnsi="Arial"/>
          <w:sz w:val="20"/>
          <w:szCs w:val="20"/>
        </w:rPr>
        <w:t xml:space="preserve">We reaffirmed our support to ASEAN centrality and commitment in promoting open and inclusive regional economic integration that is mutually beneficial and forward-looking. To this end, we welcomed initiatives that reinforce regional economic resilience, in the spirit of </w:t>
      </w:r>
      <w:proofErr w:type="gramStart"/>
      <w:r>
        <w:rPr>
          <w:rFonts w:ascii="Arial" w:hAnsi="Arial"/>
          <w:sz w:val="20"/>
          <w:szCs w:val="20"/>
        </w:rPr>
        <w:t>open regionalism</w:t>
      </w:r>
      <w:proofErr w:type="gramEnd"/>
      <w:r>
        <w:rPr>
          <w:rFonts w:ascii="Arial" w:hAnsi="Arial"/>
          <w:sz w:val="20"/>
          <w:szCs w:val="20"/>
        </w:rPr>
        <w:t>.</w:t>
      </w:r>
    </w:p>
    <w:p w14:paraId="7C8A6EDC" w14:textId="77777777" w:rsidR="00A75372" w:rsidRDefault="00A75372">
      <w:pPr>
        <w:pStyle w:val="BodyText"/>
        <w:spacing w:before="41"/>
        <w:jc w:val="left"/>
        <w:rPr>
          <w:rFonts w:ascii="Arial" w:eastAsia="Arial" w:hAnsi="Arial" w:cs="Arial"/>
          <w:sz w:val="20"/>
          <w:szCs w:val="20"/>
        </w:rPr>
      </w:pPr>
    </w:p>
    <w:p w14:paraId="65CBE821" w14:textId="77777777" w:rsidR="00A75372" w:rsidRDefault="00A75372">
      <w:pPr>
        <w:pStyle w:val="Body"/>
      </w:pPr>
    </w:p>
    <w:sectPr w:rsidR="00A75372">
      <w:headerReference w:type="default" r:id="rId7"/>
      <w:footerReference w:type="default" r:id="rId8"/>
      <w:headerReference w:type="first" r:id="rId9"/>
      <w:footerReference w:type="first" r:id="rId10"/>
      <w:pgSz w:w="11900" w:h="16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AC7DF" w14:textId="77777777" w:rsidR="000100F0" w:rsidRDefault="000100F0">
      <w:r>
        <w:separator/>
      </w:r>
    </w:p>
  </w:endnote>
  <w:endnote w:type="continuationSeparator" w:id="0">
    <w:p w14:paraId="044584C0" w14:textId="77777777" w:rsidR="000100F0" w:rsidRDefault="00010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1ADE" w14:textId="77777777" w:rsidR="00A75372" w:rsidRDefault="00A75372">
    <w:pPr>
      <w:pStyle w:val="Footer"/>
      <w:tabs>
        <w:tab w:val="clear" w:pos="9360"/>
        <w:tab w:val="right" w:pos="8931"/>
      </w:tabs>
      <w:jc w:val="right"/>
    </w:pPr>
  </w:p>
  <w:p w14:paraId="7EB8B340" w14:textId="77777777" w:rsidR="00A75372" w:rsidRDefault="00000000">
    <w:pPr>
      <w:pStyle w:val="Footer"/>
      <w:pBdr>
        <w:top w:val="single" w:sz="4" w:space="0" w:color="000000"/>
      </w:pBdr>
      <w:tabs>
        <w:tab w:val="clear" w:pos="9360"/>
        <w:tab w:val="right" w:pos="8931"/>
      </w:tabs>
      <w:jc w:val="left"/>
    </w:pPr>
    <w:r>
      <w:rPr>
        <w:color w:val="7F7F7F"/>
        <w:sz w:val="16"/>
        <w:szCs w:val="16"/>
        <w:u w:color="7F7F7F"/>
      </w:rPr>
      <w:t xml:space="preserve">UNOFFICIAL TEXT · CENTRE FOR INTERNATIONAL LAW · </w:t>
    </w:r>
    <w:hyperlink r:id="rId1" w:history="1">
      <w:r>
        <w:rPr>
          <w:rStyle w:val="Hyperlink0"/>
        </w:rPr>
        <w:t>www.cil.nus.edu.sg</w:t>
      </w:r>
    </w:hyperlink>
    <w:r>
      <w:rPr>
        <w:color w:val="7F7F7F"/>
        <w:sz w:val="16"/>
        <w:szCs w:val="16"/>
        <w:u w:color="7F7F7F"/>
      </w:rPr>
      <w:t xml:space="preserve">                           </w:t>
    </w:r>
    <w:r>
      <w:rPr>
        <w:color w:val="7F7F7F"/>
        <w:sz w:val="16"/>
        <w:szCs w:val="16"/>
        <w:u w:color="7F7F7F"/>
      </w:rPr>
      <w:tab/>
      <w:t xml:space="preserve">     Page </w:t>
    </w:r>
    <w:r>
      <w:rPr>
        <w:color w:val="7F7F7F"/>
        <w:sz w:val="16"/>
        <w:szCs w:val="16"/>
        <w:u w:color="7F7F7F"/>
      </w:rPr>
      <w:fldChar w:fldCharType="begin"/>
    </w:r>
    <w:r>
      <w:rPr>
        <w:color w:val="7F7F7F"/>
        <w:sz w:val="16"/>
        <w:szCs w:val="16"/>
        <w:u w:color="7F7F7F"/>
      </w:rPr>
      <w:instrText xml:space="preserve"> PAGE </w:instrText>
    </w:r>
    <w:r>
      <w:rPr>
        <w:color w:val="7F7F7F"/>
        <w:sz w:val="16"/>
        <w:szCs w:val="16"/>
        <w:u w:color="7F7F7F"/>
      </w:rPr>
      <w:fldChar w:fldCharType="separate"/>
    </w:r>
    <w:r w:rsidR="002C29B0">
      <w:rPr>
        <w:noProof/>
        <w:color w:val="7F7F7F"/>
        <w:sz w:val="16"/>
        <w:szCs w:val="16"/>
        <w:u w:color="7F7F7F"/>
      </w:rPr>
      <w:t>2</w:t>
    </w:r>
    <w:r>
      <w:rPr>
        <w:color w:val="7F7F7F"/>
        <w:sz w:val="16"/>
        <w:szCs w:val="16"/>
        <w:u w:color="7F7F7F"/>
      </w:rPr>
      <w:fldChar w:fldCharType="end"/>
    </w:r>
    <w:r>
      <w:rPr>
        <w:color w:val="7F7F7F"/>
        <w:sz w:val="16"/>
        <w:szCs w:val="16"/>
        <w:u w:color="7F7F7F"/>
      </w:rPr>
      <w:t xml:space="preserve"> of </w:t>
    </w:r>
    <w:r>
      <w:rPr>
        <w:color w:val="7F7F7F"/>
        <w:sz w:val="16"/>
        <w:szCs w:val="16"/>
        <w:u w:color="7F7F7F"/>
      </w:rPr>
      <w:fldChar w:fldCharType="begin"/>
    </w:r>
    <w:r>
      <w:rPr>
        <w:color w:val="7F7F7F"/>
        <w:sz w:val="16"/>
        <w:szCs w:val="16"/>
        <w:u w:color="7F7F7F"/>
      </w:rPr>
      <w:instrText xml:space="preserve"> NUMPAGES </w:instrText>
    </w:r>
    <w:r>
      <w:rPr>
        <w:color w:val="7F7F7F"/>
        <w:sz w:val="16"/>
        <w:szCs w:val="16"/>
        <w:u w:color="7F7F7F"/>
      </w:rPr>
      <w:fldChar w:fldCharType="separate"/>
    </w:r>
    <w:r w:rsidR="002C29B0">
      <w:rPr>
        <w:noProof/>
        <w:color w:val="7F7F7F"/>
        <w:sz w:val="16"/>
        <w:szCs w:val="16"/>
        <w:u w:color="7F7F7F"/>
      </w:rPr>
      <w:t>2</w:t>
    </w:r>
    <w:r>
      <w:rPr>
        <w:color w:val="7F7F7F"/>
        <w:sz w:val="16"/>
        <w:szCs w:val="16"/>
        <w:u w:color="7F7F7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A50E" w14:textId="77777777" w:rsidR="00A75372" w:rsidRDefault="00A75372">
    <w:pPr>
      <w:pStyle w:val="Footer"/>
      <w:tabs>
        <w:tab w:val="clear" w:pos="9360"/>
        <w:tab w:val="right" w:pos="8931"/>
      </w:tabs>
      <w:jc w:val="right"/>
    </w:pPr>
  </w:p>
  <w:p w14:paraId="6D91F0E3" w14:textId="77777777" w:rsidR="00A75372" w:rsidRDefault="00000000">
    <w:pPr>
      <w:pStyle w:val="Footer"/>
      <w:pBdr>
        <w:top w:val="single" w:sz="4" w:space="0" w:color="000000"/>
      </w:pBdr>
      <w:tabs>
        <w:tab w:val="clear" w:pos="9360"/>
        <w:tab w:val="right" w:pos="8931"/>
      </w:tabs>
      <w:jc w:val="left"/>
    </w:pPr>
    <w:r>
      <w:rPr>
        <w:color w:val="7F7F7F"/>
        <w:sz w:val="16"/>
        <w:szCs w:val="16"/>
        <w:u w:color="7F7F7F"/>
      </w:rPr>
      <w:t xml:space="preserve">UNOFFICIAL TEXT · CENTRE FOR INTERNATIONAL LAW · </w:t>
    </w:r>
    <w:hyperlink r:id="rId1" w:history="1">
      <w:r>
        <w:rPr>
          <w:rStyle w:val="Hyperlink0"/>
        </w:rPr>
        <w:t>www.cil.nus.edu.sg</w:t>
      </w:r>
    </w:hyperlink>
    <w:r>
      <w:rPr>
        <w:color w:val="7F7F7F"/>
        <w:sz w:val="16"/>
        <w:szCs w:val="16"/>
        <w:u w:color="7F7F7F"/>
      </w:rPr>
      <w:t xml:space="preserve">                           </w:t>
    </w:r>
    <w:r>
      <w:rPr>
        <w:color w:val="7F7F7F"/>
        <w:sz w:val="16"/>
        <w:szCs w:val="16"/>
        <w:u w:color="7F7F7F"/>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DFB65" w14:textId="77777777" w:rsidR="000100F0" w:rsidRDefault="000100F0">
      <w:r>
        <w:separator/>
      </w:r>
    </w:p>
  </w:footnote>
  <w:footnote w:type="continuationSeparator" w:id="0">
    <w:p w14:paraId="33242D61" w14:textId="77777777" w:rsidR="000100F0" w:rsidRDefault="00010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51F2" w14:textId="77777777" w:rsidR="00A75372" w:rsidRDefault="00000000">
    <w:pPr>
      <w:pStyle w:val="Header"/>
      <w:pBdr>
        <w:bottom w:val="single" w:sz="4" w:space="0" w:color="000000"/>
      </w:pBdr>
      <w:tabs>
        <w:tab w:val="clear" w:pos="9360"/>
        <w:tab w:val="right" w:pos="9000"/>
      </w:tabs>
    </w:pPr>
    <w:r>
      <w:rPr>
        <w:caps/>
        <w:color w:val="808080"/>
        <w:sz w:val="16"/>
        <w:szCs w:val="16"/>
        <w:u w:color="808080"/>
      </w:rPr>
      <w:t>2025 JOINT LEADERS’ STATEMENT ON THE RCEP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153C" w14:textId="77777777" w:rsidR="00A75372" w:rsidRDefault="00A7537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F4E2D"/>
    <w:multiLevelType w:val="hybridMultilevel"/>
    <w:tmpl w:val="999C6274"/>
    <w:styleLink w:val="ImportedStyle1"/>
    <w:lvl w:ilvl="0" w:tplc="85DCD49A">
      <w:start w:val="1"/>
      <w:numFmt w:val="decimal"/>
      <w:lvlText w:val="%1."/>
      <w:lvlJc w:val="left"/>
      <w:pPr>
        <w:tabs>
          <w:tab w:val="left" w:pos="589"/>
        </w:tabs>
        <w:ind w:left="589"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32EC66A">
      <w:start w:val="1"/>
      <w:numFmt w:val="lowerRoman"/>
      <w:lvlText w:val="%2."/>
      <w:lvlJc w:val="left"/>
      <w:pPr>
        <w:tabs>
          <w:tab w:val="left" w:pos="587"/>
          <w:tab w:val="left" w:pos="589"/>
        </w:tabs>
        <w:ind w:left="951" w:hanging="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BC85914">
      <w:start w:val="1"/>
      <w:numFmt w:val="lowerRoman"/>
      <w:lvlText w:val="%3."/>
      <w:lvlJc w:val="left"/>
      <w:pPr>
        <w:tabs>
          <w:tab w:val="left" w:pos="587"/>
          <w:tab w:val="left" w:pos="589"/>
        </w:tabs>
        <w:ind w:left="1562" w:hanging="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2F4D0F0">
      <w:start w:val="1"/>
      <w:numFmt w:val="lowerRoman"/>
      <w:lvlText w:val="%4."/>
      <w:lvlJc w:val="left"/>
      <w:pPr>
        <w:tabs>
          <w:tab w:val="left" w:pos="587"/>
          <w:tab w:val="left" w:pos="589"/>
        </w:tabs>
        <w:ind w:left="2173" w:hanging="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2944422">
      <w:start w:val="1"/>
      <w:numFmt w:val="lowerRoman"/>
      <w:lvlText w:val="%5."/>
      <w:lvlJc w:val="left"/>
      <w:pPr>
        <w:tabs>
          <w:tab w:val="left" w:pos="587"/>
          <w:tab w:val="left" w:pos="589"/>
        </w:tabs>
        <w:ind w:left="2784" w:hanging="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4482C82">
      <w:start w:val="1"/>
      <w:numFmt w:val="lowerRoman"/>
      <w:lvlText w:val="%6."/>
      <w:lvlJc w:val="left"/>
      <w:pPr>
        <w:tabs>
          <w:tab w:val="left" w:pos="587"/>
          <w:tab w:val="left" w:pos="589"/>
        </w:tabs>
        <w:ind w:left="3395" w:hanging="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45A2D8C">
      <w:start w:val="1"/>
      <w:numFmt w:val="lowerRoman"/>
      <w:lvlText w:val="%7."/>
      <w:lvlJc w:val="left"/>
      <w:pPr>
        <w:tabs>
          <w:tab w:val="left" w:pos="587"/>
          <w:tab w:val="left" w:pos="589"/>
        </w:tabs>
        <w:ind w:left="4006" w:hanging="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FE4047E">
      <w:start w:val="1"/>
      <w:numFmt w:val="lowerRoman"/>
      <w:lvlText w:val="%8."/>
      <w:lvlJc w:val="left"/>
      <w:pPr>
        <w:tabs>
          <w:tab w:val="left" w:pos="587"/>
          <w:tab w:val="left" w:pos="589"/>
        </w:tabs>
        <w:ind w:left="4617" w:hanging="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6A48598">
      <w:start w:val="1"/>
      <w:numFmt w:val="lowerRoman"/>
      <w:lvlText w:val="%9."/>
      <w:lvlJc w:val="left"/>
      <w:pPr>
        <w:tabs>
          <w:tab w:val="left" w:pos="587"/>
          <w:tab w:val="left" w:pos="589"/>
        </w:tabs>
        <w:ind w:left="5228" w:hanging="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F1B7474"/>
    <w:multiLevelType w:val="hybridMultilevel"/>
    <w:tmpl w:val="999C6274"/>
    <w:numStyleLink w:val="ImportedStyle1"/>
  </w:abstractNum>
  <w:num w:numId="1" w16cid:durableId="506293365">
    <w:abstractNumId w:val="0"/>
  </w:num>
  <w:num w:numId="2" w16cid:durableId="329214774">
    <w:abstractNumId w:val="1"/>
  </w:num>
  <w:num w:numId="3" w16cid:durableId="1954744137">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72"/>
    <w:rsid w:val="000100F0"/>
    <w:rsid w:val="002C29B0"/>
    <w:rsid w:val="00635C15"/>
    <w:rsid w:val="00A75372"/>
    <w:rsid w:val="00AB4E77"/>
    <w:rsid w:val="00FA04D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BB2E9"/>
  <w15:docId w15:val="{A8FC5C12-7408-49D3-B4AD-9CAE8B90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SG"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jc w:val="both"/>
    </w:pPr>
    <w:rPr>
      <w:rFonts w:ascii="Arial" w:hAnsi="Arial" w:cs="Arial Unicode MS"/>
      <w:color w:val="000000"/>
      <w:u w:color="000000"/>
      <w:lang w:val="en-US"/>
    </w:rPr>
  </w:style>
  <w:style w:type="paragraph" w:styleId="Footer">
    <w:name w:val="footer"/>
    <w:pPr>
      <w:tabs>
        <w:tab w:val="center" w:pos="4680"/>
        <w:tab w:val="right" w:pos="9360"/>
      </w:tabs>
      <w:jc w:val="both"/>
    </w:pPr>
    <w:rPr>
      <w:rFonts w:ascii="Arial" w:eastAsia="Arial" w:hAnsi="Arial" w:cs="Arial"/>
      <w:color w:val="000000"/>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outline w:val="0"/>
      <w:color w:val="7F7F7F"/>
      <w:sz w:val="16"/>
      <w:szCs w:val="16"/>
      <w:u w:val="single" w:color="7F7F7F"/>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CILTitle">
    <w:name w:val="CIL Title"/>
    <w:pPr>
      <w:spacing w:before="240" w:after="120" w:line="276" w:lineRule="auto"/>
      <w:jc w:val="center"/>
    </w:pPr>
    <w:rPr>
      <w:rFonts w:ascii="Arial" w:hAnsi="Arial" w:cs="Arial Unicode MS"/>
      <w:b/>
      <w:bCs/>
      <w:caps/>
      <w:color w:val="000000"/>
      <w:kern w:val="32"/>
      <w:sz w:val="28"/>
      <w:szCs w:val="28"/>
      <w:u w:color="000000"/>
      <w:lang w:val="en-US"/>
    </w:rPr>
  </w:style>
  <w:style w:type="paragraph" w:customStyle="1" w:styleId="CILSubtitle">
    <w:name w:val="CIL Subtitle"/>
    <w:pPr>
      <w:spacing w:before="240" w:after="120" w:line="276" w:lineRule="auto"/>
      <w:jc w:val="center"/>
    </w:pPr>
    <w:rPr>
      <w:rFonts w:ascii="Arial" w:hAnsi="Arial" w:cs="Arial Unicode MS"/>
      <w:i/>
      <w:iCs/>
      <w:color w:val="000000"/>
      <w:u w:color="000000"/>
      <w:lang w:val="en-US"/>
    </w:rPr>
  </w:style>
  <w:style w:type="paragraph" w:styleId="TOC6">
    <w:name w:val="toc 6"/>
    <w:next w:val="Body"/>
    <w:pPr>
      <w:ind w:left="1200"/>
    </w:pPr>
    <w:rPr>
      <w:rFonts w:ascii="Cambria" w:hAnsi="Cambria" w:cs="Arial Unicode MS"/>
      <w:color w:val="000000"/>
      <w:sz w:val="24"/>
      <w:szCs w:val="24"/>
      <w:u w:color="000000"/>
      <w:lang w:val="en-US"/>
    </w:rPr>
  </w:style>
  <w:style w:type="paragraph" w:customStyle="1" w:styleId="Body">
    <w:name w:val="Body"/>
    <w:pPr>
      <w:spacing w:before="240" w:after="120" w:line="276" w:lineRule="auto"/>
      <w:jc w:val="both"/>
    </w:pPr>
    <w:rPr>
      <w:rFonts w:ascii="Arial" w:hAnsi="Arial" w:cs="Arial Unicode MS"/>
      <w:color w:val="000000"/>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BodyText">
    <w:name w:val="Body Text"/>
    <w:pPr>
      <w:widowControl w:val="0"/>
      <w:jc w:val="both"/>
    </w:pPr>
    <w:rPr>
      <w:rFonts w:eastAsia="Times New Roman"/>
      <w:color w:val="000000"/>
      <w:sz w:val="28"/>
      <w:szCs w:val="28"/>
      <w:u w:color="000000"/>
      <w:lang w:val="en-US"/>
    </w:rPr>
  </w:style>
  <w:style w:type="paragraph" w:styleId="Revision">
    <w:name w:val="Revision"/>
    <w:hidden/>
    <w:uiPriority w:val="99"/>
    <w:semiHidden/>
    <w:rsid w:val="002C29B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 Sze Wei</dc:creator>
  <cp:lastModifiedBy>Chan Sze Wei</cp:lastModifiedBy>
  <cp:revision>3</cp:revision>
  <dcterms:created xsi:type="dcterms:W3CDTF">2025-11-18T09:06:00Z</dcterms:created>
  <dcterms:modified xsi:type="dcterms:W3CDTF">2025-11-18T09:06:00Z</dcterms:modified>
</cp:coreProperties>
</file>