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AA9A0" w14:textId="0A52FFE2" w:rsidR="00D93B87" w:rsidRDefault="00261F94" w:rsidP="00D93B87">
      <w:pPr>
        <w:pStyle w:val="CILTitle"/>
      </w:pPr>
      <w:r>
        <w:t xml:space="preserve">2024 </w:t>
      </w:r>
      <w:r w:rsidR="00D93B87">
        <w:t xml:space="preserve">CHAIRMAN’S STATEMENT OF THE </w:t>
      </w:r>
      <w:r w:rsidR="00D93B87">
        <w:br/>
        <w:t>31st ASEAN REGIONAL FORUM</w:t>
      </w:r>
    </w:p>
    <w:p w14:paraId="230A416F" w14:textId="77777777" w:rsidR="00D93B87" w:rsidRDefault="00D93B87" w:rsidP="00D93B87">
      <w:pPr>
        <w:pStyle w:val="CILSubtitle"/>
      </w:pPr>
      <w:r>
        <w:t>Issued in Vientiane, Lao PDR on 27 July 2024</w:t>
      </w:r>
    </w:p>
    <w:sdt>
      <w:sdtPr>
        <w:rPr>
          <w:rFonts w:ascii="Arial" w:hAnsi="Arial" w:cs="Arial"/>
          <w:sz w:val="20"/>
          <w:szCs w:val="20"/>
        </w:rPr>
        <w:id w:val="-590777537"/>
        <w:docPartObj>
          <w:docPartGallery w:val="Table of Contents"/>
          <w:docPartUnique/>
        </w:docPartObj>
      </w:sdtPr>
      <w:sdtEndPr>
        <w:rPr>
          <w:rFonts w:eastAsia="Calibri"/>
          <w:noProof/>
          <w:color w:val="auto"/>
        </w:rPr>
      </w:sdtEndPr>
      <w:sdtContent>
        <w:p w14:paraId="2588FEEF" w14:textId="48685804" w:rsidR="00D93B87" w:rsidRPr="00D93B87" w:rsidRDefault="00D93B87">
          <w:pPr>
            <w:pStyle w:val="TOCHeading"/>
            <w:rPr>
              <w:rFonts w:ascii="Arial" w:hAnsi="Arial" w:cs="Arial"/>
              <w:sz w:val="20"/>
              <w:szCs w:val="20"/>
            </w:rPr>
          </w:pPr>
        </w:p>
        <w:p w14:paraId="54F4130C" w14:textId="07EBCD1A" w:rsidR="00D93B87" w:rsidRPr="00D93B87" w:rsidRDefault="00D93B87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r w:rsidRPr="00D93B87">
            <w:rPr>
              <w:rFonts w:ascii="Arial" w:hAnsi="Arial" w:cs="Arial"/>
              <w:b w:val="0"/>
              <w:bCs w:val="0"/>
              <w:sz w:val="20"/>
              <w:szCs w:val="20"/>
            </w:rPr>
            <w:fldChar w:fldCharType="begin"/>
          </w:r>
          <w:r w:rsidRPr="00D93B87">
            <w:rPr>
              <w:rFonts w:ascii="Arial" w:hAnsi="Arial" w:cs="Arial"/>
              <w:b w:val="0"/>
              <w:bCs w:val="0"/>
              <w:sz w:val="20"/>
              <w:szCs w:val="20"/>
            </w:rPr>
            <w:instrText xml:space="preserve"> TOC \o "1-3" \h \z \u </w:instrText>
          </w:r>
          <w:r w:rsidRPr="00D93B87">
            <w:rPr>
              <w:rFonts w:ascii="Arial" w:hAnsi="Arial" w:cs="Arial"/>
              <w:b w:val="0"/>
              <w:bCs w:val="0"/>
              <w:sz w:val="20"/>
              <w:szCs w:val="20"/>
            </w:rPr>
            <w:fldChar w:fldCharType="separate"/>
          </w:r>
          <w:hyperlink w:anchor="_Toc189400872" w:history="1">
            <w:r w:rsidRPr="00D93B87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OVERVIEW OF THE ARF PROCESS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_Toc189400872 \h </w:instrTex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763D22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8B8974" w14:textId="25CED8BB" w:rsidR="00D93B87" w:rsidRPr="00D93B87" w:rsidRDefault="00D93B87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9400873" w:history="1">
            <w:r w:rsidRPr="00D93B87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HIGHLIGHTS OF DISCUSSIONS ON REGIONAL AND INTERNATIONAL ISSUES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_Toc189400873 \h </w:instrTex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763D22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24F5AB" w14:textId="143438AD" w:rsidR="00D93B87" w:rsidRPr="00D93B87" w:rsidRDefault="00D93B87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9400874" w:history="1">
            <w:r w:rsidRPr="00D93B87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REVIEW OF ACTIVITIES OF THE CURRENT INTER-SESSIONAL YEAR (2023-2024)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_Toc189400874 \h </w:instrTex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763D22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F16262" w14:textId="69D6F02E" w:rsidR="00D93B87" w:rsidRPr="00D93B87" w:rsidRDefault="00D93B87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9400875" w:history="1">
            <w:r w:rsidRPr="00D93B87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PROGRAMME OF WORK FOR THE NEXT INTER-SESSIONAL YEAR (2024-2025)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_Toc189400875 \h </w:instrTex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763D22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582B74" w14:textId="3ABECE83" w:rsidR="00D93B87" w:rsidRPr="00D93B87" w:rsidRDefault="00D93B87">
          <w:pPr>
            <w:pStyle w:val="TOC2"/>
            <w:tabs>
              <w:tab w:val="right" w:leader="dot" w:pos="9017"/>
            </w:tabs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:sz w:val="20"/>
              <w:szCs w:val="20"/>
              <w:lang w:val="en-SG" w:eastAsia="en-GB"/>
              <w14:ligatures w14:val="standardContextual"/>
            </w:rPr>
          </w:pPr>
          <w:hyperlink w:anchor="_Toc189400876" w:history="1">
            <w:r w:rsidRPr="00D93B87">
              <w:rPr>
                <w:rStyle w:val="Hyperlink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>FUTURE DIRECTION OF THE ARF PROCESS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_Toc189400876 \h </w:instrTex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763D22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Pr="00D93B87">
              <w:rPr>
                <w:rFonts w:ascii="Arial" w:hAnsi="Arial" w:cs="Arial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A8D2D8" w14:textId="5C9EAC72" w:rsidR="00D93B87" w:rsidRPr="00D93B87" w:rsidRDefault="00D93B87">
          <w:pPr>
            <w:rPr>
              <w:rFonts w:cs="Arial"/>
            </w:rPr>
          </w:pPr>
          <w:r w:rsidRPr="00D93B87">
            <w:rPr>
              <w:rFonts w:cs="Arial"/>
              <w:noProof/>
            </w:rPr>
            <w:fldChar w:fldCharType="end"/>
          </w:r>
        </w:p>
      </w:sdtContent>
    </w:sdt>
    <w:p w14:paraId="318EA70A" w14:textId="77777777" w:rsidR="00D93B87" w:rsidRDefault="00D93B87">
      <w:pPr>
        <w:spacing w:before="0" w:after="0" w:line="240" w:lineRule="auto"/>
        <w:jc w:val="left"/>
        <w:rPr>
          <w:rFonts w:eastAsia="Batang" w:cs="Arial"/>
          <w:b/>
          <w:bCs/>
          <w:caps/>
          <w:kern w:val="32"/>
          <w:sz w:val="28"/>
          <w:szCs w:val="32"/>
          <w:lang w:val="en-GB" w:eastAsia="ko-KR"/>
        </w:rPr>
      </w:pPr>
      <w:r>
        <w:br w:type="page"/>
      </w:r>
    </w:p>
    <w:p w14:paraId="752B6DE7" w14:textId="5D99F861" w:rsidR="00E83934" w:rsidRDefault="00261F94" w:rsidP="0096672E">
      <w:pPr>
        <w:pStyle w:val="CILTitle"/>
      </w:pPr>
      <w:r>
        <w:lastRenderedPageBreak/>
        <w:t xml:space="preserve">2024 </w:t>
      </w:r>
      <w:r w:rsidR="00E83934">
        <w:t xml:space="preserve">CHAIRMAN’S STATEMENT OF THE </w:t>
      </w:r>
      <w:r w:rsidR="0096672E">
        <w:br/>
      </w:r>
      <w:r w:rsidR="00E83934">
        <w:t>31st ASEAN REGIONAL FORUM</w:t>
      </w:r>
    </w:p>
    <w:p w14:paraId="1E242A89" w14:textId="14204CB4" w:rsidR="00E83934" w:rsidRDefault="0096672E" w:rsidP="0096672E">
      <w:pPr>
        <w:pStyle w:val="CILSubtitle"/>
      </w:pPr>
      <w:r>
        <w:t xml:space="preserve">Issued in </w:t>
      </w:r>
      <w:r w:rsidR="00E83934">
        <w:t>V</w:t>
      </w:r>
      <w:r>
        <w:t>ientiane, Lao PDR on</w:t>
      </w:r>
      <w:r w:rsidR="00E83934">
        <w:t xml:space="preserve"> 27 J</w:t>
      </w:r>
      <w:r>
        <w:t>uly</w:t>
      </w:r>
      <w:r w:rsidR="00E83934">
        <w:t xml:space="preserve"> 2024</w:t>
      </w:r>
    </w:p>
    <w:p w14:paraId="36F4AFCB" w14:textId="7C2ECDEC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Thirty-First Meeting of the ASEAN Regional Forum (ARF) was held in</w:t>
      </w:r>
      <w:r w:rsidR="00D93B87">
        <w:t xml:space="preserve"> </w:t>
      </w:r>
      <w:r>
        <w:t>Vientiane, Lao PDR, on 27 July 2024. The Meeting was chaired by</w:t>
      </w:r>
      <w:r w:rsidR="00D93B87">
        <w:t xml:space="preserve"> </w:t>
      </w:r>
      <w:r>
        <w:t xml:space="preserve">H.E. Mr. </w:t>
      </w:r>
      <w:proofErr w:type="spellStart"/>
      <w:r>
        <w:t>Saleumxay</w:t>
      </w:r>
      <w:proofErr w:type="spellEnd"/>
      <w:r>
        <w:t xml:space="preserve"> KOMMASITH, Deputy Prime Minister, Minister for Foreign</w:t>
      </w:r>
      <w:r w:rsidR="00D93B87">
        <w:t xml:space="preserve"> </w:t>
      </w:r>
      <w:r>
        <w:t>Affairs of the Lao People’s Democratic Republic, under the Lao PDR’s ASEAN</w:t>
      </w:r>
      <w:r w:rsidR="00D93B87">
        <w:t xml:space="preserve"> </w:t>
      </w:r>
      <w:r>
        <w:t>Chairmanship theme “ASEAN: Enhancing Connectivity and Resilience”.</w:t>
      </w:r>
    </w:p>
    <w:p w14:paraId="320F0B3F" w14:textId="77777777" w:rsidR="0096672E" w:rsidRDefault="0096672E" w:rsidP="00D93B87">
      <w:pPr>
        <w:spacing w:before="0" w:after="0"/>
      </w:pPr>
    </w:p>
    <w:p w14:paraId="2A3375CF" w14:textId="23F572AE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was attended by the Foreign Ministers and Representatives of all</w:t>
      </w:r>
      <w:r w:rsidR="00D93B87">
        <w:t xml:space="preserve"> </w:t>
      </w:r>
      <w:r>
        <w:t>ARF Participants, as well as the Secretary-General of ASEAN. The list of</w:t>
      </w:r>
      <w:r w:rsidR="00D93B87">
        <w:t xml:space="preserve"> </w:t>
      </w:r>
      <w:r>
        <w:t xml:space="preserve">delegates appears as </w:t>
      </w:r>
      <w:r w:rsidRPr="00CE7AD0">
        <w:rPr>
          <w:b/>
          <w:bCs/>
        </w:rPr>
        <w:t>ANNEX 1</w:t>
      </w:r>
      <w:r>
        <w:t>.</w:t>
      </w:r>
    </w:p>
    <w:p w14:paraId="5EB09BCD" w14:textId="0647E0C2" w:rsidR="0096672E" w:rsidRDefault="00E83934" w:rsidP="00D93B87">
      <w:pPr>
        <w:pStyle w:val="Heading2"/>
      </w:pPr>
      <w:bookmarkStart w:id="0" w:name="_Toc189400872"/>
      <w:r>
        <w:t>Overview of the ARF Process</w:t>
      </w:r>
      <w:bookmarkEnd w:id="0"/>
    </w:p>
    <w:p w14:paraId="0B4912F5" w14:textId="10AFF410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reaffirmed the importance of the ARF as the leading regional security</w:t>
      </w:r>
      <w:r w:rsidR="00D93B87">
        <w:t xml:space="preserve"> </w:t>
      </w:r>
      <w:r>
        <w:t>forum in the Asia-Pacific region for fostering constructive dialogue and cooperation</w:t>
      </w:r>
      <w:r w:rsidR="00D93B87">
        <w:t xml:space="preserve"> </w:t>
      </w:r>
      <w:r>
        <w:t>among its Participants on political and security issues of common interest and</w:t>
      </w:r>
      <w:r w:rsidR="00D93B87">
        <w:t xml:space="preserve"> </w:t>
      </w:r>
      <w:r>
        <w:t>concern, with ASEAN as the primary driving force. The Meeting noted that security</w:t>
      </w:r>
      <w:r w:rsidR="00D93B87">
        <w:t xml:space="preserve"> </w:t>
      </w:r>
      <w:r>
        <w:t>challenges are becoming more inter-connected and increasingly complex, thus</w:t>
      </w:r>
      <w:r w:rsidR="00D93B87">
        <w:t xml:space="preserve"> </w:t>
      </w:r>
      <w:r>
        <w:t>requiring greater coordination and concerted efforts. In this respect, the Meeting</w:t>
      </w:r>
      <w:r w:rsidR="00D93B87">
        <w:t xml:space="preserve"> </w:t>
      </w:r>
      <w:r>
        <w:t>encouraged all ARF Participants to exert greater efforts in advancing the ARF</w:t>
      </w:r>
      <w:r w:rsidR="00D93B87">
        <w:t xml:space="preserve"> </w:t>
      </w:r>
      <w:r>
        <w:t>process to promote its effectiveness and relevance in the evolving regional</w:t>
      </w:r>
      <w:r w:rsidR="00D93B87">
        <w:t xml:space="preserve"> </w:t>
      </w:r>
      <w:r>
        <w:t>architecture.</w:t>
      </w:r>
    </w:p>
    <w:p w14:paraId="1141BE78" w14:textId="77777777" w:rsidR="0096672E" w:rsidRDefault="0096672E" w:rsidP="00D93B87">
      <w:pPr>
        <w:spacing w:before="0" w:after="0"/>
      </w:pPr>
    </w:p>
    <w:p w14:paraId="6A7D659D" w14:textId="11AAF6DB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With regard to the ARF’s efforts on preventive diplomacy, the Meeting was pleased</w:t>
      </w:r>
      <w:r w:rsidR="00D93B87">
        <w:t xml:space="preserve"> </w:t>
      </w:r>
      <w:r>
        <w:t>to note the progress in the implementation of the ARF Work Plan on Preventive</w:t>
      </w:r>
      <w:r w:rsidR="00D93B87">
        <w:t xml:space="preserve"> </w:t>
      </w:r>
      <w:r>
        <w:t xml:space="preserve">Diplomacy since its adoption in 2011. </w:t>
      </w:r>
      <w:proofErr w:type="spellStart"/>
      <w:r>
        <w:t>Recognising</w:t>
      </w:r>
      <w:proofErr w:type="spellEnd"/>
      <w:r>
        <w:t xml:space="preserve"> that the Work Plan is an</w:t>
      </w:r>
      <w:r w:rsidR="00D93B87">
        <w:t xml:space="preserve"> </w:t>
      </w:r>
      <w:r>
        <w:t>essential document for cooperation in the ARF, the Meeting was of the view that</w:t>
      </w:r>
      <w:r w:rsidR="00D93B87">
        <w:t xml:space="preserve"> </w:t>
      </w:r>
      <w:r>
        <w:t>there is a need to intensify efforts to advance cooperation in this area, in</w:t>
      </w:r>
      <w:r w:rsidR="00D93B87">
        <w:t xml:space="preserve"> </w:t>
      </w:r>
      <w:r>
        <w:t>accordance with the principles reflected in the ARF Concept and Principles of</w:t>
      </w:r>
      <w:r w:rsidR="00D93B87">
        <w:t xml:space="preserve"> </w:t>
      </w:r>
      <w:r>
        <w:t>Preventive Diplomacy whilst continuing confidence building measures. Towards</w:t>
      </w:r>
      <w:r w:rsidR="00D93B87">
        <w:t xml:space="preserve"> </w:t>
      </w:r>
      <w:r>
        <w:t>this end, the Meeting further noted that there may be a need for the ARF to review</w:t>
      </w:r>
      <w:r w:rsidR="00D93B87">
        <w:t xml:space="preserve"> </w:t>
      </w:r>
      <w:r>
        <w:t>and update the Work Plan to ensure its continued relevance and effectiveness.</w:t>
      </w:r>
    </w:p>
    <w:p w14:paraId="5986970E" w14:textId="77777777" w:rsidR="0096672E" w:rsidRDefault="0096672E" w:rsidP="00D93B87">
      <w:pPr>
        <w:spacing w:before="0" w:after="0"/>
      </w:pPr>
    </w:p>
    <w:p w14:paraId="2FE8DCC6" w14:textId="3A250312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underscored the key role of the ARF Ha Noi Plan of Action II (2020-2025) (HPOA II) in paving the way for the ARF as an action-oriented forum at a</w:t>
      </w:r>
      <w:r w:rsidR="00D93B87">
        <w:t xml:space="preserve"> </w:t>
      </w:r>
      <w:r>
        <w:t>pace comfortable to all. The Meeting noted the progress in the implementation of</w:t>
      </w:r>
      <w:r w:rsidR="00D93B87">
        <w:t xml:space="preserve"> </w:t>
      </w:r>
      <w:r>
        <w:t>the HPOA II and encouraged stronger commitment of ARF Participants to expedite</w:t>
      </w:r>
      <w:r w:rsidR="00D93B87">
        <w:t xml:space="preserve"> </w:t>
      </w:r>
      <w:r>
        <w:t>the implementation of the remaining action lines. The Meeting commended the</w:t>
      </w:r>
      <w:r w:rsidR="00D93B87">
        <w:t xml:space="preserve"> </w:t>
      </w:r>
      <w:r>
        <w:t>work of the ARF Unit in monitoring and assessing the implementation of the HPOA</w:t>
      </w:r>
      <w:r w:rsidR="00D93B87">
        <w:t xml:space="preserve"> </w:t>
      </w:r>
      <w:r>
        <w:t>II and noted that challenges to determine the quantifiability of some of the action</w:t>
      </w:r>
      <w:r w:rsidR="00D93B87">
        <w:t xml:space="preserve"> </w:t>
      </w:r>
      <w:r>
        <w:t>lines continue to be encountered due to the lack of information and capabilities. In</w:t>
      </w:r>
      <w:r w:rsidR="00D93B87">
        <w:t xml:space="preserve"> </w:t>
      </w:r>
      <w:r>
        <w:t>this regard, the Meeting tasked the Co-Chairs of each ARF Inter-Sessional</w:t>
      </w:r>
      <w:r w:rsidR="00D93B87">
        <w:t xml:space="preserve"> </w:t>
      </w:r>
      <w:r>
        <w:t>Meeting (ISM), with the assistance of the ARF Unit to assess the implementation</w:t>
      </w:r>
      <w:r w:rsidR="00D93B87">
        <w:t xml:space="preserve"> </w:t>
      </w:r>
      <w:r>
        <w:t>progress of each area of cooperation under their purview as well as to lead</w:t>
      </w:r>
      <w:r w:rsidR="00D93B87">
        <w:t xml:space="preserve"> </w:t>
      </w:r>
      <w:r>
        <w:t>discussions on ways to further promote the implementation of the HPOA II by</w:t>
      </w:r>
      <w:r w:rsidR="00D93B87">
        <w:t xml:space="preserve"> </w:t>
      </w:r>
      <w:r>
        <w:t>2025. The Meeting also looked forward to the development of the next Plan of</w:t>
      </w:r>
      <w:r w:rsidR="00D93B87">
        <w:t xml:space="preserve"> </w:t>
      </w:r>
      <w:r>
        <w:t>Action for the ARF.</w:t>
      </w:r>
    </w:p>
    <w:p w14:paraId="7D5D98F7" w14:textId="77777777" w:rsidR="0096672E" w:rsidRDefault="0096672E" w:rsidP="00D93B87">
      <w:pPr>
        <w:spacing w:before="0" w:after="0"/>
      </w:pPr>
    </w:p>
    <w:p w14:paraId="26D6D225" w14:textId="1C9575CA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reaffirmed ASEAN Unity and Centrality as the driving force in</w:t>
      </w:r>
      <w:r w:rsidR="00D93B87">
        <w:t xml:space="preserve"> </w:t>
      </w:r>
      <w:r>
        <w:t>maintaining and promoting regional peace, security, stability, and prosperity, as</w:t>
      </w:r>
      <w:r w:rsidR="00D93B87">
        <w:t xml:space="preserve"> </w:t>
      </w:r>
      <w:r>
        <w:t>well as the commitment to the peaceful resolution of disputes without resorting to</w:t>
      </w:r>
      <w:r w:rsidR="00D93B87">
        <w:t xml:space="preserve"> </w:t>
      </w:r>
      <w:r>
        <w:t>the threat or use of force, in accordance with the universally recognised principles</w:t>
      </w:r>
      <w:r w:rsidR="00D93B87">
        <w:t xml:space="preserve"> </w:t>
      </w:r>
      <w:r>
        <w:t>of international law. The Meeting stressed the need to maintain constructive</w:t>
      </w:r>
      <w:r w:rsidR="00D93B87">
        <w:t xml:space="preserve"> </w:t>
      </w:r>
      <w:r>
        <w:t>dialogue and cooperation among ARF Participants on political and security issues</w:t>
      </w:r>
      <w:r w:rsidR="00D93B87">
        <w:t xml:space="preserve"> </w:t>
      </w:r>
      <w:r>
        <w:t>of common interest and concern to address and reduce threats to regional peace</w:t>
      </w:r>
      <w:r w:rsidR="00D93B87">
        <w:t xml:space="preserve"> </w:t>
      </w:r>
      <w:r>
        <w:t>and security.</w:t>
      </w:r>
    </w:p>
    <w:p w14:paraId="5A3CBDA7" w14:textId="77777777" w:rsidR="0096672E" w:rsidRDefault="0096672E" w:rsidP="00D93B87">
      <w:pPr>
        <w:spacing w:before="0" w:after="0"/>
      </w:pPr>
    </w:p>
    <w:p w14:paraId="742904EB" w14:textId="77777777" w:rsidR="002D4358" w:rsidRDefault="002D4358" w:rsidP="00D93B87">
      <w:pPr>
        <w:spacing w:before="0" w:after="0"/>
      </w:pPr>
    </w:p>
    <w:p w14:paraId="309C947D" w14:textId="353413F1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lastRenderedPageBreak/>
        <w:t>The Meeting reaffirmed, through its inclusive and consensus-based process, that</w:t>
      </w:r>
      <w:r w:rsidR="00D93B87">
        <w:t xml:space="preserve"> </w:t>
      </w:r>
      <w:r>
        <w:t>the ARF has contributed remarkably to developing a rules-based regional security</w:t>
      </w:r>
      <w:r w:rsidR="00D93B87">
        <w:t xml:space="preserve"> </w:t>
      </w:r>
      <w:r>
        <w:t>architecture with ASEAN at the centre that upholds international law and fostered</w:t>
      </w:r>
      <w:r w:rsidR="00D93B87">
        <w:t xml:space="preserve"> </w:t>
      </w:r>
      <w:r>
        <w:t xml:space="preserve">an </w:t>
      </w:r>
      <w:r w:rsidR="00D93B87">
        <w:t>environment</w:t>
      </w:r>
      <w:r>
        <w:t xml:space="preserve"> conducive to peace and prosperity in the region.</w:t>
      </w:r>
    </w:p>
    <w:p w14:paraId="01F93A9C" w14:textId="77777777" w:rsidR="00E83934" w:rsidRDefault="00E83934" w:rsidP="00D93B87">
      <w:pPr>
        <w:pStyle w:val="Heading2"/>
      </w:pPr>
      <w:bookmarkStart w:id="1" w:name="_Toc189400873"/>
      <w:r>
        <w:t>Highlights of Discussions on Regional and International Issues</w:t>
      </w:r>
      <w:bookmarkEnd w:id="1"/>
    </w:p>
    <w:p w14:paraId="7AE195E5" w14:textId="64AEA31B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deliberated on cooperation and joint efforts to address various</w:t>
      </w:r>
      <w:r w:rsidR="00D93B87">
        <w:t xml:space="preserve"> </w:t>
      </w:r>
      <w:r>
        <w:t xml:space="preserve">traditional and </w:t>
      </w:r>
      <w:r w:rsidR="002D4358">
        <w:br/>
      </w:r>
      <w:r>
        <w:t>non-traditional regional issues. The Meeting commended the</w:t>
      </w:r>
      <w:r w:rsidR="00D93B87">
        <w:t xml:space="preserve"> </w:t>
      </w:r>
      <w:r>
        <w:t>region’s continued commitment to addressing the complex challenges posed by</w:t>
      </w:r>
      <w:r w:rsidR="00D93B87">
        <w:t xml:space="preserve"> </w:t>
      </w:r>
      <w:r>
        <w:t>terrorism, violent extremism conducive to terrorism (VECT), and transnational</w:t>
      </w:r>
      <w:r w:rsidR="00D93B87">
        <w:t xml:space="preserve"> </w:t>
      </w:r>
      <w:proofErr w:type="spellStart"/>
      <w:r>
        <w:t>organised</w:t>
      </w:r>
      <w:proofErr w:type="spellEnd"/>
      <w:r>
        <w:t xml:space="preserve"> crime, including through cross sectoral and cross-pillar cooperation in</w:t>
      </w:r>
      <w:r w:rsidR="00D93B87">
        <w:t xml:space="preserve"> </w:t>
      </w:r>
      <w:r>
        <w:t>border management and combating terrorism, trafficking in persons, and illicit</w:t>
      </w:r>
      <w:r w:rsidR="00D93B87">
        <w:t xml:space="preserve"> </w:t>
      </w:r>
      <w:r>
        <w:t>drugs. In this connection, the Meeting was encouraged by the efforts of all ARF</w:t>
      </w:r>
      <w:r w:rsidR="00D93B87">
        <w:t xml:space="preserve"> </w:t>
      </w:r>
      <w:r>
        <w:t>Participants in supporting the implementation and updating of the ARF Work Plan</w:t>
      </w:r>
      <w:r w:rsidR="00D93B87">
        <w:t xml:space="preserve"> </w:t>
      </w:r>
      <w:r>
        <w:t>on Counter-Terrorism and Transnational Crime 2023-2025 and the active</w:t>
      </w:r>
      <w:r w:rsidR="00D93B87">
        <w:t xml:space="preserve"> </w:t>
      </w:r>
      <w:r>
        <w:t>participation in the ARF Inter-Sessional Meeting on Counter Terrorism and</w:t>
      </w:r>
      <w:r w:rsidR="00D93B87">
        <w:t xml:space="preserve"> </w:t>
      </w:r>
      <w:r>
        <w:t>Transnational Crime (ISM on CTTC). The Meeting also took note of the ongoing</w:t>
      </w:r>
      <w:r w:rsidR="00D93B87">
        <w:t xml:space="preserve"> </w:t>
      </w:r>
      <w:r>
        <w:t xml:space="preserve">work under the ambit of the ASEAN </w:t>
      </w:r>
      <w:proofErr w:type="spellStart"/>
      <w:r>
        <w:t>Defence</w:t>
      </w:r>
      <w:proofErr w:type="spellEnd"/>
      <w:r>
        <w:t xml:space="preserve"> Ministers’ Meeting (ADMM) in</w:t>
      </w:r>
      <w:r w:rsidR="00D93B87">
        <w:t xml:space="preserve"> </w:t>
      </w:r>
      <w:r>
        <w:t>facilitating strategic information exchanges on countering terrorism, VECT and</w:t>
      </w:r>
      <w:r w:rsidR="00D93B87">
        <w:t xml:space="preserve"> </w:t>
      </w:r>
      <w:proofErr w:type="spellStart"/>
      <w:r>
        <w:t>radicalisation</w:t>
      </w:r>
      <w:proofErr w:type="spellEnd"/>
      <w:r>
        <w:t xml:space="preserve"> and the ADMM-Plus </w:t>
      </w:r>
      <w:proofErr w:type="spellStart"/>
      <w:r>
        <w:t>endeavours</w:t>
      </w:r>
      <w:proofErr w:type="spellEnd"/>
      <w:r>
        <w:t xml:space="preserve"> toward sharing experiences and</w:t>
      </w:r>
      <w:r w:rsidR="00D93B87">
        <w:t xml:space="preserve"> </w:t>
      </w:r>
      <w:r>
        <w:t>best practices, as feasible, and enhancing capacity through relevant capacity-building initiatives.</w:t>
      </w:r>
    </w:p>
    <w:p w14:paraId="496AA219" w14:textId="77777777" w:rsidR="0096672E" w:rsidRDefault="0096672E" w:rsidP="00D93B87">
      <w:pPr>
        <w:spacing w:before="0" w:after="0"/>
      </w:pPr>
    </w:p>
    <w:p w14:paraId="39D780A4" w14:textId="742EFC79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recognised the increasing importance of security of and in the use of</w:t>
      </w:r>
      <w:r w:rsidR="00D93B87">
        <w:t xml:space="preserve"> </w:t>
      </w:r>
      <w:r>
        <w:t>ICTs to economic growth and addressing the challenges arising from the rapidly</w:t>
      </w:r>
      <w:r w:rsidR="00D93B87">
        <w:t xml:space="preserve"> </w:t>
      </w:r>
      <w:r>
        <w:t>changing ICT environment. In this regard, the Meeting welcomed and encouraged</w:t>
      </w:r>
      <w:r w:rsidR="00D93B87">
        <w:t xml:space="preserve"> </w:t>
      </w:r>
      <w:r>
        <w:t>new initiatives undertaken to further promote confidence building measures and</w:t>
      </w:r>
      <w:r w:rsidR="00D93B87">
        <w:t xml:space="preserve"> </w:t>
      </w:r>
      <w:r>
        <w:t>trust through the ARF Inter-Sessional Meeting on Security of and in the Use of</w:t>
      </w:r>
      <w:r w:rsidR="00D93B87">
        <w:t xml:space="preserve"> </w:t>
      </w:r>
      <w:r>
        <w:t>ICTs (ISM on ICTs Security) and, where appropriate, other relevant ASEAN-led</w:t>
      </w:r>
      <w:r w:rsidR="00D93B87">
        <w:t xml:space="preserve"> </w:t>
      </w:r>
      <w:r>
        <w:t>mechanisms. The Meeting underlined the need to strengthen cross-sectoral</w:t>
      </w:r>
      <w:r w:rsidR="00D93B87">
        <w:t xml:space="preserve"> </w:t>
      </w:r>
      <w:r>
        <w:t>cooperation in ensuring ICTs security, given its cross-sectoral nature. The Meeting</w:t>
      </w:r>
      <w:r w:rsidR="00D93B87">
        <w:t xml:space="preserve"> </w:t>
      </w:r>
      <w:r>
        <w:t>took note of the work of the ADMM-Plus Experts’ Working Group on Cyber</w:t>
      </w:r>
      <w:r w:rsidR="00D93B87">
        <w:t xml:space="preserve"> </w:t>
      </w:r>
      <w:r>
        <w:t>Security which focuses on forging a common understanding and confidence-building.</w:t>
      </w:r>
    </w:p>
    <w:p w14:paraId="24CF85C0" w14:textId="77777777" w:rsidR="0096672E" w:rsidRDefault="0096672E" w:rsidP="00D93B87">
      <w:pPr>
        <w:spacing w:before="0" w:after="0"/>
      </w:pPr>
    </w:p>
    <w:p w14:paraId="6480F420" w14:textId="72979F4E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exchanged views on various challenges relating to maritime domain,</w:t>
      </w:r>
      <w:r w:rsidR="00D93B87">
        <w:t xml:space="preserve"> </w:t>
      </w:r>
      <w:r>
        <w:t>and shared concern over piracy, illegal, unreported and unregulated fishing, the</w:t>
      </w:r>
      <w:r w:rsidR="00D93B87">
        <w:t xml:space="preserve"> </w:t>
      </w:r>
      <w:r>
        <w:t>degradation of marine eco system and biodiversity caused by the high and rapidly</w:t>
      </w:r>
      <w:r w:rsidR="00D93B87">
        <w:t xml:space="preserve"> </w:t>
      </w:r>
      <w:r>
        <w:t>increasing levels of marine debris and marine pollution. The Meeting, therefore,</w:t>
      </w:r>
      <w:r w:rsidR="00D93B87">
        <w:t xml:space="preserve"> </w:t>
      </w:r>
      <w:r>
        <w:t>noted the progress of various maritime cooperation through raising public</w:t>
      </w:r>
      <w:r w:rsidR="00D93B87">
        <w:t xml:space="preserve"> </w:t>
      </w:r>
      <w:r>
        <w:t>awareness, practical engagements, and continued constructive dialogue, and</w:t>
      </w:r>
      <w:r w:rsidR="00D93B87">
        <w:t xml:space="preserve"> </w:t>
      </w:r>
      <w:r>
        <w:t>stressed the importance of coordination among various frameworks in addressing</w:t>
      </w:r>
      <w:r w:rsidR="00D93B87">
        <w:t xml:space="preserve"> </w:t>
      </w:r>
      <w:r>
        <w:t>maritime challenges under the ARF Inter-Sessional Meeting on Maritime Security</w:t>
      </w:r>
      <w:r w:rsidR="00D93B87">
        <w:t xml:space="preserve"> </w:t>
      </w:r>
      <w:r>
        <w:t>(ISM on MS) and other ASEAN and ASEAN-led frameworks such as the ASEAN</w:t>
      </w:r>
      <w:r w:rsidR="00D93B87">
        <w:t xml:space="preserve"> </w:t>
      </w:r>
      <w:r>
        <w:t>Maritime Forum (AMF), the Expanded ASEAN Maritime Forum (EAMF), the</w:t>
      </w:r>
      <w:r w:rsidR="00D93B87">
        <w:t xml:space="preserve"> </w:t>
      </w:r>
      <w:r>
        <w:t>ADMM, the ADMM Plus, the ASEAN Ministerial Meeting on Transnational Crime</w:t>
      </w:r>
      <w:r w:rsidR="00D93B87">
        <w:t xml:space="preserve"> </w:t>
      </w:r>
      <w:r>
        <w:t>(AMMTC), as well as other similar arrangements such as the Regional</w:t>
      </w:r>
      <w:r w:rsidR="00D93B87">
        <w:t xml:space="preserve"> </w:t>
      </w:r>
      <w:r>
        <w:t>Cooperation Agreement on Combating Piracy and Armed Robbery against Ships</w:t>
      </w:r>
      <w:r w:rsidR="00D93B87">
        <w:t xml:space="preserve"> </w:t>
      </w:r>
      <w:r>
        <w:t>(</w:t>
      </w:r>
      <w:proofErr w:type="spellStart"/>
      <w:r>
        <w:t>ReCAAP</w:t>
      </w:r>
      <w:proofErr w:type="spellEnd"/>
      <w:r>
        <w:t>).</w:t>
      </w:r>
    </w:p>
    <w:p w14:paraId="7C087907" w14:textId="77777777" w:rsidR="0096672E" w:rsidRDefault="0096672E" w:rsidP="00D93B87">
      <w:pPr>
        <w:spacing w:before="0" w:after="0"/>
      </w:pPr>
    </w:p>
    <w:p w14:paraId="61D78D3F" w14:textId="26241A9C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noted the need to further strengthen cooperation on disaster</w:t>
      </w:r>
      <w:r w:rsidR="00D93B87">
        <w:t xml:space="preserve"> </w:t>
      </w:r>
      <w:r>
        <w:t>management particularly in areas of early warning and preparedness, taking into</w:t>
      </w:r>
      <w:r w:rsidR="00D93B87">
        <w:t xml:space="preserve"> </w:t>
      </w:r>
      <w:r>
        <w:t>account the region’s vulnerability to natural disasters, climate change and rising</w:t>
      </w:r>
      <w:r w:rsidR="00D93B87">
        <w:t xml:space="preserve"> </w:t>
      </w:r>
      <w:r>
        <w:t>sea levels. The Meeting underlined the importance of enhancing capabilities and</w:t>
      </w:r>
      <w:r w:rsidR="00D93B87">
        <w:t xml:space="preserve"> </w:t>
      </w:r>
      <w:r>
        <w:t>capacities of anticipatory actions, humanitarian assistance and disaster relief</w:t>
      </w:r>
      <w:r w:rsidR="00D93B87">
        <w:t xml:space="preserve"> </w:t>
      </w:r>
      <w:r>
        <w:t>efforts in the region through the sharing of information and exchange of best</w:t>
      </w:r>
      <w:r w:rsidR="00D93B87">
        <w:t xml:space="preserve"> </w:t>
      </w:r>
      <w:r>
        <w:t>practices under the ambit of the ARF Inter-Sessional Meeting on Disaster Relief</w:t>
      </w:r>
      <w:r w:rsidR="00D93B87">
        <w:t xml:space="preserve"> </w:t>
      </w:r>
      <w:r>
        <w:t>(ISM on DR).</w:t>
      </w:r>
    </w:p>
    <w:p w14:paraId="6E306357" w14:textId="77777777" w:rsidR="0096672E" w:rsidRDefault="0096672E" w:rsidP="00D93B87">
      <w:pPr>
        <w:spacing w:before="0" w:after="0"/>
      </w:pPr>
    </w:p>
    <w:p w14:paraId="0C3D0CA6" w14:textId="77777777" w:rsidR="002D4358" w:rsidRDefault="002D4358" w:rsidP="00D93B87">
      <w:pPr>
        <w:spacing w:before="0" w:after="0"/>
      </w:pPr>
    </w:p>
    <w:p w14:paraId="30D77604" w14:textId="77777777" w:rsidR="002D4358" w:rsidRDefault="002D4358" w:rsidP="00D93B87">
      <w:pPr>
        <w:spacing w:before="0" w:after="0"/>
      </w:pPr>
    </w:p>
    <w:p w14:paraId="04FEA7E5" w14:textId="0A7816F7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lastRenderedPageBreak/>
        <w:t>The Meeting noted the concerns raised by some participants over the declining</w:t>
      </w:r>
      <w:r w:rsidR="00D93B87">
        <w:t xml:space="preserve"> </w:t>
      </w:r>
      <w:r>
        <w:t>commitment and cooperation in global non-proliferation, arms control and</w:t>
      </w:r>
      <w:r w:rsidR="00D93B87">
        <w:t xml:space="preserve"> </w:t>
      </w:r>
      <w:r>
        <w:t>disarmament mechanisms, and called on countries, especially Nuclear Weapon</w:t>
      </w:r>
      <w:r w:rsidR="00D93B87">
        <w:t xml:space="preserve"> </w:t>
      </w:r>
      <w:r>
        <w:t>States (NWS), to maintain and fully implement their commitments under these</w:t>
      </w:r>
      <w:r w:rsidR="00D93B87">
        <w:t xml:space="preserve"> </w:t>
      </w:r>
      <w:r>
        <w:t>mechanisms. The Meeting reiterated the importance of strengthening international</w:t>
      </w:r>
      <w:r w:rsidR="00D93B87">
        <w:t xml:space="preserve"> </w:t>
      </w:r>
      <w:r>
        <w:t>and regional cooperative efforts in nuclear non-proliferation, disarmament, and the</w:t>
      </w:r>
      <w:r w:rsidR="00D93B87">
        <w:t xml:space="preserve"> </w:t>
      </w:r>
      <w:r>
        <w:t>peaceful uses of nuclear energy and chemical, biological and nuclear technology,</w:t>
      </w:r>
      <w:r w:rsidR="00D93B87">
        <w:t xml:space="preserve"> </w:t>
      </w:r>
      <w:r>
        <w:t>as well as advancing the ultimate goal of the elimination of weapons of mass</w:t>
      </w:r>
      <w:r w:rsidR="00D93B87">
        <w:t xml:space="preserve"> </w:t>
      </w:r>
      <w:r>
        <w:t>destruction and the prevention of their proliferation. The Meeting was pleased to</w:t>
      </w:r>
      <w:r w:rsidR="00D93B87">
        <w:t xml:space="preserve"> </w:t>
      </w:r>
      <w:r>
        <w:t>note that the ARF Inter-Sessional Meeting on Non-Proliferation and Disarmament</w:t>
      </w:r>
      <w:r w:rsidR="00D93B87">
        <w:t xml:space="preserve"> </w:t>
      </w:r>
      <w:r>
        <w:t>(ISM on NPD) continues to provide a platform for dialogue and exchange of views</w:t>
      </w:r>
      <w:r w:rsidR="00D93B87">
        <w:t xml:space="preserve"> </w:t>
      </w:r>
      <w:r>
        <w:t>on non-proliferation and disarmament issues. The Meeting noted with</w:t>
      </w:r>
      <w:r w:rsidR="00D93B87">
        <w:t xml:space="preserve"> </w:t>
      </w:r>
      <w:r>
        <w:t>appreciation, and encouraged the continued implementation of the Practical</w:t>
      </w:r>
      <w:r w:rsidR="00D93B87">
        <w:t xml:space="preserve"> </w:t>
      </w:r>
      <w:r>
        <w:t>Arrangements (PA) between ASEAN and the International Atomic Energy Agency</w:t>
      </w:r>
      <w:r w:rsidR="00D93B87">
        <w:t xml:space="preserve"> </w:t>
      </w:r>
      <w:r>
        <w:t>(IAEA) on Cooperation in the Areas of Nuclear Science and Technology and</w:t>
      </w:r>
      <w:r w:rsidR="00D93B87">
        <w:t xml:space="preserve"> </w:t>
      </w:r>
      <w:r>
        <w:t>Applications, Nuclear Safety, Security and Safeguards, which was signed in</w:t>
      </w:r>
      <w:r w:rsidR="00D93B87">
        <w:t xml:space="preserve"> </w:t>
      </w:r>
      <w:r>
        <w:t>September 2019.</w:t>
      </w:r>
    </w:p>
    <w:p w14:paraId="69D564E9" w14:textId="77777777" w:rsidR="0096672E" w:rsidRDefault="0096672E" w:rsidP="00D93B87">
      <w:pPr>
        <w:spacing w:before="0" w:after="0"/>
      </w:pPr>
    </w:p>
    <w:p w14:paraId="74F306E4" w14:textId="3AF2AD40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called on the Nuclear Weapon States (NWS) to fulfil their obligations</w:t>
      </w:r>
      <w:r w:rsidR="00D93B87">
        <w:t xml:space="preserve"> </w:t>
      </w:r>
      <w:r>
        <w:t>in advancing nuclear disarmament in accordance with Article VI of the Treaty on</w:t>
      </w:r>
      <w:r w:rsidR="00D93B87">
        <w:t xml:space="preserve"> </w:t>
      </w:r>
      <w:r>
        <w:t>the Non-Proliferation of Nuclear Weapons (NPT) and to recognise the need to</w:t>
      </w:r>
      <w:r w:rsidR="00D93B87">
        <w:t xml:space="preserve"> </w:t>
      </w:r>
      <w:r>
        <w:t>completely eliminate nuclear weapons, which remains the only way to guarantee</w:t>
      </w:r>
      <w:r w:rsidR="00D93B87">
        <w:t xml:space="preserve"> </w:t>
      </w:r>
      <w:r>
        <w:t>that nuclear weapons are never used again under any circumstances. The</w:t>
      </w:r>
      <w:r w:rsidR="00D93B87">
        <w:t xml:space="preserve"> </w:t>
      </w:r>
      <w:r>
        <w:t>Meeting reiterated the commitment to preserving the Southeast Asian region as a</w:t>
      </w:r>
      <w:r w:rsidR="00D93B87">
        <w:t xml:space="preserve"> </w:t>
      </w:r>
      <w:r>
        <w:t>Nuclear Weapon-Free Zone (NWFZ) and free of all other weapons of mass</w:t>
      </w:r>
      <w:r w:rsidR="00D93B87">
        <w:t xml:space="preserve"> </w:t>
      </w:r>
      <w:r>
        <w:t>destruction as enshrined in the ASEAN Charter and the Treaty on the Southeast</w:t>
      </w:r>
      <w:r w:rsidR="00D93B87">
        <w:t xml:space="preserve"> </w:t>
      </w:r>
      <w:r>
        <w:t>Asia Nuclear Weapon-Free Zone (SEANWFZ) Treaty and stressed the importance</w:t>
      </w:r>
      <w:r w:rsidR="00D93B87">
        <w:t xml:space="preserve"> </w:t>
      </w:r>
      <w:r>
        <w:t>of the full and effective implementation of the SEANWFZ Treaty.</w:t>
      </w:r>
    </w:p>
    <w:p w14:paraId="56608BA2" w14:textId="77777777" w:rsidR="0096672E" w:rsidRDefault="0096672E" w:rsidP="00D93B87">
      <w:pPr>
        <w:spacing w:before="0" w:after="0"/>
      </w:pPr>
    </w:p>
    <w:p w14:paraId="7EE17E6E" w14:textId="08EF8C51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discussed the situation in the South China Sea, during which</w:t>
      </w:r>
      <w:r w:rsidR="00D93B87">
        <w:t xml:space="preserve"> </w:t>
      </w:r>
      <w:r>
        <w:t>concerns were expressed by some Ministers, on the land reclamations, activities</w:t>
      </w:r>
      <w:r w:rsidR="00D93B87">
        <w:t xml:space="preserve"> </w:t>
      </w:r>
      <w:r>
        <w:t>in the area, including actions that put the safety of all persons at risk, which have</w:t>
      </w:r>
      <w:r w:rsidR="00D93B87">
        <w:t xml:space="preserve"> </w:t>
      </w:r>
      <w:r>
        <w:t>eroded trust and confidence, increased tensions, and may undermine peace,</w:t>
      </w:r>
      <w:r w:rsidR="00D93B87">
        <w:t xml:space="preserve"> </w:t>
      </w:r>
      <w:r>
        <w:t>security, and stability in the region. The Meeting reaffirmed the need to enhance</w:t>
      </w:r>
      <w:r w:rsidR="00D93B87">
        <w:t xml:space="preserve"> </w:t>
      </w:r>
      <w:r>
        <w:t>mutual trust and confidence, exercise self-restraint in the conduct of activities that</w:t>
      </w:r>
      <w:r w:rsidR="00D93B87">
        <w:t xml:space="preserve"> </w:t>
      </w:r>
      <w:r>
        <w:t>would complicate or escalate disputes and affect peace and stability, and avoid</w:t>
      </w:r>
      <w:r w:rsidR="00D93B87">
        <w:t xml:space="preserve"> </w:t>
      </w:r>
      <w:r>
        <w:t>actions that may further complicate the situation. The Meeting further reaffirmed</w:t>
      </w:r>
      <w:r w:rsidR="00D93B87">
        <w:t xml:space="preserve"> </w:t>
      </w:r>
      <w:r>
        <w:t>the need to pursue peaceful resolution of disputes in accordance with the</w:t>
      </w:r>
      <w:r w:rsidR="00D93B87">
        <w:t xml:space="preserve"> </w:t>
      </w:r>
      <w:r>
        <w:t>universally recognised principles of international law, including the 1982 UNCLOS.</w:t>
      </w:r>
      <w:r w:rsidR="00D93B87">
        <w:t xml:space="preserve"> </w:t>
      </w:r>
      <w:r>
        <w:t xml:space="preserve">The Meeting </w:t>
      </w:r>
      <w:proofErr w:type="spellStart"/>
      <w:r>
        <w:t>emphasised</w:t>
      </w:r>
      <w:proofErr w:type="spellEnd"/>
      <w:r>
        <w:t xml:space="preserve"> the importance of self-restraint in the conduct of all</w:t>
      </w:r>
      <w:r w:rsidR="00D93B87">
        <w:t xml:space="preserve"> </w:t>
      </w:r>
      <w:r>
        <w:t>activities by claimants and all other states, including those mentioned in the 2002</w:t>
      </w:r>
      <w:r w:rsidR="00D93B87">
        <w:t xml:space="preserve"> </w:t>
      </w:r>
      <w:r>
        <w:t>Declaration on the Conduct of Parties in the South China Sea (DOC) that could</w:t>
      </w:r>
      <w:r w:rsidR="00D93B87">
        <w:t xml:space="preserve"> </w:t>
      </w:r>
      <w:r>
        <w:t>further complicate the situation and escalate tensions in the South China Sea.</w:t>
      </w:r>
    </w:p>
    <w:p w14:paraId="4B03561D" w14:textId="77777777" w:rsidR="0096672E" w:rsidRDefault="0096672E" w:rsidP="00D93B87">
      <w:pPr>
        <w:spacing w:before="0" w:after="0"/>
      </w:pPr>
    </w:p>
    <w:p w14:paraId="3D9D1262" w14:textId="16F8CEFB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reaffirmed the importance of maintaining and promoting peace,</w:t>
      </w:r>
      <w:r w:rsidR="00D93B87">
        <w:t xml:space="preserve"> </w:t>
      </w:r>
      <w:r>
        <w:t>security, stability, safety, and freedom of navigation in and overflight above the</w:t>
      </w:r>
      <w:r w:rsidR="00D93B87">
        <w:t xml:space="preserve"> </w:t>
      </w:r>
      <w:r>
        <w:t>South China Sea and recognised the benefits of having the South China Sea as a</w:t>
      </w:r>
      <w:r w:rsidR="00D93B87">
        <w:t xml:space="preserve"> </w:t>
      </w:r>
      <w:r>
        <w:t>sea of peace, stability, and prosperity. The Meeting underscored the importance of</w:t>
      </w:r>
      <w:r w:rsidR="00D93B87">
        <w:t xml:space="preserve"> </w:t>
      </w:r>
      <w:r>
        <w:t>the full and effective implementation of the DOC in its entirety. The Meeting was</w:t>
      </w:r>
      <w:r w:rsidR="00D93B87">
        <w:t xml:space="preserve"> </w:t>
      </w:r>
      <w:r>
        <w:t>pleased with the progress achieved so far in the ongoing negotiations on the Code</w:t>
      </w:r>
      <w:r w:rsidR="00D93B87">
        <w:t xml:space="preserve"> </w:t>
      </w:r>
      <w:r>
        <w:t>of Conduct in the South China Sea (COC), notably the commencement of the third</w:t>
      </w:r>
      <w:r w:rsidR="00D93B87">
        <w:t xml:space="preserve"> </w:t>
      </w:r>
      <w:r>
        <w:t>reading of the Single Draft COC Negotiating Text (SDNT) and encouraged</w:t>
      </w:r>
      <w:r w:rsidR="00D93B87">
        <w:t xml:space="preserve"> </w:t>
      </w:r>
      <w:r>
        <w:t>continued positive momentum in this regard. The Meeting looked forward to the</w:t>
      </w:r>
      <w:r w:rsidR="00D93B87">
        <w:t xml:space="preserve"> </w:t>
      </w:r>
      <w:r>
        <w:t>early conclusion of an effective and substantive COC that is in accordance with</w:t>
      </w:r>
      <w:r w:rsidR="00D93B87">
        <w:t xml:space="preserve"> </w:t>
      </w:r>
      <w:r>
        <w:t>international law, including the 1982 UNCLOS.</w:t>
      </w:r>
    </w:p>
    <w:p w14:paraId="0607EBD9" w14:textId="77777777" w:rsidR="0096672E" w:rsidRDefault="0096672E" w:rsidP="00D93B87">
      <w:pPr>
        <w:spacing w:before="0" w:after="0"/>
      </w:pPr>
    </w:p>
    <w:p w14:paraId="1D8A2F9A" w14:textId="77777777" w:rsidR="00DB6C88" w:rsidRDefault="00DB6C88" w:rsidP="00D93B87">
      <w:pPr>
        <w:spacing w:before="0" w:after="0"/>
      </w:pPr>
    </w:p>
    <w:p w14:paraId="1042371B" w14:textId="77777777" w:rsidR="00DB6C88" w:rsidRDefault="00DB6C88" w:rsidP="00D93B87">
      <w:pPr>
        <w:spacing w:before="0" w:after="0"/>
      </w:pPr>
    </w:p>
    <w:p w14:paraId="1B813B4F" w14:textId="77777777" w:rsidR="00DB6C88" w:rsidRDefault="00DB6C88" w:rsidP="00D93B87">
      <w:pPr>
        <w:spacing w:before="0" w:after="0"/>
      </w:pPr>
    </w:p>
    <w:p w14:paraId="5409E392" w14:textId="3AEFA3E2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lastRenderedPageBreak/>
        <w:t>The Meeting discussed the developments in Myanmar during which deep concern</w:t>
      </w:r>
      <w:r w:rsidR="00D93B87">
        <w:t xml:space="preserve"> </w:t>
      </w:r>
      <w:r>
        <w:t>were expressed over the escalation of conflicts and humanitarian situation. The</w:t>
      </w:r>
      <w:r w:rsidR="00D93B87">
        <w:t xml:space="preserve"> </w:t>
      </w:r>
      <w:r>
        <w:t>Meeting reaffirmed support for the ASEAN Leaders’ Five-Point Consensus (5PC)</w:t>
      </w:r>
      <w:r w:rsidR="00D93B87">
        <w:t xml:space="preserve"> </w:t>
      </w:r>
      <w:r>
        <w:t>which remains the main reference to address the political crisis in Myanmar. The</w:t>
      </w:r>
      <w:r w:rsidR="00D93B87">
        <w:t xml:space="preserve"> </w:t>
      </w:r>
      <w:r>
        <w:t>Meeting also reaffirmed the relevant Leaders’ decisions. The Meeting condemned</w:t>
      </w:r>
      <w:r w:rsidR="00D93B87">
        <w:t xml:space="preserve"> </w:t>
      </w:r>
      <w:r>
        <w:t>the continued acts of violence against civilians and public facilities and called for</w:t>
      </w:r>
      <w:r w:rsidR="00D93B87">
        <w:t xml:space="preserve"> </w:t>
      </w:r>
      <w:r>
        <w:t>immediate cessation. The Meeting urged all parties involved to take concrete</w:t>
      </w:r>
      <w:r w:rsidR="00D93B87">
        <w:t xml:space="preserve"> </w:t>
      </w:r>
      <w:r>
        <w:t>action to immediately halt indiscriminate violence, denounce any escalation,</w:t>
      </w:r>
      <w:r w:rsidR="00D93B87">
        <w:t xml:space="preserve"> </w:t>
      </w:r>
      <w:r>
        <w:t>exercise utmost restraint, ensure the protection and safety of all civilians and create</w:t>
      </w:r>
      <w:r w:rsidR="00D93B87">
        <w:t xml:space="preserve"> </w:t>
      </w:r>
      <w:r>
        <w:t>a conducive environment for the delivery of humanitarian assistance and inclusive</w:t>
      </w:r>
      <w:r w:rsidR="00D93B87">
        <w:t xml:space="preserve"> </w:t>
      </w:r>
      <w:r>
        <w:t>national dialogue.</w:t>
      </w:r>
    </w:p>
    <w:p w14:paraId="1D414435" w14:textId="77777777" w:rsidR="0096672E" w:rsidRDefault="0096672E" w:rsidP="00D93B87">
      <w:pPr>
        <w:spacing w:before="0" w:after="0"/>
      </w:pPr>
    </w:p>
    <w:p w14:paraId="28739FCA" w14:textId="19A9B95A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welcomed the progress of the provision of ASEAN Humanitarian</w:t>
      </w:r>
      <w:r w:rsidR="00D93B87">
        <w:t xml:space="preserve"> </w:t>
      </w:r>
      <w:r>
        <w:t>Assistance under Phase 1 (Life-Saving/COVID-19 response) and Phase 2 (Life-Sustaining) by the AHA Centre in coordination with Myanmar to implement Point 4</w:t>
      </w:r>
      <w:r w:rsidR="00D93B87">
        <w:t xml:space="preserve"> </w:t>
      </w:r>
      <w:r>
        <w:t>of the ASEAN Leaders’ 5PC. The Meeting noted that as of 10 July 2024, the total</w:t>
      </w:r>
      <w:r w:rsidR="00D93B87">
        <w:t xml:space="preserve"> </w:t>
      </w:r>
      <w:r>
        <w:t>distributed value under the Phase 2 response is around USD 1.88 million through</w:t>
      </w:r>
      <w:r w:rsidR="00D93B87">
        <w:t xml:space="preserve"> </w:t>
      </w:r>
      <w:r>
        <w:t>the provision of food (rice and food packages composed of rice, pulses, oil, salt)</w:t>
      </w:r>
      <w:r w:rsidR="00D93B87">
        <w:t xml:space="preserve"> </w:t>
      </w:r>
      <w:r>
        <w:t>and non-food items (family kits and personal hygiene kits) reaching the affected</w:t>
      </w:r>
      <w:r w:rsidR="00D93B87">
        <w:t xml:space="preserve"> </w:t>
      </w:r>
      <w:r>
        <w:t xml:space="preserve">populations in </w:t>
      </w:r>
      <w:proofErr w:type="spellStart"/>
      <w:r>
        <w:t>Sagaing</w:t>
      </w:r>
      <w:proofErr w:type="spellEnd"/>
      <w:r>
        <w:t xml:space="preserve"> Region, Magway Region, southern Shan State and Mon</w:t>
      </w:r>
      <w:r w:rsidR="00D93B87">
        <w:t xml:space="preserve"> </w:t>
      </w:r>
      <w:r>
        <w:t>State. In this regard, the Meeting commended the AHA Centre for its continuous</w:t>
      </w:r>
      <w:r w:rsidR="00D93B87">
        <w:t xml:space="preserve"> </w:t>
      </w:r>
      <w:r>
        <w:t>efforts in delivering ASEAN Humanitarian Assistance to Myanmar, and welcomed</w:t>
      </w:r>
      <w:r w:rsidR="00D93B87">
        <w:t xml:space="preserve"> </w:t>
      </w:r>
      <w:r>
        <w:t>Thailand’s humanitarian initiative, which are in line with the 5PC and coordinated</w:t>
      </w:r>
      <w:r w:rsidR="00D93B87">
        <w:t xml:space="preserve"> </w:t>
      </w:r>
      <w:r>
        <w:t>with the ASEAN Chair through the Special Envoy of the ASEAN Chair on Myanmar.</w:t>
      </w:r>
      <w:r w:rsidR="00D93B87">
        <w:t xml:space="preserve"> </w:t>
      </w:r>
      <w:r>
        <w:t>The Meeting appreciated the contributions by ASEAN Member States, external</w:t>
      </w:r>
      <w:r w:rsidR="00D93B87">
        <w:t xml:space="preserve"> </w:t>
      </w:r>
      <w:r>
        <w:t>partners, and the private sector, and called for all relevant parties in Myanmar to</w:t>
      </w:r>
      <w:r w:rsidR="00D93B87">
        <w:t xml:space="preserve"> </w:t>
      </w:r>
      <w:r>
        <w:t>ensure the safe and transparent delivery of humanitarian assistance, to the people</w:t>
      </w:r>
      <w:r w:rsidR="00D93B87">
        <w:t xml:space="preserve"> </w:t>
      </w:r>
      <w:r>
        <w:t>in Myanmar without discrimination, towards the more effective implementation of</w:t>
      </w:r>
      <w:r w:rsidR="00D93B87">
        <w:t xml:space="preserve"> </w:t>
      </w:r>
      <w:r>
        <w:t>Point 4 of the 5PC. The Meeting called for scaled-up additional financial support</w:t>
      </w:r>
      <w:r w:rsidR="00D93B87">
        <w:t xml:space="preserve"> </w:t>
      </w:r>
      <w:r>
        <w:t>from the international community for humanitarian assistance, including to ensure</w:t>
      </w:r>
      <w:r w:rsidR="00D93B87">
        <w:t xml:space="preserve"> </w:t>
      </w:r>
      <w:r>
        <w:t>the safety and livelihood of internally displaced persons (IDPs).</w:t>
      </w:r>
    </w:p>
    <w:p w14:paraId="660848E1" w14:textId="77777777" w:rsidR="0096672E" w:rsidRDefault="0096672E" w:rsidP="00D93B87">
      <w:pPr>
        <w:spacing w:before="0" w:after="0"/>
      </w:pPr>
    </w:p>
    <w:p w14:paraId="1B80AB03" w14:textId="1C7F0A23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commended the Special Envoy of the ASEAN Chair on Myanmar for</w:t>
      </w:r>
      <w:r w:rsidR="00D93B87">
        <w:t xml:space="preserve"> </w:t>
      </w:r>
      <w:r>
        <w:t>efforts made to promote progress in the implementation of the 5PC in its entirety.</w:t>
      </w:r>
      <w:r w:rsidR="00D93B87">
        <w:t xml:space="preserve"> </w:t>
      </w:r>
      <w:r>
        <w:t>The Meeting welcomed his efforts to continue reaching out to parties concerned in</w:t>
      </w:r>
      <w:r w:rsidR="00D93B87">
        <w:t xml:space="preserve"> </w:t>
      </w:r>
      <w:r>
        <w:t>a sustainable manner, and to help the people of Myanmar to achieve an inclusive</w:t>
      </w:r>
      <w:r w:rsidR="00D93B87">
        <w:t xml:space="preserve"> </w:t>
      </w:r>
      <w:r>
        <w:t>and durable peaceful resolution that is Myanmar-owned and -led for peace,</w:t>
      </w:r>
      <w:r w:rsidR="00D93B87">
        <w:t xml:space="preserve"> </w:t>
      </w:r>
      <w:r>
        <w:t>security and stability in the region.</w:t>
      </w:r>
    </w:p>
    <w:p w14:paraId="75F10542" w14:textId="77777777" w:rsidR="0096672E" w:rsidRDefault="0096672E" w:rsidP="00D93B87">
      <w:pPr>
        <w:spacing w:before="0" w:after="0"/>
      </w:pPr>
    </w:p>
    <w:p w14:paraId="1550A5DE" w14:textId="27F85245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expressed concern over the recent developments in the Korean</w:t>
      </w:r>
      <w:r w:rsidR="00D93B87">
        <w:t xml:space="preserve"> </w:t>
      </w:r>
      <w:r>
        <w:t>Peninsula and stressed the importance of continued peaceful dialogue among all</w:t>
      </w:r>
      <w:r w:rsidR="00D93B87">
        <w:t xml:space="preserve"> </w:t>
      </w:r>
      <w:r>
        <w:t xml:space="preserve">concerned parties in order to </w:t>
      </w:r>
      <w:proofErr w:type="spellStart"/>
      <w:r>
        <w:t>realise</w:t>
      </w:r>
      <w:proofErr w:type="spellEnd"/>
      <w:r>
        <w:t xml:space="preserve"> lasting peace and stability in a </w:t>
      </w:r>
      <w:r w:rsidR="00D93B87">
        <w:t xml:space="preserve">denuclearized </w:t>
      </w:r>
      <w:r>
        <w:t>Korean Peninsula. Many Ministers expressed grave concern over the recent surge</w:t>
      </w:r>
      <w:r w:rsidR="00D93B87">
        <w:t xml:space="preserve"> </w:t>
      </w:r>
      <w:r>
        <w:t>in the Democratic People’s Republic of Korea’s (DPRK) intercontinental ballistic</w:t>
      </w:r>
      <w:r w:rsidR="00D93B87">
        <w:t xml:space="preserve"> </w:t>
      </w:r>
      <w:r>
        <w:t>missile testing and ballistic missile launches and the increased tension in the</w:t>
      </w:r>
      <w:r w:rsidR="00D93B87">
        <w:t xml:space="preserve"> </w:t>
      </w:r>
      <w:r>
        <w:t>Korean Peninsula, which are a worrisome development that threatens peace and</w:t>
      </w:r>
      <w:r w:rsidR="00D93B87">
        <w:t xml:space="preserve"> </w:t>
      </w:r>
      <w:r>
        <w:t>stability in the region. Many Ministers called on the DPRK to comply fully with all</w:t>
      </w:r>
      <w:r w:rsidR="00D93B87">
        <w:t xml:space="preserve"> </w:t>
      </w:r>
      <w:r>
        <w:t>relevant UNSC Resolutions and called for peaceful dialogue among the concerned</w:t>
      </w:r>
      <w:r w:rsidR="00D93B87">
        <w:t xml:space="preserve"> </w:t>
      </w:r>
      <w:r>
        <w:t xml:space="preserve">parties, and continue working towards the </w:t>
      </w:r>
      <w:proofErr w:type="spellStart"/>
      <w:r>
        <w:t>realisation</w:t>
      </w:r>
      <w:proofErr w:type="spellEnd"/>
      <w:r>
        <w:t xml:space="preserve"> of lasting peace, and stability</w:t>
      </w:r>
      <w:r w:rsidR="00D93B87">
        <w:t xml:space="preserve"> </w:t>
      </w:r>
      <w:r>
        <w:t xml:space="preserve">in a </w:t>
      </w:r>
      <w:proofErr w:type="spellStart"/>
      <w:r>
        <w:t>denuclearised</w:t>
      </w:r>
      <w:proofErr w:type="spellEnd"/>
      <w:r>
        <w:t xml:space="preserve"> Korean Peninsula. Many Ministers called for the full</w:t>
      </w:r>
      <w:r w:rsidR="00D93B87">
        <w:t xml:space="preserve"> </w:t>
      </w:r>
      <w:r>
        <w:t>implementation of all relevant UNSC Resolutions and noted international efforts to</w:t>
      </w:r>
      <w:r w:rsidR="00D93B87">
        <w:t xml:space="preserve"> </w:t>
      </w:r>
      <w:r>
        <w:t xml:space="preserve">bring about the complete, verifiable, and irreversible </w:t>
      </w:r>
      <w:proofErr w:type="spellStart"/>
      <w:r>
        <w:t>denuclearisation</w:t>
      </w:r>
      <w:proofErr w:type="spellEnd"/>
      <w:r>
        <w:t xml:space="preserve"> of the Korean</w:t>
      </w:r>
      <w:r w:rsidR="00D93B87">
        <w:t xml:space="preserve"> </w:t>
      </w:r>
      <w:r>
        <w:t>Peninsula in a peaceful manner. Diplomatic efforts, including the creation of a</w:t>
      </w:r>
      <w:r w:rsidR="00D93B87">
        <w:t xml:space="preserve"> </w:t>
      </w:r>
      <w:r>
        <w:t>conducive environment for peaceful dialogue among all concerned parties should</w:t>
      </w:r>
      <w:r w:rsidR="00D93B87">
        <w:t xml:space="preserve"> </w:t>
      </w:r>
      <w:r>
        <w:t>remain a priority. The Meeting reiterated our readiness to play a constructive role,</w:t>
      </w:r>
      <w:r w:rsidR="00D93B87">
        <w:t xml:space="preserve"> </w:t>
      </w:r>
      <w:r>
        <w:t xml:space="preserve">including through </w:t>
      </w:r>
      <w:proofErr w:type="spellStart"/>
      <w:r>
        <w:t>utilising</w:t>
      </w:r>
      <w:proofErr w:type="spellEnd"/>
      <w:r>
        <w:t xml:space="preserve"> ASEAN-led platforms such as the ARF in promoting a</w:t>
      </w:r>
      <w:r w:rsidR="00D93B87">
        <w:t xml:space="preserve"> </w:t>
      </w:r>
      <w:r>
        <w:t>conducive atmosphere for peaceful dialogue amongst the concerned parties.</w:t>
      </w:r>
      <w:r w:rsidR="00D93B87">
        <w:t xml:space="preserve"> </w:t>
      </w:r>
      <w:r>
        <w:t xml:space="preserve">Some Ministers also </w:t>
      </w:r>
      <w:proofErr w:type="spellStart"/>
      <w:r>
        <w:t>emphasised</w:t>
      </w:r>
      <w:proofErr w:type="spellEnd"/>
      <w:r>
        <w:t xml:space="preserve"> the importance of addressing issues of</w:t>
      </w:r>
      <w:r w:rsidR="00D93B87">
        <w:t xml:space="preserve"> </w:t>
      </w:r>
      <w:r>
        <w:t>humanitarian concerns of the international community, including the immediate</w:t>
      </w:r>
      <w:r w:rsidR="00D93B87">
        <w:t xml:space="preserve"> </w:t>
      </w:r>
      <w:r>
        <w:t>resolution of the abductions and detainees issues.</w:t>
      </w:r>
    </w:p>
    <w:p w14:paraId="3326E763" w14:textId="77777777" w:rsidR="0096672E" w:rsidRDefault="0096672E" w:rsidP="00D93B87">
      <w:pPr>
        <w:spacing w:before="0" w:after="0"/>
      </w:pPr>
    </w:p>
    <w:p w14:paraId="5D895CD8" w14:textId="5A05602B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lastRenderedPageBreak/>
        <w:t>With regard to Ukraine, as for all nations, the Meeting continued to reaffirm our</w:t>
      </w:r>
      <w:r w:rsidR="00D93B87">
        <w:t xml:space="preserve"> </w:t>
      </w:r>
      <w:r>
        <w:t>respect for sovereignty, political independence, and territorial integrity. The</w:t>
      </w:r>
      <w:r w:rsidR="00D93B87">
        <w:t xml:space="preserve"> </w:t>
      </w:r>
      <w:r>
        <w:t>Meeting reiterated our call for compliance with the UN Charter and international</w:t>
      </w:r>
      <w:r w:rsidR="00D93B87">
        <w:t xml:space="preserve"> </w:t>
      </w:r>
      <w:r>
        <w:t>law. The Meeting underlined the importance of reaching a just and lasting peace</w:t>
      </w:r>
      <w:r w:rsidR="00D93B87">
        <w:t xml:space="preserve"> </w:t>
      </w:r>
      <w:r>
        <w:t>based on the purposes and principles of the UN Charter in all their entirety and an</w:t>
      </w:r>
      <w:r w:rsidR="00D93B87">
        <w:t xml:space="preserve"> </w:t>
      </w:r>
      <w:r>
        <w:t>immediate cessation of hostilities and the creation of enabling environment for</w:t>
      </w:r>
      <w:r w:rsidR="00D93B87">
        <w:t xml:space="preserve"> </w:t>
      </w:r>
      <w:r>
        <w:t>peaceful resolution. The Meeting supported the efforts of the UN Secretary-General in the search for peaceful solution. The Meeting also called for the</w:t>
      </w:r>
      <w:r w:rsidR="00D93B87">
        <w:t xml:space="preserve"> </w:t>
      </w:r>
      <w:r>
        <w:t>facilitation of rapid, safe and unhindered access to humanitarian assistance for</w:t>
      </w:r>
      <w:r w:rsidR="00D93B87">
        <w:t xml:space="preserve"> </w:t>
      </w:r>
      <w:r>
        <w:t>those in need, and for the protection of civilians, humanitarian personnel, and</w:t>
      </w:r>
      <w:r w:rsidR="00D93B87">
        <w:t xml:space="preserve"> </w:t>
      </w:r>
      <w:r>
        <w:t>persons in vulnerable situations. Some Ministers also took note of views expressed</w:t>
      </w:r>
      <w:r w:rsidR="00D93B87">
        <w:t xml:space="preserve"> </w:t>
      </w:r>
      <w:r>
        <w:t>on the recent developments and the need to address the root causes.</w:t>
      </w:r>
    </w:p>
    <w:p w14:paraId="4C75950F" w14:textId="77777777" w:rsidR="0096672E" w:rsidRDefault="0096672E" w:rsidP="00D93B87">
      <w:pPr>
        <w:spacing w:before="0" w:after="0"/>
      </w:pPr>
    </w:p>
    <w:p w14:paraId="4C3FA4C2" w14:textId="5FB4A640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expressed grave concern over the dire humanitarian situation in</w:t>
      </w:r>
      <w:r w:rsidR="00D93B87">
        <w:t xml:space="preserve"> </w:t>
      </w:r>
      <w:r>
        <w:t>Gaza, which has been exacerbated following the 7 October attacks. The Meeting</w:t>
      </w:r>
      <w:r w:rsidR="00D93B87">
        <w:t xml:space="preserve"> </w:t>
      </w:r>
      <w:r>
        <w:t>condemned all attacks against civilians and civilian infrastructure, which have</w:t>
      </w:r>
      <w:r w:rsidR="00D93B87">
        <w:t xml:space="preserve"> </w:t>
      </w:r>
      <w:r>
        <w:t>resulted in the alarming number of casualties, particularly women and children, and</w:t>
      </w:r>
      <w:r w:rsidR="00D93B87">
        <w:t xml:space="preserve"> </w:t>
      </w:r>
      <w:r>
        <w:t>deterioration of the humanitarian crisis, and called for more to be done to facilitate</w:t>
      </w:r>
      <w:r w:rsidR="00D93B87">
        <w:t xml:space="preserve"> </w:t>
      </w:r>
      <w:r>
        <w:t>access to food, water, and other basic needs in Gaza. The Meeting urged all</w:t>
      </w:r>
      <w:r w:rsidR="00D93B87">
        <w:t xml:space="preserve"> </w:t>
      </w:r>
      <w:r>
        <w:t>relevant parties to accept the ceasefire proposal as outlined in paragraph 2 of UN</w:t>
      </w:r>
      <w:r w:rsidR="00D93B87">
        <w:t xml:space="preserve"> </w:t>
      </w:r>
      <w:r>
        <w:t>Security Council Resolution 2735. The Meeting called for the immediate and</w:t>
      </w:r>
      <w:r w:rsidR="00D93B87">
        <w:t xml:space="preserve"> </w:t>
      </w:r>
      <w:r>
        <w:t>unconditional release of all hostages, including 23 ASEAN nationals, women,</w:t>
      </w:r>
      <w:r w:rsidR="00D93B87">
        <w:t xml:space="preserve"> </w:t>
      </w:r>
      <w:r>
        <w:t>children, the sick and the elderly. The Meeting underscored the importance of</w:t>
      </w:r>
      <w:r w:rsidR="00D93B87">
        <w:t xml:space="preserve"> </w:t>
      </w:r>
      <w:r>
        <w:t>release from any arbitrary detention. The Meeting commended the efforts of</w:t>
      </w:r>
      <w:r w:rsidR="00D93B87">
        <w:t xml:space="preserve"> </w:t>
      </w:r>
      <w:r>
        <w:t>various ASEAN Member States and various East Asia Summit Participating</w:t>
      </w:r>
      <w:r w:rsidR="00D93B87">
        <w:t xml:space="preserve"> </w:t>
      </w:r>
      <w:r>
        <w:t>Countries in providing humanitarian assistance to Gaza, and urged all ASEAN</w:t>
      </w:r>
      <w:r w:rsidR="00D93B87">
        <w:t xml:space="preserve"> </w:t>
      </w:r>
      <w:r>
        <w:t>Member States and external partners to continue providing and facilitating such</w:t>
      </w:r>
      <w:r w:rsidR="00D93B87">
        <w:t xml:space="preserve"> </w:t>
      </w:r>
      <w:r>
        <w:t>assistance for Gaza. The Meeting supported the UN Relief and Works Agency for</w:t>
      </w:r>
      <w:r w:rsidR="00D93B87">
        <w:t xml:space="preserve"> </w:t>
      </w:r>
      <w:r>
        <w:t>Palestine Refugees in the Near East (UNRWA) in the execution of its mandate and</w:t>
      </w:r>
      <w:r w:rsidR="00D93B87">
        <w:t xml:space="preserve"> </w:t>
      </w:r>
      <w:r>
        <w:t>the UN Senior Humanitarian and Reconstruction Coordinator for Gaza to discharge</w:t>
      </w:r>
      <w:r w:rsidR="00D93B87">
        <w:t xml:space="preserve"> </w:t>
      </w:r>
      <w:r>
        <w:t>her task effectively and efficiently, and to begin the work on post-conflict</w:t>
      </w:r>
      <w:r w:rsidR="00D93B87">
        <w:t xml:space="preserve"> </w:t>
      </w:r>
      <w:r>
        <w:t>reconstruction as well as the work of other international aid organizations. The</w:t>
      </w:r>
      <w:r w:rsidR="00D93B87">
        <w:t xml:space="preserve"> </w:t>
      </w:r>
      <w:r>
        <w:t>Meeting called for rapid, safe, unimpeded and sustained humanitarian access to</w:t>
      </w:r>
      <w:r w:rsidR="00D93B87">
        <w:t xml:space="preserve"> </w:t>
      </w:r>
      <w:r>
        <w:t>all those in need, including through increased capacity at border crossings,</w:t>
      </w:r>
      <w:r w:rsidR="00D93B87">
        <w:t xml:space="preserve"> </w:t>
      </w:r>
      <w:r>
        <w:t>including by sea. The Meeting called on all parties to the conflict to protect civilians</w:t>
      </w:r>
      <w:r w:rsidR="00D93B87">
        <w:t xml:space="preserve"> </w:t>
      </w:r>
      <w:r>
        <w:t>and to abide by international humanitarian law and international human rights law.</w:t>
      </w:r>
      <w:r w:rsidR="00D93B87">
        <w:t xml:space="preserve"> </w:t>
      </w:r>
      <w:r>
        <w:t>The Meeting urged all parties concerned to work towards a peaceful resolution to</w:t>
      </w:r>
      <w:r w:rsidR="00D93B87">
        <w:t xml:space="preserve"> </w:t>
      </w:r>
      <w:r>
        <w:t xml:space="preserve">the conflict with a view to </w:t>
      </w:r>
      <w:proofErr w:type="spellStart"/>
      <w:r>
        <w:t>realising</w:t>
      </w:r>
      <w:proofErr w:type="spellEnd"/>
      <w:r>
        <w:t xml:space="preserve"> the two-State solution in accordance with</w:t>
      </w:r>
      <w:r w:rsidR="00D93B87">
        <w:t xml:space="preserve"> </w:t>
      </w:r>
      <w:r>
        <w:t>international law and the relevant UNSC and UNGA resolutions. The Meeting took</w:t>
      </w:r>
      <w:r w:rsidR="00D93B87">
        <w:t xml:space="preserve"> </w:t>
      </w:r>
      <w:r>
        <w:t>note, and some Ministers underlined the importance of the order on provisional</w:t>
      </w:r>
      <w:r w:rsidR="00D93B87">
        <w:t xml:space="preserve"> </w:t>
      </w:r>
      <w:r>
        <w:t>measures issued by the International Court of Justice (ICJ) on 26 January 2024.</w:t>
      </w:r>
      <w:r w:rsidR="00D93B87">
        <w:t xml:space="preserve"> </w:t>
      </w:r>
      <w:r>
        <w:t>The Meeting acknowledged the Advisory Opinion of the ICJ on 19 July 2024. In</w:t>
      </w:r>
      <w:r w:rsidR="00D93B87">
        <w:t xml:space="preserve"> </w:t>
      </w:r>
      <w:r>
        <w:t>this context, the Meeting reaffirmed the importance of upholding international law.</w:t>
      </w:r>
      <w:r w:rsidR="00D93B87">
        <w:t xml:space="preserve"> </w:t>
      </w:r>
      <w:r>
        <w:t>The Meeting expressed great concern over the escalation of tension in the Middle</w:t>
      </w:r>
      <w:r w:rsidR="00D93B87">
        <w:t xml:space="preserve"> </w:t>
      </w:r>
      <w:r>
        <w:t>East and called on all parties concerned to exercise self-restraint, avoid acts that</w:t>
      </w:r>
      <w:r w:rsidR="00D93B87">
        <w:t xml:space="preserve"> </w:t>
      </w:r>
      <w:r>
        <w:t>may aggravate the situation, and resolve differences through diplomacy and</w:t>
      </w:r>
      <w:r w:rsidR="00D93B87">
        <w:t xml:space="preserve"> </w:t>
      </w:r>
      <w:r>
        <w:t>dialogue in the interest of maintaining peace and stability in the region.</w:t>
      </w:r>
    </w:p>
    <w:p w14:paraId="40A07D05" w14:textId="77777777" w:rsidR="00E83934" w:rsidRDefault="00E83934" w:rsidP="00D93B87">
      <w:pPr>
        <w:pStyle w:val="Heading2"/>
      </w:pPr>
      <w:bookmarkStart w:id="2" w:name="_Toc189400874"/>
      <w:r>
        <w:t>Review of Activities of the Current Inter-sessional Year (2023-2024)</w:t>
      </w:r>
      <w:bookmarkEnd w:id="2"/>
    </w:p>
    <w:p w14:paraId="6FE9E648" w14:textId="5DAC4D33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expressed satisfaction with the success of the following ARF</w:t>
      </w:r>
      <w:r w:rsidR="00D93B87">
        <w:t xml:space="preserve"> </w:t>
      </w:r>
      <w:r>
        <w:t>meetings and activities held in the Inter-Sessional Year 2023-2024:</w:t>
      </w:r>
    </w:p>
    <w:p w14:paraId="7DB6FF1F" w14:textId="77777777" w:rsidR="00D93B87" w:rsidRDefault="00D93B87" w:rsidP="00E83934">
      <w:pPr>
        <w:spacing w:before="0" w:after="0"/>
      </w:pPr>
    </w:p>
    <w:p w14:paraId="1DF8A398" w14:textId="0A79581A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 xml:space="preserve">25th ARF Heads of </w:t>
      </w:r>
      <w:proofErr w:type="spellStart"/>
      <w:r>
        <w:t>Defence</w:t>
      </w:r>
      <w:proofErr w:type="spellEnd"/>
      <w:r>
        <w:t xml:space="preserve"> Universities/Colleges/Institutions Meeting</w:t>
      </w:r>
      <w:r w:rsidR="00D93B87">
        <w:t xml:space="preserve"> </w:t>
      </w:r>
      <w:r>
        <w:t>(HDUCIM) held in Kuala Lumpur, Malaysia, on 1-3 August 2023;</w:t>
      </w:r>
    </w:p>
    <w:p w14:paraId="57C86453" w14:textId="0D161F2A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5th ARF Workshop on Implementing UNCLOS and other International</w:t>
      </w:r>
      <w:r w:rsidR="00D93B87">
        <w:t xml:space="preserve"> </w:t>
      </w:r>
      <w:r>
        <w:t>Instruments to Address Emerging Maritime Issues held in Ha Noi, Viet Nam,</w:t>
      </w:r>
      <w:r w:rsidR="00D93B87">
        <w:t xml:space="preserve"> </w:t>
      </w:r>
      <w:r>
        <w:t>on 9 November 2023;</w:t>
      </w:r>
    </w:p>
    <w:p w14:paraId="49362F96" w14:textId="5B298F8C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12th ARF Open-Ended Study Group on Confidence Building Measures to</w:t>
      </w:r>
      <w:r w:rsidR="00D93B87">
        <w:t xml:space="preserve"> </w:t>
      </w:r>
      <w:r>
        <w:t>Reduce the Risk of Conflict Stemming from the Use of ICTs (OESG) held</w:t>
      </w:r>
      <w:r w:rsidR="00D93B87">
        <w:t xml:space="preserve"> </w:t>
      </w:r>
      <w:r>
        <w:t>via videoconference on 26 February 2024;</w:t>
      </w:r>
    </w:p>
    <w:p w14:paraId="42D0179C" w14:textId="505A29DC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lastRenderedPageBreak/>
        <w:t>ARF Workshop on Strengthening CBRN Counterterrorism Legal</w:t>
      </w:r>
      <w:r w:rsidR="00D93B87">
        <w:t xml:space="preserve"> </w:t>
      </w:r>
      <w:r>
        <w:t>Frameworks held in Ulaanbaatar, Mongolia, on 16-18 April 2024;</w:t>
      </w:r>
    </w:p>
    <w:p w14:paraId="196D5B4E" w14:textId="53FA9AD8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22nd ARF Inter-Sessional Meeting on Disaster Relief (ISM on DR) held via</w:t>
      </w:r>
      <w:r w:rsidR="00D93B87">
        <w:t xml:space="preserve"> </w:t>
      </w:r>
      <w:r>
        <w:t>videoconference on 22 April 2024;</w:t>
      </w:r>
    </w:p>
    <w:p w14:paraId="13547CA1" w14:textId="2AF48882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13th ARF OESG held in Moscow, Russia, on 23 April 2024;</w:t>
      </w:r>
    </w:p>
    <w:p w14:paraId="4203043A" w14:textId="6466D16B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6th ARF Inter-Sessional Meeting on Security of and in the Use of Information</w:t>
      </w:r>
      <w:r w:rsidR="00D93B87">
        <w:t xml:space="preserve"> </w:t>
      </w:r>
      <w:r>
        <w:t>and Communication Technologies (ISM on ICTs Security) held in Moscow,</w:t>
      </w:r>
      <w:r w:rsidR="00D93B87">
        <w:t xml:space="preserve"> </w:t>
      </w:r>
      <w:r>
        <w:t>Russia, on 24 April 2024;</w:t>
      </w:r>
    </w:p>
    <w:p w14:paraId="117C0B18" w14:textId="3FA53BEE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International Ship and Port Facility Security Code Training Series and</w:t>
      </w:r>
      <w:r w:rsidR="00D93B87">
        <w:t xml:space="preserve"> </w:t>
      </w:r>
      <w:r>
        <w:t>Manual: Part Three held in Port Moresby, Papua New Guinea, on 23-25</w:t>
      </w:r>
      <w:r w:rsidR="00D93B87">
        <w:t xml:space="preserve"> </w:t>
      </w:r>
      <w:r>
        <w:t>April 2024;</w:t>
      </w:r>
    </w:p>
    <w:p w14:paraId="5D643F00" w14:textId="0D5BEED9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16th ARF Experts and Eminent Persons’ (EEPs) Meeting held in Seoul,</w:t>
      </w:r>
      <w:r w:rsidR="00D93B87">
        <w:t xml:space="preserve"> </w:t>
      </w:r>
      <w:r>
        <w:t>Republic of Korea (ROK), on 25-26 April 2024;</w:t>
      </w:r>
    </w:p>
    <w:p w14:paraId="19BD2CD3" w14:textId="57C35977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15th ARF Inter-Sessional Meeting on Non-Proliferation and Disarmament</w:t>
      </w:r>
      <w:r w:rsidR="00D93B87">
        <w:t xml:space="preserve"> </w:t>
      </w:r>
      <w:r>
        <w:t>(ISM on NPD) held in Honolulu, Hawaii, United States, on 29 April-1 May</w:t>
      </w:r>
      <w:r w:rsidR="00D93B87">
        <w:t xml:space="preserve"> </w:t>
      </w:r>
      <w:r>
        <w:t>2024;</w:t>
      </w:r>
    </w:p>
    <w:p w14:paraId="0FF5E4AB" w14:textId="30F7A44B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20th ARF Inter-Sessional Meeting on Counter-Terrorism and Transnational</w:t>
      </w:r>
      <w:r w:rsidR="00D93B87">
        <w:t xml:space="preserve"> </w:t>
      </w:r>
      <w:r>
        <w:t>Crime (ISM on CTTC) held in Honolulu Hawaii, United States, on 2-3 May</w:t>
      </w:r>
      <w:r w:rsidR="00D93B87">
        <w:t xml:space="preserve"> </w:t>
      </w:r>
      <w:r>
        <w:t>2024;</w:t>
      </w:r>
    </w:p>
    <w:p w14:paraId="550552EB" w14:textId="6813B8DC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15th ARF Inter-Sessional Meeting on Maritime Security (ISM on MS) held in</w:t>
      </w:r>
      <w:r w:rsidR="00D93B87">
        <w:t xml:space="preserve"> </w:t>
      </w:r>
      <w:r>
        <w:t>Jakarta, Indonesia, on 6 May 2024;</w:t>
      </w:r>
    </w:p>
    <w:p w14:paraId="7BD98C00" w14:textId="74900D63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 xml:space="preserve">ARF </w:t>
      </w:r>
      <w:proofErr w:type="spellStart"/>
      <w:r>
        <w:t>Defence</w:t>
      </w:r>
      <w:proofErr w:type="spellEnd"/>
      <w:r>
        <w:t xml:space="preserve"> Officials’ Dialogue (DOD) held in Vientiane, Lao PDR, on 8</w:t>
      </w:r>
      <w:r w:rsidR="00D93B87">
        <w:t xml:space="preserve"> </w:t>
      </w:r>
      <w:r>
        <w:t>May 2024;</w:t>
      </w:r>
    </w:p>
    <w:p w14:paraId="4B13EBD7" w14:textId="58DC2476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Inter-sessional Support Group Meeting on Confidence Building</w:t>
      </w:r>
      <w:r w:rsidR="00D93B87">
        <w:t xml:space="preserve"> </w:t>
      </w:r>
      <w:r>
        <w:t>Measures and Preventive Diplomacy (ISG on CBMs and PD) held in</w:t>
      </w:r>
      <w:r w:rsidR="00D93B87">
        <w:t xml:space="preserve"> </w:t>
      </w:r>
      <w:r>
        <w:t>Vientiane, Lao PDR, on 9 May</w:t>
      </w:r>
      <w:r w:rsidR="00D93B87">
        <w:t xml:space="preserve"> </w:t>
      </w:r>
      <w:r>
        <w:t>2024;</w:t>
      </w:r>
    </w:p>
    <w:p w14:paraId="24FF9F32" w14:textId="57F88432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Workshop on Countering the Use of ICTs for Criminal Purposes held</w:t>
      </w:r>
      <w:r w:rsidR="00D93B87">
        <w:t xml:space="preserve"> </w:t>
      </w:r>
      <w:r>
        <w:t>in Moscow, Russia, on 23-24 May 2024;</w:t>
      </w:r>
    </w:p>
    <w:p w14:paraId="5853782E" w14:textId="2C79822E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Workshop on the Protection of ICT-Enabled Critical Infrastructure held</w:t>
      </w:r>
      <w:r w:rsidR="00D93B87">
        <w:t xml:space="preserve"> </w:t>
      </w:r>
      <w:r>
        <w:t>in Singapore, on 6-7 June 2024;</w:t>
      </w:r>
    </w:p>
    <w:p w14:paraId="5F897D91" w14:textId="19458839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Senior Officials’ Meeting (SOM) held in Vientiane, Lao PDR, on 8 June</w:t>
      </w:r>
      <w:r w:rsidR="00D93B87">
        <w:t xml:space="preserve"> </w:t>
      </w:r>
      <w:r>
        <w:t>2024;</w:t>
      </w:r>
    </w:p>
    <w:p w14:paraId="62DB607B" w14:textId="4998B2F4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8th ARF Peacekeeping Experts’ Meeting held in Jakarta, Indonesia, on 25-26 June 2024;</w:t>
      </w:r>
    </w:p>
    <w:p w14:paraId="51EA04B5" w14:textId="344699AD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Workshop on Detection, Response and Deterrence of CBR Incidents</w:t>
      </w:r>
      <w:r w:rsidR="00D93B87">
        <w:t xml:space="preserve"> </w:t>
      </w:r>
      <w:r>
        <w:t>held in Singapore, on 26-27 June 2024; and</w:t>
      </w:r>
    </w:p>
    <w:p w14:paraId="7B9A9781" w14:textId="279E1868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 xml:space="preserve">21st ARF Security Policy Conference (ASPC) held in </w:t>
      </w:r>
      <w:proofErr w:type="spellStart"/>
      <w:r>
        <w:t>Luang</w:t>
      </w:r>
      <w:proofErr w:type="spellEnd"/>
      <w:r>
        <w:t xml:space="preserve"> Prabang, Lao</w:t>
      </w:r>
      <w:r w:rsidR="00D93B87">
        <w:t xml:space="preserve"> </w:t>
      </w:r>
      <w:r>
        <w:t>PDR, 1-3 July 2024.</w:t>
      </w:r>
    </w:p>
    <w:p w14:paraId="19B50903" w14:textId="328281D0" w:rsidR="00E83934" w:rsidRDefault="00E83934" w:rsidP="00D93B87">
      <w:pPr>
        <w:pStyle w:val="ListParagraph"/>
        <w:numPr>
          <w:ilvl w:val="0"/>
          <w:numId w:val="16"/>
        </w:numPr>
        <w:spacing w:before="0" w:after="0"/>
      </w:pPr>
      <w:r>
        <w:t>ARF Workshop on Law of the Sea held via virtual conference, on 18 July</w:t>
      </w:r>
      <w:r w:rsidR="00D93B87">
        <w:t xml:space="preserve"> </w:t>
      </w:r>
      <w:r>
        <w:t>2024.</w:t>
      </w:r>
    </w:p>
    <w:p w14:paraId="571B7C2E" w14:textId="77777777" w:rsidR="0096672E" w:rsidRDefault="0096672E" w:rsidP="00E83934">
      <w:pPr>
        <w:spacing w:before="0" w:after="0"/>
      </w:pPr>
    </w:p>
    <w:p w14:paraId="443506D6" w14:textId="2821BC92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commended the work of the ARF SOM chaired by Lao PDR on 8</w:t>
      </w:r>
      <w:r w:rsidR="00D93B87">
        <w:t xml:space="preserve"> </w:t>
      </w:r>
      <w:r>
        <w:t>June 2024 and the ARF ISG on CBMs and PD co-chaired by Lao PDR and New</w:t>
      </w:r>
      <w:r w:rsidR="00D93B87">
        <w:t xml:space="preserve"> </w:t>
      </w:r>
      <w:r>
        <w:t>Zealand on 9 May 2024. The Meeting noted the discussions at the ARF SOM and</w:t>
      </w:r>
      <w:r w:rsidR="00D93B87">
        <w:t xml:space="preserve"> </w:t>
      </w:r>
      <w:r>
        <w:t>ARF ISG on CBMs and PD.</w:t>
      </w:r>
    </w:p>
    <w:p w14:paraId="1403E4FE" w14:textId="77777777" w:rsidR="0096672E" w:rsidRDefault="0096672E" w:rsidP="00D93B87">
      <w:pPr>
        <w:spacing w:before="0" w:after="0"/>
      </w:pPr>
    </w:p>
    <w:p w14:paraId="314FA922" w14:textId="418D86E6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endorsed the ARF SOM’s recommendations on the adoption of the</w:t>
      </w:r>
      <w:r w:rsidR="00D93B87">
        <w:t xml:space="preserve"> </w:t>
      </w:r>
      <w:r>
        <w:t>ARF Work Plan on Counter-Terrorism and Transnational Crime 2024-2026, and</w:t>
      </w:r>
      <w:r w:rsidR="00D93B87">
        <w:t xml:space="preserve"> </w:t>
      </w:r>
      <w:r>
        <w:t xml:space="preserve">the ARF Work Plan on Disaster Relief 2024-2027, which appear as </w:t>
      </w:r>
      <w:r w:rsidRPr="00CE7AD0">
        <w:rPr>
          <w:b/>
          <w:bCs/>
        </w:rPr>
        <w:t>ANNEXES 2</w:t>
      </w:r>
      <w:r>
        <w:t>,</w:t>
      </w:r>
      <w:r w:rsidR="00D93B87">
        <w:t xml:space="preserve"> </w:t>
      </w:r>
      <w:r>
        <w:t xml:space="preserve">and </w:t>
      </w:r>
      <w:r w:rsidRPr="00CE7AD0">
        <w:rPr>
          <w:b/>
          <w:bCs/>
        </w:rPr>
        <w:t>3</w:t>
      </w:r>
      <w:r>
        <w:t xml:space="preserve"> respectively.</w:t>
      </w:r>
    </w:p>
    <w:p w14:paraId="36A3E14C" w14:textId="77777777" w:rsidR="0096672E" w:rsidRDefault="0096672E" w:rsidP="00D93B87">
      <w:pPr>
        <w:spacing w:before="0" w:after="0"/>
      </w:pPr>
    </w:p>
    <w:p w14:paraId="096F14B4" w14:textId="568D5F90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 xml:space="preserve">The Meeting welcomed the contributions made by </w:t>
      </w:r>
      <w:proofErr w:type="spellStart"/>
      <w:r>
        <w:t>defence</w:t>
      </w:r>
      <w:proofErr w:type="spellEnd"/>
      <w:r>
        <w:t xml:space="preserve"> officials in the ARF</w:t>
      </w:r>
      <w:r w:rsidR="00D93B87">
        <w:t xml:space="preserve"> </w:t>
      </w:r>
      <w:r>
        <w:t>process, including through exchange of views and sharing of information at the</w:t>
      </w:r>
      <w:r w:rsidR="00D93B87">
        <w:t xml:space="preserve"> </w:t>
      </w:r>
      <w:r>
        <w:t>ARF DOD, co-chaired by Lao PDR and New Zealand in Vientiane on 8 May 2024</w:t>
      </w:r>
      <w:r w:rsidR="00D93B87">
        <w:t xml:space="preserve"> </w:t>
      </w:r>
      <w:r>
        <w:t xml:space="preserve">and the 21st ASPC chaired by Lao PDR in </w:t>
      </w:r>
      <w:proofErr w:type="spellStart"/>
      <w:r>
        <w:t>Luang</w:t>
      </w:r>
      <w:proofErr w:type="spellEnd"/>
      <w:r>
        <w:t xml:space="preserve"> Prabang on 1-3 July 2024.</w:t>
      </w:r>
    </w:p>
    <w:p w14:paraId="4AFD0AE7" w14:textId="77777777" w:rsidR="0096672E" w:rsidRDefault="0096672E" w:rsidP="00D93B87">
      <w:pPr>
        <w:spacing w:before="0" w:after="0"/>
      </w:pPr>
    </w:p>
    <w:p w14:paraId="22E7FB85" w14:textId="7C807401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Acknowledging the contributions of the ARF EEPs to the ARF’s work, the Meeting</w:t>
      </w:r>
      <w:r w:rsidR="00D93B87">
        <w:t xml:space="preserve"> </w:t>
      </w:r>
      <w:r>
        <w:t>encouraged the ARF EEPs to continue providing recommendations as deemed</w:t>
      </w:r>
      <w:r w:rsidR="00D93B87">
        <w:t xml:space="preserve"> </w:t>
      </w:r>
      <w:r>
        <w:t>appropriate by their respective governments, including recommendations for the</w:t>
      </w:r>
      <w:r w:rsidR="00D93B87">
        <w:t xml:space="preserve"> </w:t>
      </w:r>
      <w:r>
        <w:t>future direction of the ARF. In this regard, the Meeting noted the recommendations</w:t>
      </w:r>
      <w:r w:rsidR="00D93B87">
        <w:t xml:space="preserve"> </w:t>
      </w:r>
      <w:r>
        <w:t xml:space="preserve">of the 16th ARF EEPs Meeting, which appears as </w:t>
      </w:r>
      <w:r w:rsidRPr="00CE7AD0">
        <w:rPr>
          <w:b/>
          <w:bCs/>
        </w:rPr>
        <w:t>ANNEX 4</w:t>
      </w:r>
      <w:r>
        <w:t>.</w:t>
      </w:r>
    </w:p>
    <w:p w14:paraId="2E99B3B8" w14:textId="77777777" w:rsidR="0096672E" w:rsidRDefault="0096672E" w:rsidP="00D93B87">
      <w:pPr>
        <w:spacing w:before="0" w:after="0"/>
      </w:pPr>
    </w:p>
    <w:p w14:paraId="2D23A6BC" w14:textId="77777777" w:rsidR="00DB6C88" w:rsidRDefault="00DB6C88" w:rsidP="00D93B87">
      <w:pPr>
        <w:spacing w:before="0" w:after="0"/>
      </w:pPr>
    </w:p>
    <w:p w14:paraId="0E0CB8A3" w14:textId="2FCEFA83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lastRenderedPageBreak/>
        <w:t>Noting that many Summary Reports of ARF meetings and activities have yet to be</w:t>
      </w:r>
      <w:r w:rsidR="00D93B87">
        <w:t xml:space="preserve"> </w:t>
      </w:r>
      <w:r>
        <w:t>finalised, the Meeting requested the Co-Chairs of these meetings and activities to</w:t>
      </w:r>
      <w:r w:rsidR="00D93B87">
        <w:t xml:space="preserve"> </w:t>
      </w:r>
      <w:r>
        <w:t>submit the respective final Summary Reports to the ARF Unit as the institutional</w:t>
      </w:r>
      <w:r w:rsidR="00D93B87">
        <w:t xml:space="preserve"> </w:t>
      </w:r>
      <w:r>
        <w:t>memory and repository of all ARF documents by 4 October 2024.</w:t>
      </w:r>
    </w:p>
    <w:p w14:paraId="12B074E9" w14:textId="77777777" w:rsidR="0096672E" w:rsidRDefault="0096672E" w:rsidP="00D93B87">
      <w:pPr>
        <w:spacing w:before="0" w:after="0"/>
      </w:pPr>
    </w:p>
    <w:p w14:paraId="309F944C" w14:textId="3E374013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adopted the ARF Statement on Enhancing Regional Cooperation on</w:t>
      </w:r>
      <w:r w:rsidR="00D93B87">
        <w:t xml:space="preserve"> </w:t>
      </w:r>
      <w:r>
        <w:t xml:space="preserve">Ferry Safety, which appears as </w:t>
      </w:r>
      <w:r w:rsidRPr="00CE7AD0">
        <w:rPr>
          <w:b/>
          <w:bCs/>
        </w:rPr>
        <w:t>ANNEX 5</w:t>
      </w:r>
      <w:r>
        <w:t>.</w:t>
      </w:r>
    </w:p>
    <w:p w14:paraId="75090172" w14:textId="77777777" w:rsidR="00E83934" w:rsidRDefault="00E83934" w:rsidP="00D93B87">
      <w:pPr>
        <w:pStyle w:val="Heading2"/>
      </w:pPr>
      <w:bookmarkStart w:id="3" w:name="_Toc189400875"/>
      <w:r>
        <w:t>Programme of Work for the Next Inter-sessional Year (2024-2025)</w:t>
      </w:r>
      <w:bookmarkEnd w:id="3"/>
    </w:p>
    <w:p w14:paraId="33C5972B" w14:textId="72F6D2C3" w:rsidR="00E83934" w:rsidRDefault="00E83934" w:rsidP="0038642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welcomed the following Chair and Co-Chairs for the period of 2024-2025:</w:t>
      </w:r>
    </w:p>
    <w:p w14:paraId="7D1538FD" w14:textId="77777777" w:rsidR="0096672E" w:rsidRDefault="0096672E" w:rsidP="00E83934">
      <w:pPr>
        <w:spacing w:before="0" w:after="0"/>
      </w:pPr>
    </w:p>
    <w:p w14:paraId="3E451AEC" w14:textId="56EF6FC5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Malaysia as Chair of the 32nd ARF, ARF SOM and 22nd ASPC;</w:t>
      </w:r>
    </w:p>
    <w:p w14:paraId="71332A5C" w14:textId="6BD60789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Malaysia and the European Union as Co-Chairs of the ARF DOD and ARF</w:t>
      </w:r>
      <w:r w:rsidR="0096672E">
        <w:t xml:space="preserve"> </w:t>
      </w:r>
      <w:r>
        <w:t>ISG on CBMs and PD;</w:t>
      </w:r>
    </w:p>
    <w:p w14:paraId="66438027" w14:textId="2FB9F563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Viet Nam, Bangladesh, and Sri Lanka as Co-Chairs of the 23rd ARF ISM on</w:t>
      </w:r>
      <w:r w:rsidR="0096672E">
        <w:t xml:space="preserve"> </w:t>
      </w:r>
      <w:r>
        <w:t>DR;</w:t>
      </w:r>
    </w:p>
    <w:p w14:paraId="5A38CC13" w14:textId="3B766530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The Philippines, Bangladesh, and the United States as Co-Chairs of the</w:t>
      </w:r>
      <w:r w:rsidR="0096672E">
        <w:t xml:space="preserve"> </w:t>
      </w:r>
      <w:r>
        <w:t>21st ARF ISM on CTTC;</w:t>
      </w:r>
    </w:p>
    <w:p w14:paraId="4026620C" w14:textId="251B48C1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The Philippines, Australia and New Zealand as the Co-Chairs of the 16</w:t>
      </w:r>
      <w:r w:rsidRPr="0096672E">
        <w:rPr>
          <w:vertAlign w:val="superscript"/>
        </w:rPr>
        <w:t>th</w:t>
      </w:r>
      <w:r w:rsidR="0096672E">
        <w:t xml:space="preserve"> </w:t>
      </w:r>
      <w:r>
        <w:t>ARF ISM on NPD;</w:t>
      </w:r>
    </w:p>
    <w:p w14:paraId="1B8C2E25" w14:textId="22C2E410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Cambodia and China as the Co-Chairs of the 16th ARF ISM on MS;</w:t>
      </w:r>
    </w:p>
    <w:p w14:paraId="171BEC45" w14:textId="6BD421B3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The Philippines and Canada as the Co-Chairs of the 7th ARF ISM on ICTs</w:t>
      </w:r>
      <w:r w:rsidR="0096672E">
        <w:t xml:space="preserve"> </w:t>
      </w:r>
      <w:r>
        <w:t>Security, as well as the 14th and 15th ARF OESGs;</w:t>
      </w:r>
    </w:p>
    <w:p w14:paraId="2543D3BB" w14:textId="441DB58E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Malaysia and the ROK as Co-Chairs of the 17th ARF EEPs; and</w:t>
      </w:r>
    </w:p>
    <w:p w14:paraId="361E7D68" w14:textId="27272F8B" w:rsidR="00E83934" w:rsidRDefault="00E83934" w:rsidP="0096672E">
      <w:pPr>
        <w:pStyle w:val="ListParagraph"/>
        <w:numPr>
          <w:ilvl w:val="0"/>
          <w:numId w:val="13"/>
        </w:numPr>
        <w:spacing w:before="0" w:after="0"/>
      </w:pPr>
      <w:r>
        <w:t>Cambodia and Sri Lanka as the Co-Chairs of the 26th HDUCIM.</w:t>
      </w:r>
    </w:p>
    <w:p w14:paraId="7D97D0F9" w14:textId="77777777" w:rsidR="0096672E" w:rsidRDefault="0096672E" w:rsidP="00E83934">
      <w:pPr>
        <w:spacing w:before="0" w:after="0"/>
      </w:pPr>
    </w:p>
    <w:p w14:paraId="694056F3" w14:textId="741A0004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reaffirmed that the 2020 Guide to ARF Processes, Procedures,</w:t>
      </w:r>
      <w:r w:rsidR="0096672E">
        <w:t xml:space="preserve"> </w:t>
      </w:r>
      <w:r>
        <w:t>Practices and Protocol is the basic guideline for the conduct of all ARF activities</w:t>
      </w:r>
      <w:r w:rsidR="0096672E">
        <w:t xml:space="preserve"> </w:t>
      </w:r>
      <w:r>
        <w:t>and initiatives, including work plans, concept papers and statements. In this</w:t>
      </w:r>
      <w:r w:rsidR="0096672E">
        <w:t xml:space="preserve"> </w:t>
      </w:r>
      <w:r>
        <w:t>respect, the Meeting reiterated the procedure that all proposals must be first</w:t>
      </w:r>
      <w:r w:rsidR="0096672E">
        <w:t xml:space="preserve"> </w:t>
      </w:r>
      <w:r>
        <w:t>discussed at the ISM/ISG level and receive endorsement of the ARF SOM.</w:t>
      </w:r>
    </w:p>
    <w:p w14:paraId="67D3E61A" w14:textId="77777777" w:rsidR="0096672E" w:rsidRDefault="0096672E" w:rsidP="00D93B87">
      <w:pPr>
        <w:spacing w:before="0" w:after="0"/>
      </w:pPr>
    </w:p>
    <w:p w14:paraId="14C772B1" w14:textId="38898024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approved the List of ARF Track 1 Activities for Inter-Sessional Year</w:t>
      </w:r>
      <w:r w:rsidR="0096672E">
        <w:t xml:space="preserve"> </w:t>
      </w:r>
      <w:r>
        <w:t xml:space="preserve">2024-2025, which appears as </w:t>
      </w:r>
      <w:r w:rsidRPr="00CE7AD0">
        <w:rPr>
          <w:b/>
          <w:bCs/>
        </w:rPr>
        <w:t>ANNEX 6</w:t>
      </w:r>
      <w:r>
        <w:t>. It was noted that the majority of ARF</w:t>
      </w:r>
      <w:r w:rsidR="0096672E">
        <w:t xml:space="preserve"> </w:t>
      </w:r>
      <w:r>
        <w:t>meetings and activities were convened back-to-back in the first half of the year,</w:t>
      </w:r>
      <w:r w:rsidR="0096672E">
        <w:t xml:space="preserve"> </w:t>
      </w:r>
      <w:r>
        <w:t>which affects the attendance level of some ARF Participants and limits the time for</w:t>
      </w:r>
      <w:r w:rsidR="0096672E">
        <w:t xml:space="preserve"> </w:t>
      </w:r>
      <w:r>
        <w:t>ARF Participants to consider the outcomes of these meetings. In this connection,</w:t>
      </w:r>
      <w:r w:rsidR="0096672E">
        <w:t xml:space="preserve"> </w:t>
      </w:r>
      <w:r>
        <w:t>the Meeting tasked the Co-Chairs of all ARF meetings and activities to manage the</w:t>
      </w:r>
      <w:r w:rsidR="0096672E">
        <w:t xml:space="preserve"> </w:t>
      </w:r>
      <w:r>
        <w:t>schedule of their respective meetings and ensure that the meetings are not held</w:t>
      </w:r>
      <w:r w:rsidR="0096672E">
        <w:t xml:space="preserve"> </w:t>
      </w:r>
      <w:r>
        <w:t>back-to-back. The Meeting further requested the Co-Chairs of all ARF meetings to</w:t>
      </w:r>
      <w:r w:rsidR="0096672E">
        <w:t xml:space="preserve"> </w:t>
      </w:r>
      <w:r>
        <w:t>schedule their meetings in advance of the ARF ISG on CBMs and PD and the ARF</w:t>
      </w:r>
      <w:r w:rsidR="0096672E">
        <w:t xml:space="preserve"> </w:t>
      </w:r>
      <w:r>
        <w:t>SOM, to allow ample time for the consideration of its outcomes. The Meeting also</w:t>
      </w:r>
      <w:r w:rsidR="0096672E">
        <w:t xml:space="preserve"> </w:t>
      </w:r>
      <w:r>
        <w:t xml:space="preserve">requested Co-Chairs of ARF activities to </w:t>
      </w:r>
      <w:proofErr w:type="spellStart"/>
      <w:r>
        <w:t>utilise</w:t>
      </w:r>
      <w:proofErr w:type="spellEnd"/>
      <w:r>
        <w:t xml:space="preserve"> the second half of the year to</w:t>
      </w:r>
      <w:r w:rsidR="0096672E">
        <w:t xml:space="preserve"> </w:t>
      </w:r>
      <w:r>
        <w:t>convene workshops.</w:t>
      </w:r>
    </w:p>
    <w:p w14:paraId="5232860B" w14:textId="77777777" w:rsidR="0096672E" w:rsidRDefault="0096672E" w:rsidP="00D93B87">
      <w:pPr>
        <w:spacing w:before="0" w:after="0"/>
      </w:pPr>
    </w:p>
    <w:p w14:paraId="4D7117F0" w14:textId="4BC040F4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welcomed the concept paper on the Compendium of Best Practices</w:t>
      </w:r>
      <w:r w:rsidR="0096672E">
        <w:t xml:space="preserve"> </w:t>
      </w:r>
      <w:r>
        <w:t>on the Implementation of the International Ship and Port Facility Security (ISPS)</w:t>
      </w:r>
      <w:r w:rsidR="0096672E">
        <w:t xml:space="preserve"> </w:t>
      </w:r>
      <w:r>
        <w:t xml:space="preserve">Code, which appears as </w:t>
      </w:r>
      <w:r w:rsidRPr="00CE7AD0">
        <w:rPr>
          <w:b/>
          <w:bCs/>
        </w:rPr>
        <w:t>ANNEX 7</w:t>
      </w:r>
      <w:r>
        <w:t>. The Meeting noted that the Compendium is</w:t>
      </w:r>
      <w:r w:rsidR="0096672E">
        <w:t xml:space="preserve"> </w:t>
      </w:r>
      <w:r>
        <w:t xml:space="preserve">intended to be published in the </w:t>
      </w:r>
      <w:r w:rsidR="00DB6C88">
        <w:br/>
      </w:r>
      <w:r>
        <w:t>Inter-Sessional Year 2024-2025.</w:t>
      </w:r>
    </w:p>
    <w:p w14:paraId="6914C331" w14:textId="77777777" w:rsidR="0096672E" w:rsidRDefault="0096672E" w:rsidP="00D93B87">
      <w:pPr>
        <w:spacing w:before="0" w:after="0"/>
      </w:pPr>
    </w:p>
    <w:p w14:paraId="0CBD4471" w14:textId="53FCBFB3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Underlining the importance of the ARF as a platform to build confidence and share</w:t>
      </w:r>
      <w:r w:rsidR="0096672E">
        <w:t xml:space="preserve"> </w:t>
      </w:r>
      <w:r>
        <w:t>information among its Participants, the Meeting reiterated the need to ensure</w:t>
      </w:r>
      <w:r w:rsidR="0096672E">
        <w:t xml:space="preserve"> </w:t>
      </w:r>
      <w:r>
        <w:t>active, inclusive constructive, equal, full and effective participation for all ARF</w:t>
      </w:r>
      <w:r w:rsidR="0096672E">
        <w:t xml:space="preserve"> </w:t>
      </w:r>
      <w:r>
        <w:t>Participants in all ARF activities.</w:t>
      </w:r>
    </w:p>
    <w:p w14:paraId="79426A30" w14:textId="77777777" w:rsidR="00DB6C88" w:rsidRDefault="00DB6C88" w:rsidP="00DB6C88">
      <w:pPr>
        <w:pStyle w:val="ListParagraph"/>
        <w:spacing w:before="0" w:after="0"/>
        <w:ind w:left="360"/>
      </w:pPr>
    </w:p>
    <w:p w14:paraId="44D2049F" w14:textId="77777777" w:rsidR="00DB6C88" w:rsidRDefault="00DB6C88" w:rsidP="00DB6C88">
      <w:pPr>
        <w:pStyle w:val="ListParagraph"/>
        <w:spacing w:before="0" w:after="0"/>
        <w:ind w:left="360"/>
      </w:pPr>
    </w:p>
    <w:p w14:paraId="7278B85A" w14:textId="77777777" w:rsidR="00DB6C88" w:rsidRDefault="00DB6C88" w:rsidP="00DB6C88">
      <w:pPr>
        <w:pStyle w:val="ListParagraph"/>
        <w:spacing w:before="0" w:after="0"/>
        <w:ind w:left="360"/>
      </w:pPr>
    </w:p>
    <w:p w14:paraId="53F75733" w14:textId="77777777" w:rsidR="00E83934" w:rsidRDefault="00E83934" w:rsidP="00D93B87">
      <w:pPr>
        <w:pStyle w:val="Heading2"/>
      </w:pPr>
      <w:bookmarkStart w:id="4" w:name="_Toc189400876"/>
      <w:r>
        <w:lastRenderedPageBreak/>
        <w:t>Future Direction of the ARF Process</w:t>
      </w:r>
      <w:bookmarkEnd w:id="4"/>
    </w:p>
    <w:p w14:paraId="19A91154" w14:textId="5DEA4105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reiterated the importance of the ARF HPOA II as a guiding document</w:t>
      </w:r>
      <w:r w:rsidR="0096672E">
        <w:t xml:space="preserve"> </w:t>
      </w:r>
      <w:r>
        <w:t>for the ARF in developing and implementing concrete and practical cooperation.</w:t>
      </w:r>
      <w:r w:rsidR="0096672E">
        <w:t xml:space="preserve"> </w:t>
      </w:r>
      <w:r>
        <w:t>The Meeting underlined the necessity for all ARF Participants to exert greater</w:t>
      </w:r>
      <w:r w:rsidR="0096672E">
        <w:t xml:space="preserve"> </w:t>
      </w:r>
      <w:r>
        <w:t>efforts to ensure its full and effective implementation by 2025. Towards this end,</w:t>
      </w:r>
      <w:r w:rsidR="0096672E">
        <w:t xml:space="preserve"> </w:t>
      </w:r>
      <w:r>
        <w:t>the Meeting noted that the ARF Participants are requested to provide their input to</w:t>
      </w:r>
      <w:r w:rsidR="0096672E">
        <w:t xml:space="preserve"> </w:t>
      </w:r>
      <w:r>
        <w:t>the Matrix of Implementation of the ARF HPOA II developed by the ARF Unit, for</w:t>
      </w:r>
      <w:r w:rsidR="0096672E">
        <w:t xml:space="preserve"> </w:t>
      </w:r>
      <w:r>
        <w:t>further consolidation and assessment. The Meeting further noted that the results</w:t>
      </w:r>
      <w:r w:rsidR="0096672E">
        <w:t xml:space="preserve"> </w:t>
      </w:r>
      <w:r>
        <w:t>of the assessment would be reported to the ARF ISG on CBMs and PD and ARF</w:t>
      </w:r>
      <w:r w:rsidR="0096672E">
        <w:t xml:space="preserve"> </w:t>
      </w:r>
      <w:r>
        <w:t xml:space="preserve">SOM in 2025 and would be </w:t>
      </w:r>
      <w:proofErr w:type="spellStart"/>
      <w:r>
        <w:t>utilised</w:t>
      </w:r>
      <w:proofErr w:type="spellEnd"/>
      <w:r>
        <w:t xml:space="preserve"> as a basis to develop a succeeding ARF Plan</w:t>
      </w:r>
      <w:r w:rsidR="0096672E">
        <w:t xml:space="preserve"> </w:t>
      </w:r>
      <w:r>
        <w:t>of Action.</w:t>
      </w:r>
    </w:p>
    <w:p w14:paraId="77059D98" w14:textId="77777777" w:rsidR="0096672E" w:rsidRDefault="0096672E" w:rsidP="00D93B87">
      <w:pPr>
        <w:spacing w:before="0" w:after="0"/>
      </w:pPr>
    </w:p>
    <w:p w14:paraId="10F2FE68" w14:textId="071FF31E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 xml:space="preserve">In view of strengthening efforts to </w:t>
      </w:r>
      <w:proofErr w:type="spellStart"/>
      <w:r>
        <w:t>revitalise</w:t>
      </w:r>
      <w:proofErr w:type="spellEnd"/>
      <w:r>
        <w:t xml:space="preserve"> the ARF and further to the discussion</w:t>
      </w:r>
      <w:r w:rsidR="0096672E">
        <w:t xml:space="preserve"> </w:t>
      </w:r>
      <w:r>
        <w:t>at the 30th ARF’s discussion in 2023 on the future direction of the ARF, the Meeting</w:t>
      </w:r>
      <w:r w:rsidR="0096672E">
        <w:t xml:space="preserve"> </w:t>
      </w:r>
      <w:r>
        <w:t>was informed that ASEAN, as the primary driving force of the ARF, is currently</w:t>
      </w:r>
      <w:r w:rsidR="0096672E">
        <w:t xml:space="preserve"> </w:t>
      </w:r>
      <w:r>
        <w:t>conducting a comprehensive review of the ARF process, including assessing the</w:t>
      </w:r>
      <w:r w:rsidR="0096672E">
        <w:t xml:space="preserve"> </w:t>
      </w:r>
      <w:r>
        <w:t xml:space="preserve">roles, </w:t>
      </w:r>
      <w:proofErr w:type="spellStart"/>
      <w:r>
        <w:t>acheivements</w:t>
      </w:r>
      <w:proofErr w:type="spellEnd"/>
      <w:r>
        <w:t xml:space="preserve"> and challenges of the ARF. The Meeting noted that the result</w:t>
      </w:r>
      <w:r w:rsidR="0096672E">
        <w:t xml:space="preserve"> </w:t>
      </w:r>
      <w:r>
        <w:t>of ASEAN’s deliberations on this matter would be shared with all non-ASEAN ARF</w:t>
      </w:r>
      <w:r w:rsidR="0096672E">
        <w:t xml:space="preserve"> </w:t>
      </w:r>
      <w:r>
        <w:t>Participants in due course.</w:t>
      </w:r>
    </w:p>
    <w:p w14:paraId="00CC9E6F" w14:textId="77777777" w:rsidR="0096672E" w:rsidRDefault="0096672E" w:rsidP="00D93B87">
      <w:pPr>
        <w:spacing w:before="0" w:after="0"/>
      </w:pPr>
    </w:p>
    <w:p w14:paraId="1728BD25" w14:textId="115A298F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expressed appreciation for the contribution and support of the ARF</w:t>
      </w:r>
      <w:r w:rsidR="0096672E">
        <w:t xml:space="preserve"> </w:t>
      </w:r>
      <w:r>
        <w:t>Unit of the ASEAN Secretariat in assisting the ARF Chair, the Co-Chairs of ARF</w:t>
      </w:r>
      <w:r w:rsidR="0096672E">
        <w:t xml:space="preserve"> </w:t>
      </w:r>
      <w:r>
        <w:t>ISMs and other endorsed ARF activities. Taking into account the increasing work</w:t>
      </w:r>
      <w:r w:rsidR="0096672E">
        <w:t xml:space="preserve"> </w:t>
      </w:r>
      <w:r>
        <w:t>of the ARF, the Meeting reiterated support towards strengthening the ARF Unit</w:t>
      </w:r>
      <w:r w:rsidR="0096672E">
        <w:t xml:space="preserve"> </w:t>
      </w:r>
      <w:r>
        <w:t>with necessary resources and capabilities.</w:t>
      </w:r>
    </w:p>
    <w:p w14:paraId="64B68283" w14:textId="77777777" w:rsidR="0096672E" w:rsidRDefault="0096672E" w:rsidP="00D93B87">
      <w:pPr>
        <w:spacing w:before="0" w:after="0"/>
      </w:pPr>
    </w:p>
    <w:p w14:paraId="5D2188AC" w14:textId="7CCCD14A" w:rsidR="00E8393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welcomed the publication of the 2024 ARF Annual Security Outlook,</w:t>
      </w:r>
      <w:r w:rsidR="0096672E">
        <w:t xml:space="preserve"> </w:t>
      </w:r>
      <w:r>
        <w:t>which included voluntary contributions from the ARF Participants presented by the</w:t>
      </w:r>
      <w:r w:rsidR="0096672E">
        <w:t xml:space="preserve"> </w:t>
      </w:r>
      <w:r>
        <w:t>Lao PDR. Underlining the importance of the document in fostering confidence</w:t>
      </w:r>
      <w:r w:rsidR="0096672E">
        <w:t xml:space="preserve"> </w:t>
      </w:r>
      <w:r>
        <w:t>building and transparency as well as facilitating exchange of views and mutual</w:t>
      </w:r>
      <w:r w:rsidR="0096672E">
        <w:t xml:space="preserve"> </w:t>
      </w:r>
      <w:r>
        <w:t>understanding among the ARF Participants, the Meeting encouraged all the ARF</w:t>
      </w:r>
      <w:r w:rsidR="0096672E">
        <w:t xml:space="preserve"> </w:t>
      </w:r>
      <w:r>
        <w:t>Participants to contribute actively to future editions.</w:t>
      </w:r>
    </w:p>
    <w:p w14:paraId="1A40AE4E" w14:textId="77777777" w:rsidR="0096672E" w:rsidRDefault="0096672E" w:rsidP="00D93B87">
      <w:pPr>
        <w:spacing w:before="0" w:after="0"/>
      </w:pPr>
    </w:p>
    <w:p w14:paraId="5FA84AB8" w14:textId="7ED8A97F" w:rsidR="00DF288A" w:rsidRPr="00E423E4" w:rsidRDefault="00E83934" w:rsidP="00D93B87">
      <w:pPr>
        <w:pStyle w:val="ListParagraph"/>
        <w:numPr>
          <w:ilvl w:val="0"/>
          <w:numId w:val="19"/>
        </w:numPr>
        <w:spacing w:before="0" w:after="0"/>
        <w:ind w:left="360"/>
      </w:pPr>
      <w:r>
        <w:t>The Meeting reaffirmed the commitment to maintain the ARF as an effective and</w:t>
      </w:r>
      <w:r w:rsidR="0096672E">
        <w:t xml:space="preserve"> </w:t>
      </w:r>
      <w:r>
        <w:t>relevant forum for constructive political security dialogue, consultation and</w:t>
      </w:r>
      <w:r w:rsidR="0096672E">
        <w:t xml:space="preserve"> </w:t>
      </w:r>
      <w:r>
        <w:t>cooperation in the region on political and security issues of common interest and</w:t>
      </w:r>
      <w:r w:rsidR="0096672E">
        <w:t xml:space="preserve"> </w:t>
      </w:r>
      <w:r>
        <w:t>concern, and reiterated their support for ASEAN unity and Centrality in this</w:t>
      </w:r>
      <w:r w:rsidR="0096672E">
        <w:t xml:space="preserve"> </w:t>
      </w:r>
      <w:r>
        <w:t>process. The Meeting further reaffirmed the commitment to exert greater efforts in</w:t>
      </w:r>
      <w:r w:rsidR="0096672E">
        <w:t xml:space="preserve"> </w:t>
      </w:r>
      <w:r>
        <w:t>advancing the ARF process forward, whilst underlining the need to continue</w:t>
      </w:r>
      <w:r w:rsidR="0096672E">
        <w:t xml:space="preserve"> </w:t>
      </w:r>
      <w:r>
        <w:t>moving at a pace comfortable to all and on the basis of consensus, with ASEAN</w:t>
      </w:r>
      <w:r w:rsidR="0096672E">
        <w:t xml:space="preserve"> </w:t>
      </w:r>
      <w:r>
        <w:t>as the primary driving force</w:t>
      </w:r>
      <w:r>
        <w:t>.</w:t>
      </w:r>
    </w:p>
    <w:sectPr w:rsidR="00DF288A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37217" w14:textId="77777777" w:rsidR="003A6171" w:rsidRDefault="003A6171" w:rsidP="00F61B4F">
      <w:pPr>
        <w:spacing w:before="0" w:after="0" w:line="240" w:lineRule="auto"/>
      </w:pPr>
      <w:r>
        <w:separator/>
      </w:r>
    </w:p>
  </w:endnote>
  <w:endnote w:type="continuationSeparator" w:id="0">
    <w:p w14:paraId="222FF78E" w14:textId="77777777" w:rsidR="003A6171" w:rsidRDefault="003A6171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9F83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4F6576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F9D67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B164824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16B97" w14:textId="77777777" w:rsidR="003A6171" w:rsidRDefault="003A6171" w:rsidP="00F61B4F">
      <w:pPr>
        <w:spacing w:before="0" w:after="0" w:line="240" w:lineRule="auto"/>
      </w:pPr>
      <w:r>
        <w:separator/>
      </w:r>
    </w:p>
  </w:footnote>
  <w:footnote w:type="continuationSeparator" w:id="0">
    <w:p w14:paraId="111CB854" w14:textId="77777777" w:rsidR="003A6171" w:rsidRDefault="003A6171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B205" w14:textId="31F263B3" w:rsidR="00B532E2" w:rsidRPr="00CD6026" w:rsidRDefault="0096672E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>2024 Chairman’s Statement of the 31st ARF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B7E37"/>
    <w:multiLevelType w:val="hybridMultilevel"/>
    <w:tmpl w:val="CFBCF3A2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D1747"/>
    <w:multiLevelType w:val="hybridMultilevel"/>
    <w:tmpl w:val="4B14AC5A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B5C57"/>
    <w:multiLevelType w:val="hybridMultilevel"/>
    <w:tmpl w:val="660AEFC6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3668"/>
    <w:multiLevelType w:val="hybridMultilevel"/>
    <w:tmpl w:val="F7C870EA"/>
    <w:lvl w:ilvl="0" w:tplc="9CFE4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66957"/>
    <w:multiLevelType w:val="hybridMultilevel"/>
    <w:tmpl w:val="BA7A9184"/>
    <w:lvl w:ilvl="0" w:tplc="2A00B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04442"/>
    <w:multiLevelType w:val="hybridMultilevel"/>
    <w:tmpl w:val="CDA61054"/>
    <w:lvl w:ilvl="0" w:tplc="9CFE4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863BC"/>
    <w:multiLevelType w:val="hybridMultilevel"/>
    <w:tmpl w:val="26840A36"/>
    <w:lvl w:ilvl="0" w:tplc="9CFE4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F5439"/>
    <w:multiLevelType w:val="hybridMultilevel"/>
    <w:tmpl w:val="AAFE4A74"/>
    <w:lvl w:ilvl="0" w:tplc="9CFE4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21322"/>
    <w:multiLevelType w:val="hybridMultilevel"/>
    <w:tmpl w:val="C5340794"/>
    <w:lvl w:ilvl="0" w:tplc="9CFE4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933AE"/>
    <w:multiLevelType w:val="hybridMultilevel"/>
    <w:tmpl w:val="6CD6C9C6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30D1"/>
    <w:multiLevelType w:val="hybridMultilevel"/>
    <w:tmpl w:val="0CB864D2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03402"/>
    <w:multiLevelType w:val="hybridMultilevel"/>
    <w:tmpl w:val="B79C7058"/>
    <w:lvl w:ilvl="0" w:tplc="75EE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8778">
    <w:abstractNumId w:val="19"/>
  </w:num>
  <w:num w:numId="2" w16cid:durableId="1731490663">
    <w:abstractNumId w:val="18"/>
  </w:num>
  <w:num w:numId="3" w16cid:durableId="851915717">
    <w:abstractNumId w:val="9"/>
  </w:num>
  <w:num w:numId="4" w16cid:durableId="327368849">
    <w:abstractNumId w:val="7"/>
  </w:num>
  <w:num w:numId="5" w16cid:durableId="945700416">
    <w:abstractNumId w:val="6"/>
  </w:num>
  <w:num w:numId="6" w16cid:durableId="880631784">
    <w:abstractNumId w:val="5"/>
  </w:num>
  <w:num w:numId="7" w16cid:durableId="1339892927">
    <w:abstractNumId w:val="4"/>
  </w:num>
  <w:num w:numId="8" w16cid:durableId="2002730657">
    <w:abstractNumId w:val="8"/>
  </w:num>
  <w:num w:numId="9" w16cid:durableId="1224221764">
    <w:abstractNumId w:val="3"/>
  </w:num>
  <w:num w:numId="10" w16cid:durableId="1343825727">
    <w:abstractNumId w:val="2"/>
  </w:num>
  <w:num w:numId="11" w16cid:durableId="1293289779">
    <w:abstractNumId w:val="1"/>
  </w:num>
  <w:num w:numId="12" w16cid:durableId="1929728733">
    <w:abstractNumId w:val="0"/>
  </w:num>
  <w:num w:numId="13" w16cid:durableId="972292997">
    <w:abstractNumId w:val="15"/>
  </w:num>
  <w:num w:numId="14" w16cid:durableId="1039282396">
    <w:abstractNumId w:val="16"/>
  </w:num>
  <w:num w:numId="15" w16cid:durableId="2136098273">
    <w:abstractNumId w:val="14"/>
  </w:num>
  <w:num w:numId="16" w16cid:durableId="838426217">
    <w:abstractNumId w:val="13"/>
  </w:num>
  <w:num w:numId="17" w16cid:durableId="752704316">
    <w:abstractNumId w:val="20"/>
  </w:num>
  <w:num w:numId="18" w16cid:durableId="1430541886">
    <w:abstractNumId w:val="17"/>
  </w:num>
  <w:num w:numId="19" w16cid:durableId="1675644954">
    <w:abstractNumId w:val="21"/>
  </w:num>
  <w:num w:numId="20" w16cid:durableId="674770269">
    <w:abstractNumId w:val="11"/>
  </w:num>
  <w:num w:numId="21" w16cid:durableId="1982691895">
    <w:abstractNumId w:val="23"/>
  </w:num>
  <w:num w:numId="22" w16cid:durableId="8257701">
    <w:abstractNumId w:val="22"/>
  </w:num>
  <w:num w:numId="23" w16cid:durableId="2094661722">
    <w:abstractNumId w:val="12"/>
  </w:num>
  <w:num w:numId="24" w16cid:durableId="11076939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4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1F94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D4358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427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171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206E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63D22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2AA5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72E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0594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E7AD0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93B87"/>
    <w:rsid w:val="00DA4CF4"/>
    <w:rsid w:val="00DB3B2A"/>
    <w:rsid w:val="00DB6C88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393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ADBA9"/>
  <w15:docId w15:val="{2C7EBF12-A741-054B-B9B2-7F1A527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3B87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D93B87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120" w:after="0"/>
      <w:ind w:left="200"/>
      <w:jc w:val="left"/>
      <w:outlineLvl w:val="9"/>
    </w:pPr>
    <w:rPr>
      <w:rFonts w:asciiTheme="minorHAnsi" w:hAnsiTheme="minorHAnsi" w:cstheme="minorHAnsi"/>
      <w:caps w:val="0"/>
      <w:sz w:val="22"/>
      <w:szCs w:val="22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0" w:after="0"/>
      <w:ind w:left="400"/>
      <w:jc w:val="left"/>
      <w:outlineLvl w:val="9"/>
    </w:pPr>
    <w:rPr>
      <w:rFonts w:asciiTheme="minorHAnsi" w:hAnsiTheme="minorHAnsi" w:cstheme="minorHAnsi"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/>
      <w:ind w:left="1600"/>
      <w:jc w:val="left"/>
    </w:pPr>
    <w:rPr>
      <w:rFonts w:asciiTheme="minorHAnsi" w:hAnsiTheme="minorHAnsi" w:cstheme="minorHAnsi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14</TotalTime>
  <Pages>9</Pages>
  <Words>4472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29910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2019-01-29T09:08:00Z</cp:lastPrinted>
  <dcterms:created xsi:type="dcterms:W3CDTF">2025-02-02T06:50:00Z</dcterms:created>
  <dcterms:modified xsi:type="dcterms:W3CDTF">2025-02-02T07:04:00Z</dcterms:modified>
</cp:coreProperties>
</file>