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68C0" w14:textId="11523AD7" w:rsidR="003B172D" w:rsidRDefault="003B172D" w:rsidP="003B172D">
      <w:pPr>
        <w:pStyle w:val="CILTitle"/>
      </w:pPr>
      <w:r>
        <w:t xml:space="preserve">2024 </w:t>
      </w:r>
      <w:r>
        <w:rPr>
          <w:color w:val="343436"/>
          <w:w w:val="105"/>
          <w:sz w:val="27"/>
        </w:rPr>
        <w:t xml:space="preserve">ASEAN SECTORAL MUTUAL RECOGNITION </w:t>
      </w:r>
      <w:r>
        <w:rPr>
          <w:color w:val="343436"/>
          <w:spacing w:val="-2"/>
          <w:w w:val="105"/>
          <w:sz w:val="27"/>
        </w:rPr>
        <w:t>ARRANGEMENT</w:t>
      </w:r>
      <w:r>
        <w:rPr>
          <w:color w:val="343436"/>
          <w:spacing w:val="-7"/>
          <w:w w:val="105"/>
          <w:sz w:val="27"/>
        </w:rPr>
        <w:t xml:space="preserve"> </w:t>
      </w:r>
      <w:r>
        <w:rPr>
          <w:color w:val="464646"/>
          <w:spacing w:val="-2"/>
          <w:w w:val="105"/>
          <w:sz w:val="27"/>
        </w:rPr>
        <w:t>FOR</w:t>
      </w:r>
      <w:r>
        <w:rPr>
          <w:color w:val="464646"/>
          <w:spacing w:val="-18"/>
          <w:w w:val="105"/>
          <w:sz w:val="27"/>
        </w:rPr>
        <w:t xml:space="preserve"> </w:t>
      </w:r>
      <w:r>
        <w:rPr>
          <w:color w:val="343436"/>
          <w:spacing w:val="-2"/>
          <w:w w:val="105"/>
          <w:sz w:val="27"/>
        </w:rPr>
        <w:t>BUILDING</w:t>
      </w:r>
      <w:r>
        <w:rPr>
          <w:color w:val="343436"/>
          <w:spacing w:val="-3"/>
          <w:w w:val="105"/>
          <w:sz w:val="27"/>
        </w:rPr>
        <w:t xml:space="preserve"> </w:t>
      </w:r>
      <w:r>
        <w:rPr>
          <w:color w:val="343436"/>
          <w:spacing w:val="-2"/>
          <w:w w:val="105"/>
          <w:sz w:val="27"/>
        </w:rPr>
        <w:t>AND</w:t>
      </w:r>
      <w:r>
        <w:rPr>
          <w:color w:val="343436"/>
          <w:spacing w:val="-18"/>
          <w:w w:val="105"/>
          <w:sz w:val="27"/>
        </w:rPr>
        <w:t xml:space="preserve"> </w:t>
      </w:r>
      <w:r>
        <w:rPr>
          <w:color w:val="343436"/>
          <w:spacing w:val="-2"/>
          <w:w w:val="105"/>
          <w:sz w:val="27"/>
        </w:rPr>
        <w:t>CONSTRUCTION MATERIALS</w:t>
      </w:r>
    </w:p>
    <w:p w14:paraId="45A8BB8C" w14:textId="43530655" w:rsidR="00CD6026" w:rsidRDefault="00CD6026" w:rsidP="00CD6026">
      <w:pPr>
        <w:pStyle w:val="CILSubtitle"/>
      </w:pPr>
      <w:r>
        <w:t>Signed in</w:t>
      </w:r>
      <w:r w:rsidR="00784830">
        <w:t xml:space="preserve"> </w:t>
      </w:r>
      <w:r w:rsidR="00784830" w:rsidRPr="00784830">
        <w:rPr>
          <w:lang w:val="en-US"/>
        </w:rPr>
        <w:t>Phnom Penh, Cambodia</w:t>
      </w:r>
      <w:r w:rsidR="00784830">
        <w:t xml:space="preserve"> </w:t>
      </w:r>
      <w:r>
        <w:t>on</w:t>
      </w:r>
      <w:r w:rsidR="00784830">
        <w:t xml:space="preserve"> 9 March 2024</w:t>
      </w:r>
    </w:p>
    <w:sdt>
      <w:sdtPr>
        <w:rPr>
          <w:rFonts w:ascii="Arial" w:eastAsia="Calibri" w:hAnsi="Arial"/>
          <w:color w:val="auto"/>
          <w:sz w:val="20"/>
          <w:szCs w:val="20"/>
        </w:rPr>
        <w:id w:val="95305793"/>
        <w:docPartObj>
          <w:docPartGallery w:val="Table of Contents"/>
          <w:docPartUnique/>
        </w:docPartObj>
      </w:sdtPr>
      <w:sdtEndPr>
        <w:rPr>
          <w:b/>
          <w:bCs/>
          <w:noProof/>
        </w:rPr>
      </w:sdtEndPr>
      <w:sdtContent>
        <w:p w14:paraId="41A1FC29" w14:textId="77777777" w:rsidR="00DF288A" w:rsidRDefault="00DF288A">
          <w:pPr>
            <w:pStyle w:val="TOCHeading"/>
          </w:pPr>
        </w:p>
        <w:p w14:paraId="407ED3E7" w14:textId="4AB7BAE1" w:rsidR="002F0C0F" w:rsidRDefault="00DF288A">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2494196" w:history="1">
            <w:r w:rsidR="002F0C0F" w:rsidRPr="00F0776C">
              <w:rPr>
                <w:rStyle w:val="Hyperlink"/>
                <w:noProof/>
              </w:rPr>
              <w:t>ARTICLE 1  DEFINITIONS</w:t>
            </w:r>
            <w:r w:rsidR="002F0C0F">
              <w:rPr>
                <w:noProof/>
                <w:webHidden/>
              </w:rPr>
              <w:tab/>
            </w:r>
            <w:r w:rsidR="002F0C0F">
              <w:rPr>
                <w:noProof/>
                <w:webHidden/>
              </w:rPr>
              <w:fldChar w:fldCharType="begin"/>
            </w:r>
            <w:r w:rsidR="002F0C0F">
              <w:rPr>
                <w:noProof/>
                <w:webHidden/>
              </w:rPr>
              <w:instrText xml:space="preserve"> PAGEREF _Toc222494196 \h </w:instrText>
            </w:r>
            <w:r w:rsidR="002F0C0F">
              <w:rPr>
                <w:noProof/>
                <w:webHidden/>
              </w:rPr>
            </w:r>
            <w:r w:rsidR="002F0C0F">
              <w:rPr>
                <w:noProof/>
                <w:webHidden/>
              </w:rPr>
              <w:fldChar w:fldCharType="separate"/>
            </w:r>
            <w:r w:rsidR="002F0C0F">
              <w:rPr>
                <w:noProof/>
                <w:webHidden/>
              </w:rPr>
              <w:t>3</w:t>
            </w:r>
            <w:r w:rsidR="002F0C0F">
              <w:rPr>
                <w:noProof/>
                <w:webHidden/>
              </w:rPr>
              <w:fldChar w:fldCharType="end"/>
            </w:r>
          </w:hyperlink>
        </w:p>
        <w:p w14:paraId="5C941158" w14:textId="78775E53"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197" w:history="1">
            <w:r w:rsidRPr="00F0776C">
              <w:rPr>
                <w:rStyle w:val="Hyperlink"/>
                <w:noProof/>
              </w:rPr>
              <w:t>ARTICLE 2  OBJECTIVES</w:t>
            </w:r>
            <w:r>
              <w:rPr>
                <w:noProof/>
                <w:webHidden/>
              </w:rPr>
              <w:tab/>
            </w:r>
            <w:r>
              <w:rPr>
                <w:noProof/>
                <w:webHidden/>
              </w:rPr>
              <w:fldChar w:fldCharType="begin"/>
            </w:r>
            <w:r>
              <w:rPr>
                <w:noProof/>
                <w:webHidden/>
              </w:rPr>
              <w:instrText xml:space="preserve"> PAGEREF _Toc222494197 \h </w:instrText>
            </w:r>
            <w:r>
              <w:rPr>
                <w:noProof/>
                <w:webHidden/>
              </w:rPr>
            </w:r>
            <w:r>
              <w:rPr>
                <w:noProof/>
                <w:webHidden/>
              </w:rPr>
              <w:fldChar w:fldCharType="separate"/>
            </w:r>
            <w:r>
              <w:rPr>
                <w:noProof/>
                <w:webHidden/>
              </w:rPr>
              <w:t>4</w:t>
            </w:r>
            <w:r>
              <w:rPr>
                <w:noProof/>
                <w:webHidden/>
              </w:rPr>
              <w:fldChar w:fldCharType="end"/>
            </w:r>
          </w:hyperlink>
        </w:p>
        <w:p w14:paraId="376A414C" w14:textId="0F737120"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198" w:history="1">
            <w:r w:rsidRPr="00F0776C">
              <w:rPr>
                <w:rStyle w:val="Hyperlink"/>
                <w:noProof/>
              </w:rPr>
              <w:t>ARTICLE 3  SCOPE</w:t>
            </w:r>
            <w:r>
              <w:rPr>
                <w:noProof/>
                <w:webHidden/>
              </w:rPr>
              <w:tab/>
            </w:r>
            <w:r>
              <w:rPr>
                <w:noProof/>
                <w:webHidden/>
              </w:rPr>
              <w:fldChar w:fldCharType="begin"/>
            </w:r>
            <w:r>
              <w:rPr>
                <w:noProof/>
                <w:webHidden/>
              </w:rPr>
              <w:instrText xml:space="preserve"> PAGEREF _Toc222494198 \h </w:instrText>
            </w:r>
            <w:r>
              <w:rPr>
                <w:noProof/>
                <w:webHidden/>
              </w:rPr>
            </w:r>
            <w:r>
              <w:rPr>
                <w:noProof/>
                <w:webHidden/>
              </w:rPr>
              <w:fldChar w:fldCharType="separate"/>
            </w:r>
            <w:r>
              <w:rPr>
                <w:noProof/>
                <w:webHidden/>
              </w:rPr>
              <w:t>4</w:t>
            </w:r>
            <w:r>
              <w:rPr>
                <w:noProof/>
                <w:webHidden/>
              </w:rPr>
              <w:fldChar w:fldCharType="end"/>
            </w:r>
          </w:hyperlink>
        </w:p>
        <w:p w14:paraId="0257E2C5" w14:textId="35ACA3BA"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199" w:history="1">
            <w:r w:rsidRPr="00F0776C">
              <w:rPr>
                <w:rStyle w:val="Hyperlink"/>
                <w:noProof/>
              </w:rPr>
              <w:t>ARTICLE 4  GENERAL PROVISIONS</w:t>
            </w:r>
            <w:r>
              <w:rPr>
                <w:noProof/>
                <w:webHidden/>
              </w:rPr>
              <w:tab/>
            </w:r>
            <w:r>
              <w:rPr>
                <w:noProof/>
                <w:webHidden/>
              </w:rPr>
              <w:fldChar w:fldCharType="begin"/>
            </w:r>
            <w:r>
              <w:rPr>
                <w:noProof/>
                <w:webHidden/>
              </w:rPr>
              <w:instrText xml:space="preserve"> PAGEREF _Toc222494199 \h </w:instrText>
            </w:r>
            <w:r>
              <w:rPr>
                <w:noProof/>
                <w:webHidden/>
              </w:rPr>
            </w:r>
            <w:r>
              <w:rPr>
                <w:noProof/>
                <w:webHidden/>
              </w:rPr>
              <w:fldChar w:fldCharType="separate"/>
            </w:r>
            <w:r>
              <w:rPr>
                <w:noProof/>
                <w:webHidden/>
              </w:rPr>
              <w:t>4</w:t>
            </w:r>
            <w:r>
              <w:rPr>
                <w:noProof/>
                <w:webHidden/>
              </w:rPr>
              <w:fldChar w:fldCharType="end"/>
            </w:r>
          </w:hyperlink>
        </w:p>
        <w:p w14:paraId="00A35119" w14:textId="3B6E903D"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00" w:history="1">
            <w:r w:rsidRPr="00F0776C">
              <w:rPr>
                <w:rStyle w:val="Hyperlink"/>
                <w:noProof/>
              </w:rPr>
              <w:t>ARTICLE 5  JOINT SECTORAL COMMITTEE</w:t>
            </w:r>
            <w:r>
              <w:rPr>
                <w:noProof/>
                <w:webHidden/>
              </w:rPr>
              <w:tab/>
            </w:r>
            <w:r>
              <w:rPr>
                <w:noProof/>
                <w:webHidden/>
              </w:rPr>
              <w:fldChar w:fldCharType="begin"/>
            </w:r>
            <w:r>
              <w:rPr>
                <w:noProof/>
                <w:webHidden/>
              </w:rPr>
              <w:instrText xml:space="preserve"> PAGEREF _Toc222494200 \h </w:instrText>
            </w:r>
            <w:r>
              <w:rPr>
                <w:noProof/>
                <w:webHidden/>
              </w:rPr>
            </w:r>
            <w:r>
              <w:rPr>
                <w:noProof/>
                <w:webHidden/>
              </w:rPr>
              <w:fldChar w:fldCharType="separate"/>
            </w:r>
            <w:r>
              <w:rPr>
                <w:noProof/>
                <w:webHidden/>
              </w:rPr>
              <w:t>5</w:t>
            </w:r>
            <w:r>
              <w:rPr>
                <w:noProof/>
                <w:webHidden/>
              </w:rPr>
              <w:fldChar w:fldCharType="end"/>
            </w:r>
          </w:hyperlink>
        </w:p>
        <w:p w14:paraId="146AE209" w14:textId="6E30DAF0"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01" w:history="1">
            <w:r w:rsidRPr="00F0776C">
              <w:rPr>
                <w:rStyle w:val="Hyperlink"/>
                <w:noProof/>
              </w:rPr>
              <w:t>ARTICLE 6  DESIGNATING BODY</w:t>
            </w:r>
            <w:r>
              <w:rPr>
                <w:noProof/>
                <w:webHidden/>
              </w:rPr>
              <w:tab/>
            </w:r>
            <w:r>
              <w:rPr>
                <w:noProof/>
                <w:webHidden/>
              </w:rPr>
              <w:fldChar w:fldCharType="begin"/>
            </w:r>
            <w:r>
              <w:rPr>
                <w:noProof/>
                <w:webHidden/>
              </w:rPr>
              <w:instrText xml:space="preserve"> PAGEREF _Toc222494201 \h </w:instrText>
            </w:r>
            <w:r>
              <w:rPr>
                <w:noProof/>
                <w:webHidden/>
              </w:rPr>
            </w:r>
            <w:r>
              <w:rPr>
                <w:noProof/>
                <w:webHidden/>
              </w:rPr>
              <w:fldChar w:fldCharType="separate"/>
            </w:r>
            <w:r>
              <w:rPr>
                <w:noProof/>
                <w:webHidden/>
              </w:rPr>
              <w:t>5</w:t>
            </w:r>
            <w:r>
              <w:rPr>
                <w:noProof/>
                <w:webHidden/>
              </w:rPr>
              <w:fldChar w:fldCharType="end"/>
            </w:r>
          </w:hyperlink>
        </w:p>
        <w:p w14:paraId="636E3559" w14:textId="7BD41362"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02" w:history="1">
            <w:r w:rsidRPr="00F0776C">
              <w:rPr>
                <w:rStyle w:val="Hyperlink"/>
                <w:noProof/>
              </w:rPr>
              <w:t>ARTICLE 7  CONFORMITY ASSESSMENT BODIES</w:t>
            </w:r>
            <w:r>
              <w:rPr>
                <w:noProof/>
                <w:webHidden/>
              </w:rPr>
              <w:tab/>
            </w:r>
            <w:r>
              <w:rPr>
                <w:noProof/>
                <w:webHidden/>
              </w:rPr>
              <w:fldChar w:fldCharType="begin"/>
            </w:r>
            <w:r>
              <w:rPr>
                <w:noProof/>
                <w:webHidden/>
              </w:rPr>
              <w:instrText xml:space="preserve"> PAGEREF _Toc222494202 \h </w:instrText>
            </w:r>
            <w:r>
              <w:rPr>
                <w:noProof/>
                <w:webHidden/>
              </w:rPr>
            </w:r>
            <w:r>
              <w:rPr>
                <w:noProof/>
                <w:webHidden/>
              </w:rPr>
              <w:fldChar w:fldCharType="separate"/>
            </w:r>
            <w:r>
              <w:rPr>
                <w:noProof/>
                <w:webHidden/>
              </w:rPr>
              <w:t>6</w:t>
            </w:r>
            <w:r>
              <w:rPr>
                <w:noProof/>
                <w:webHidden/>
              </w:rPr>
              <w:fldChar w:fldCharType="end"/>
            </w:r>
          </w:hyperlink>
        </w:p>
        <w:p w14:paraId="16018C5B" w14:textId="0A873A19"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03" w:history="1">
            <w:r w:rsidRPr="00F0776C">
              <w:rPr>
                <w:rStyle w:val="Hyperlink"/>
                <w:noProof/>
              </w:rPr>
              <w:t>ARTICLE 8  PRESERVATION OF REGULATORY AUTHORITY</w:t>
            </w:r>
            <w:r>
              <w:rPr>
                <w:noProof/>
                <w:webHidden/>
              </w:rPr>
              <w:tab/>
            </w:r>
            <w:r>
              <w:rPr>
                <w:noProof/>
                <w:webHidden/>
              </w:rPr>
              <w:fldChar w:fldCharType="begin"/>
            </w:r>
            <w:r>
              <w:rPr>
                <w:noProof/>
                <w:webHidden/>
              </w:rPr>
              <w:instrText xml:space="preserve"> PAGEREF _Toc222494203 \h </w:instrText>
            </w:r>
            <w:r>
              <w:rPr>
                <w:noProof/>
                <w:webHidden/>
              </w:rPr>
            </w:r>
            <w:r>
              <w:rPr>
                <w:noProof/>
                <w:webHidden/>
              </w:rPr>
              <w:fldChar w:fldCharType="separate"/>
            </w:r>
            <w:r>
              <w:rPr>
                <w:noProof/>
                <w:webHidden/>
              </w:rPr>
              <w:t>6</w:t>
            </w:r>
            <w:r>
              <w:rPr>
                <w:noProof/>
                <w:webHidden/>
              </w:rPr>
              <w:fldChar w:fldCharType="end"/>
            </w:r>
          </w:hyperlink>
        </w:p>
        <w:p w14:paraId="54722FC3" w14:textId="4295C1A5"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04" w:history="1">
            <w:r w:rsidRPr="00F0776C">
              <w:rPr>
                <w:rStyle w:val="Hyperlink"/>
                <w:noProof/>
              </w:rPr>
              <w:t>ARTICLE 9  CONFIDENTIALITY</w:t>
            </w:r>
            <w:r>
              <w:rPr>
                <w:noProof/>
                <w:webHidden/>
              </w:rPr>
              <w:tab/>
            </w:r>
            <w:r>
              <w:rPr>
                <w:noProof/>
                <w:webHidden/>
              </w:rPr>
              <w:fldChar w:fldCharType="begin"/>
            </w:r>
            <w:r>
              <w:rPr>
                <w:noProof/>
                <w:webHidden/>
              </w:rPr>
              <w:instrText xml:space="preserve"> PAGEREF _Toc222494204 \h </w:instrText>
            </w:r>
            <w:r>
              <w:rPr>
                <w:noProof/>
                <w:webHidden/>
              </w:rPr>
            </w:r>
            <w:r>
              <w:rPr>
                <w:noProof/>
                <w:webHidden/>
              </w:rPr>
              <w:fldChar w:fldCharType="separate"/>
            </w:r>
            <w:r>
              <w:rPr>
                <w:noProof/>
                <w:webHidden/>
              </w:rPr>
              <w:t>6</w:t>
            </w:r>
            <w:r>
              <w:rPr>
                <w:noProof/>
                <w:webHidden/>
              </w:rPr>
              <w:fldChar w:fldCharType="end"/>
            </w:r>
          </w:hyperlink>
        </w:p>
        <w:p w14:paraId="3B9F283A" w14:textId="6208220A"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05" w:history="1">
            <w:r w:rsidRPr="00F0776C">
              <w:rPr>
                <w:rStyle w:val="Hyperlink"/>
                <w:noProof/>
              </w:rPr>
              <w:t>ARTICLE 10  SETTLEMENT OF DISPUTES</w:t>
            </w:r>
            <w:r>
              <w:rPr>
                <w:noProof/>
                <w:webHidden/>
              </w:rPr>
              <w:tab/>
            </w:r>
            <w:r>
              <w:rPr>
                <w:noProof/>
                <w:webHidden/>
              </w:rPr>
              <w:fldChar w:fldCharType="begin"/>
            </w:r>
            <w:r>
              <w:rPr>
                <w:noProof/>
                <w:webHidden/>
              </w:rPr>
              <w:instrText xml:space="preserve"> PAGEREF _Toc222494205 \h </w:instrText>
            </w:r>
            <w:r>
              <w:rPr>
                <w:noProof/>
                <w:webHidden/>
              </w:rPr>
            </w:r>
            <w:r>
              <w:rPr>
                <w:noProof/>
                <w:webHidden/>
              </w:rPr>
              <w:fldChar w:fldCharType="separate"/>
            </w:r>
            <w:r>
              <w:rPr>
                <w:noProof/>
                <w:webHidden/>
              </w:rPr>
              <w:t>7</w:t>
            </w:r>
            <w:r>
              <w:rPr>
                <w:noProof/>
                <w:webHidden/>
              </w:rPr>
              <w:fldChar w:fldCharType="end"/>
            </w:r>
          </w:hyperlink>
        </w:p>
        <w:p w14:paraId="63D7117C" w14:textId="6BD94EA8"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06" w:history="1">
            <w:r w:rsidRPr="00F0776C">
              <w:rPr>
                <w:rStyle w:val="Hyperlink"/>
                <w:noProof/>
              </w:rPr>
              <w:t>ARTICLE 11  DEPOSITARY</w:t>
            </w:r>
            <w:r>
              <w:rPr>
                <w:noProof/>
                <w:webHidden/>
              </w:rPr>
              <w:tab/>
            </w:r>
            <w:r>
              <w:rPr>
                <w:noProof/>
                <w:webHidden/>
              </w:rPr>
              <w:fldChar w:fldCharType="begin"/>
            </w:r>
            <w:r>
              <w:rPr>
                <w:noProof/>
                <w:webHidden/>
              </w:rPr>
              <w:instrText xml:space="preserve"> PAGEREF _Toc222494206 \h </w:instrText>
            </w:r>
            <w:r>
              <w:rPr>
                <w:noProof/>
                <w:webHidden/>
              </w:rPr>
            </w:r>
            <w:r>
              <w:rPr>
                <w:noProof/>
                <w:webHidden/>
              </w:rPr>
              <w:fldChar w:fldCharType="separate"/>
            </w:r>
            <w:r>
              <w:rPr>
                <w:noProof/>
                <w:webHidden/>
              </w:rPr>
              <w:t>7</w:t>
            </w:r>
            <w:r>
              <w:rPr>
                <w:noProof/>
                <w:webHidden/>
              </w:rPr>
              <w:fldChar w:fldCharType="end"/>
            </w:r>
          </w:hyperlink>
        </w:p>
        <w:p w14:paraId="4CC6A8C6" w14:textId="6DC889B8"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07" w:history="1">
            <w:r w:rsidRPr="00F0776C">
              <w:rPr>
                <w:rStyle w:val="Hyperlink"/>
                <w:noProof/>
              </w:rPr>
              <w:t>ARTICLE 12  AMENDMENTS</w:t>
            </w:r>
            <w:r>
              <w:rPr>
                <w:noProof/>
                <w:webHidden/>
              </w:rPr>
              <w:tab/>
            </w:r>
            <w:r>
              <w:rPr>
                <w:noProof/>
                <w:webHidden/>
              </w:rPr>
              <w:fldChar w:fldCharType="begin"/>
            </w:r>
            <w:r>
              <w:rPr>
                <w:noProof/>
                <w:webHidden/>
              </w:rPr>
              <w:instrText xml:space="preserve"> PAGEREF _Toc222494207 \h </w:instrText>
            </w:r>
            <w:r>
              <w:rPr>
                <w:noProof/>
                <w:webHidden/>
              </w:rPr>
            </w:r>
            <w:r>
              <w:rPr>
                <w:noProof/>
                <w:webHidden/>
              </w:rPr>
              <w:fldChar w:fldCharType="separate"/>
            </w:r>
            <w:r>
              <w:rPr>
                <w:noProof/>
                <w:webHidden/>
              </w:rPr>
              <w:t>7</w:t>
            </w:r>
            <w:r>
              <w:rPr>
                <w:noProof/>
                <w:webHidden/>
              </w:rPr>
              <w:fldChar w:fldCharType="end"/>
            </w:r>
          </w:hyperlink>
        </w:p>
        <w:p w14:paraId="7C458EE4" w14:textId="71B2DEA8"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08" w:history="1">
            <w:r w:rsidRPr="00F0776C">
              <w:rPr>
                <w:rStyle w:val="Hyperlink"/>
                <w:noProof/>
              </w:rPr>
              <w:t>ARTICLE 13  FINAL PROVISIONS</w:t>
            </w:r>
            <w:r>
              <w:rPr>
                <w:noProof/>
                <w:webHidden/>
              </w:rPr>
              <w:tab/>
            </w:r>
            <w:r>
              <w:rPr>
                <w:noProof/>
                <w:webHidden/>
              </w:rPr>
              <w:fldChar w:fldCharType="begin"/>
            </w:r>
            <w:r>
              <w:rPr>
                <w:noProof/>
                <w:webHidden/>
              </w:rPr>
              <w:instrText xml:space="preserve"> PAGEREF _Toc222494208 \h </w:instrText>
            </w:r>
            <w:r>
              <w:rPr>
                <w:noProof/>
                <w:webHidden/>
              </w:rPr>
            </w:r>
            <w:r>
              <w:rPr>
                <w:noProof/>
                <w:webHidden/>
              </w:rPr>
              <w:fldChar w:fldCharType="separate"/>
            </w:r>
            <w:r>
              <w:rPr>
                <w:noProof/>
                <w:webHidden/>
              </w:rPr>
              <w:t>7</w:t>
            </w:r>
            <w:r>
              <w:rPr>
                <w:noProof/>
                <w:webHidden/>
              </w:rPr>
              <w:fldChar w:fldCharType="end"/>
            </w:r>
          </w:hyperlink>
        </w:p>
        <w:p w14:paraId="1387AE4D" w14:textId="17D3184D"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09" w:history="1">
            <w:r w:rsidRPr="00F0776C">
              <w:rPr>
                <w:rStyle w:val="Hyperlink"/>
                <w:noProof/>
              </w:rPr>
              <w:t>ANNEX A LIST OF BUILDING AND CONSTRUCTION MATERIALS WITHIN THE SCOPE OF THIS SECTORAL MRA</w:t>
            </w:r>
            <w:r>
              <w:rPr>
                <w:noProof/>
                <w:webHidden/>
              </w:rPr>
              <w:tab/>
            </w:r>
            <w:r>
              <w:rPr>
                <w:noProof/>
                <w:webHidden/>
              </w:rPr>
              <w:fldChar w:fldCharType="begin"/>
            </w:r>
            <w:r>
              <w:rPr>
                <w:noProof/>
                <w:webHidden/>
              </w:rPr>
              <w:instrText xml:space="preserve"> PAGEREF _Toc222494209 \h </w:instrText>
            </w:r>
            <w:r>
              <w:rPr>
                <w:noProof/>
                <w:webHidden/>
              </w:rPr>
            </w:r>
            <w:r>
              <w:rPr>
                <w:noProof/>
                <w:webHidden/>
              </w:rPr>
              <w:fldChar w:fldCharType="separate"/>
            </w:r>
            <w:r>
              <w:rPr>
                <w:noProof/>
                <w:webHidden/>
              </w:rPr>
              <w:t>9</w:t>
            </w:r>
            <w:r>
              <w:rPr>
                <w:noProof/>
                <w:webHidden/>
              </w:rPr>
              <w:fldChar w:fldCharType="end"/>
            </w:r>
          </w:hyperlink>
        </w:p>
        <w:p w14:paraId="573681FC" w14:textId="05BFDCCB"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10" w:history="1">
            <w:r w:rsidRPr="00F0776C">
              <w:rPr>
                <w:rStyle w:val="Hyperlink"/>
                <w:noProof/>
              </w:rPr>
              <w:t>ANNEX B PROCEDURES AND REQUIREMENTS RELATING TO LISTING, SUSPENSION, REMOVAL, VERIFICATION, AND TECHNICAL COMPETENCE OF CONFORMITY ASSESSMENT BODIES (CABS)</w:t>
            </w:r>
            <w:r>
              <w:rPr>
                <w:noProof/>
                <w:webHidden/>
              </w:rPr>
              <w:tab/>
            </w:r>
            <w:r>
              <w:rPr>
                <w:noProof/>
                <w:webHidden/>
              </w:rPr>
              <w:fldChar w:fldCharType="begin"/>
            </w:r>
            <w:r>
              <w:rPr>
                <w:noProof/>
                <w:webHidden/>
              </w:rPr>
              <w:instrText xml:space="preserve"> PAGEREF _Toc222494210 \h </w:instrText>
            </w:r>
            <w:r>
              <w:rPr>
                <w:noProof/>
                <w:webHidden/>
              </w:rPr>
            </w:r>
            <w:r>
              <w:rPr>
                <w:noProof/>
                <w:webHidden/>
              </w:rPr>
              <w:fldChar w:fldCharType="separate"/>
            </w:r>
            <w:r>
              <w:rPr>
                <w:noProof/>
                <w:webHidden/>
              </w:rPr>
              <w:t>10</w:t>
            </w:r>
            <w:r>
              <w:rPr>
                <w:noProof/>
                <w:webHidden/>
              </w:rPr>
              <w:fldChar w:fldCharType="end"/>
            </w:r>
          </w:hyperlink>
        </w:p>
        <w:p w14:paraId="4BB15571" w14:textId="66C738F0" w:rsidR="002F0C0F" w:rsidRDefault="002F0C0F">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22494221" w:history="1">
            <w:r w:rsidRPr="00F0776C">
              <w:rPr>
                <w:rStyle w:val="Hyperlink"/>
                <w:noProof/>
              </w:rPr>
              <w:t>ANNEX C LISTED CONFORMITY ASSESSMENT BODIEs</w:t>
            </w:r>
            <w:r>
              <w:rPr>
                <w:noProof/>
                <w:webHidden/>
              </w:rPr>
              <w:tab/>
            </w:r>
            <w:r>
              <w:rPr>
                <w:noProof/>
                <w:webHidden/>
              </w:rPr>
              <w:fldChar w:fldCharType="begin"/>
            </w:r>
            <w:r>
              <w:rPr>
                <w:noProof/>
                <w:webHidden/>
              </w:rPr>
              <w:instrText xml:space="preserve"> PAGEREF _Toc222494221 \h </w:instrText>
            </w:r>
            <w:r>
              <w:rPr>
                <w:noProof/>
                <w:webHidden/>
              </w:rPr>
            </w:r>
            <w:r>
              <w:rPr>
                <w:noProof/>
                <w:webHidden/>
              </w:rPr>
              <w:fldChar w:fldCharType="separate"/>
            </w:r>
            <w:r>
              <w:rPr>
                <w:noProof/>
                <w:webHidden/>
              </w:rPr>
              <w:t>14</w:t>
            </w:r>
            <w:r>
              <w:rPr>
                <w:noProof/>
                <w:webHidden/>
              </w:rPr>
              <w:fldChar w:fldCharType="end"/>
            </w:r>
          </w:hyperlink>
        </w:p>
        <w:p w14:paraId="0A835943" w14:textId="6D27B93F" w:rsidR="00DF288A" w:rsidRDefault="00DF288A">
          <w:r>
            <w:rPr>
              <w:b/>
              <w:bCs/>
              <w:noProof/>
            </w:rPr>
            <w:fldChar w:fldCharType="end"/>
          </w:r>
        </w:p>
      </w:sdtContent>
    </w:sdt>
    <w:p w14:paraId="6C040C25" w14:textId="77777777" w:rsidR="00DF288A" w:rsidRDefault="00DF288A"/>
    <w:p w14:paraId="6F5FCFC6" w14:textId="5F2F016F" w:rsidR="00183EC5" w:rsidRDefault="00DF288A" w:rsidP="00A6601C">
      <w:pPr>
        <w:pStyle w:val="BodyText"/>
      </w:pPr>
      <w:r>
        <w:br w:type="page"/>
      </w:r>
    </w:p>
    <w:p w14:paraId="0839EE64" w14:textId="77777777" w:rsidR="00A6601C" w:rsidRDefault="00A6601C" w:rsidP="00A6601C">
      <w:pPr>
        <w:pStyle w:val="CILTitle"/>
      </w:pPr>
      <w:r>
        <w:lastRenderedPageBreak/>
        <w:t xml:space="preserve">2024 </w:t>
      </w:r>
      <w:r>
        <w:rPr>
          <w:color w:val="343436"/>
          <w:w w:val="105"/>
          <w:sz w:val="27"/>
        </w:rPr>
        <w:t xml:space="preserve">ASEAN SECTORAL MUTUAL RECOGNITION </w:t>
      </w:r>
      <w:r>
        <w:rPr>
          <w:color w:val="343436"/>
          <w:spacing w:val="-2"/>
          <w:w w:val="105"/>
          <w:sz w:val="27"/>
        </w:rPr>
        <w:t>ARRANGEMENT</w:t>
      </w:r>
      <w:r>
        <w:rPr>
          <w:color w:val="343436"/>
          <w:spacing w:val="-7"/>
          <w:w w:val="105"/>
          <w:sz w:val="27"/>
        </w:rPr>
        <w:t xml:space="preserve"> </w:t>
      </w:r>
      <w:r>
        <w:rPr>
          <w:color w:val="464646"/>
          <w:spacing w:val="-2"/>
          <w:w w:val="105"/>
          <w:sz w:val="27"/>
        </w:rPr>
        <w:t>FOR</w:t>
      </w:r>
      <w:r>
        <w:rPr>
          <w:color w:val="464646"/>
          <w:spacing w:val="-18"/>
          <w:w w:val="105"/>
          <w:sz w:val="27"/>
        </w:rPr>
        <w:t xml:space="preserve"> </w:t>
      </w:r>
      <w:r>
        <w:rPr>
          <w:color w:val="343436"/>
          <w:spacing w:val="-2"/>
          <w:w w:val="105"/>
          <w:sz w:val="27"/>
        </w:rPr>
        <w:t>BUILDING</w:t>
      </w:r>
      <w:r>
        <w:rPr>
          <w:color w:val="343436"/>
          <w:spacing w:val="-3"/>
          <w:w w:val="105"/>
          <w:sz w:val="27"/>
        </w:rPr>
        <w:t xml:space="preserve"> </w:t>
      </w:r>
      <w:r>
        <w:rPr>
          <w:color w:val="343436"/>
          <w:spacing w:val="-2"/>
          <w:w w:val="105"/>
          <w:sz w:val="27"/>
        </w:rPr>
        <w:t>AND</w:t>
      </w:r>
      <w:r>
        <w:rPr>
          <w:color w:val="343436"/>
          <w:spacing w:val="-18"/>
          <w:w w:val="105"/>
          <w:sz w:val="27"/>
        </w:rPr>
        <w:t xml:space="preserve"> </w:t>
      </w:r>
      <w:r>
        <w:rPr>
          <w:color w:val="343436"/>
          <w:spacing w:val="-2"/>
          <w:w w:val="105"/>
          <w:sz w:val="27"/>
        </w:rPr>
        <w:t>CONSTRUCTION MATERIALS</w:t>
      </w:r>
    </w:p>
    <w:p w14:paraId="49B2DF95" w14:textId="2956E681" w:rsidR="00183EC5" w:rsidRDefault="00A6601C" w:rsidP="00A6601C">
      <w:pPr>
        <w:pStyle w:val="CILSubtitle"/>
      </w:pPr>
      <w:r>
        <w:t xml:space="preserve">Signed in </w:t>
      </w:r>
      <w:r w:rsidRPr="00784830">
        <w:rPr>
          <w:lang w:val="en-US"/>
        </w:rPr>
        <w:t>Phnom Penh, Cambodia</w:t>
      </w:r>
      <w:r>
        <w:t xml:space="preserve"> on 9 March 2024</w:t>
      </w:r>
    </w:p>
    <w:p w14:paraId="279E5956" w14:textId="5D3059EA" w:rsidR="00916361" w:rsidRPr="00916361" w:rsidRDefault="00916361" w:rsidP="00916361">
      <w:r w:rsidRPr="00916361">
        <w:t xml:space="preserve">The Governments of Brunei Darussalam, the Kingdom of Cambodia, the Republic of Indonesia, the </w:t>
      </w:r>
      <w:r w:rsidR="009E1CE9">
        <w:br/>
      </w:r>
      <w:r w:rsidRPr="00916361">
        <w:t xml:space="preserve">Lao People's Democratic Republic, Malaysia, the Republic of the Union of Myanmar, the Republic of the Philippines, the Republic of Singapore, the Kingdom of Thailand, and the Socialist Republic of </w:t>
      </w:r>
      <w:r w:rsidR="009E1CE9">
        <w:br/>
      </w:r>
      <w:r w:rsidRPr="00916361">
        <w:t>Viet Nam, Member States of the Association of Southeast Asian Nations (ASEAN) (hereinafter collectively referred to as "Member States" or individually as "Member State");</w:t>
      </w:r>
    </w:p>
    <w:p w14:paraId="00D5F769" w14:textId="77777777" w:rsidR="00916361" w:rsidRPr="00916361" w:rsidRDefault="00916361" w:rsidP="00916361">
      <w:r w:rsidRPr="00916361">
        <w:rPr>
          <w:b/>
        </w:rPr>
        <w:t xml:space="preserve">ASPIRING </w:t>
      </w:r>
      <w:r w:rsidRPr="00916361">
        <w:t xml:space="preserve">to achieve economic integration and turning the diversity that </w:t>
      </w:r>
      <w:proofErr w:type="spellStart"/>
      <w:r w:rsidRPr="00916361">
        <w:t>characterises</w:t>
      </w:r>
      <w:proofErr w:type="spellEnd"/>
      <w:r w:rsidRPr="00916361">
        <w:t xml:space="preserve"> the region into opportunities for business complementation making ASEAN a more dynamic and stronger segment of the global supply chain and the world economy as envisaged in the ASEAN Charter, the Declaration on the ASEAN Economic Community Blueprint signed on 20 November 2007 in Singapore, and the ASEAN Economic Community Blueprint 2025 adopted on 22 November 2015 in Kuala Lumpur, Malaysia;</w:t>
      </w:r>
    </w:p>
    <w:p w14:paraId="2B812F58" w14:textId="22F653C8" w:rsidR="00916361" w:rsidRDefault="00916361" w:rsidP="00916361">
      <w:r w:rsidRPr="00916361">
        <w:rPr>
          <w:b/>
        </w:rPr>
        <w:t xml:space="preserve">DETERMINED </w:t>
      </w:r>
      <w:r w:rsidRPr="00916361">
        <w:t xml:space="preserve">to </w:t>
      </w:r>
      <w:proofErr w:type="spellStart"/>
      <w:r w:rsidRPr="00916361">
        <w:t>realise</w:t>
      </w:r>
      <w:proofErr w:type="spellEnd"/>
      <w:r w:rsidRPr="00916361">
        <w:t xml:space="preserve"> the goals of establishing ASEAN as a single market and production base which is stable, prosperous, highly competitive, and economically integrated with effective facilitation for trade and investment in which there are free flow of goods, services and investments, facilitation for movement of business persons, professionals, talents and labour, and freer flow of capital as the </w:t>
      </w:r>
      <w:r w:rsidR="009E1CE9">
        <w:br/>
      </w:r>
      <w:r w:rsidRPr="00916361">
        <w:t>end-goal of ASEAN;</w:t>
      </w:r>
    </w:p>
    <w:p w14:paraId="5EB47F40" w14:textId="5EF8D71A" w:rsidR="00916361" w:rsidRPr="00916361" w:rsidRDefault="00916361" w:rsidP="00916361">
      <w:r w:rsidRPr="00916361">
        <w:rPr>
          <w:b/>
        </w:rPr>
        <w:t xml:space="preserve">RECALLING </w:t>
      </w:r>
      <w:r w:rsidRPr="00916361">
        <w:t xml:space="preserve">the ASEAN Trade in Goods Agreement (ATIGA) signed on 26 February 2009 in Cha-am, Thailand and the ASEAN Framework Agreement on Mutual Recognition Arrangements signed on </w:t>
      </w:r>
      <w:r w:rsidR="009E1CE9">
        <w:br/>
      </w:r>
      <w:r w:rsidRPr="00916361">
        <w:t>16 December 1998 in Hanoi, Viet Nam to facilitate the elimination of technical barriers to trade and to enhance trade in ASEAN;</w:t>
      </w:r>
    </w:p>
    <w:p w14:paraId="4D82A3F9" w14:textId="77777777" w:rsidR="00916361" w:rsidRPr="00916361" w:rsidRDefault="00916361" w:rsidP="00916361">
      <w:r w:rsidRPr="00916361">
        <w:rPr>
          <w:b/>
        </w:rPr>
        <w:t xml:space="preserve">RECOGNISING </w:t>
      </w:r>
      <w:r w:rsidRPr="00916361">
        <w:t>that mutual recognition of results of conformity assessment procedures is an important means of reducing technical barriers to trade and that such mutual recognition is of particular interest to businesses in ASEAN;</w:t>
      </w:r>
    </w:p>
    <w:p w14:paraId="27D96C9D" w14:textId="77777777" w:rsidR="00916361" w:rsidRPr="00916361" w:rsidRDefault="00916361" w:rsidP="00916361">
      <w:r w:rsidRPr="00916361">
        <w:rPr>
          <w:b/>
        </w:rPr>
        <w:t xml:space="preserve">MINDFUL </w:t>
      </w:r>
      <w:r w:rsidRPr="00916361">
        <w:t>of the different levels of infrastructure for technical regulations, standards, certifications, inspections and analyses, and the different levels of economic development of Member States;</w:t>
      </w:r>
    </w:p>
    <w:p w14:paraId="5B287EC0" w14:textId="77777777" w:rsidR="00916361" w:rsidRPr="00916361" w:rsidRDefault="00916361" w:rsidP="00916361">
      <w:r w:rsidRPr="00916361">
        <w:rPr>
          <w:b/>
        </w:rPr>
        <w:t xml:space="preserve">REITERATING </w:t>
      </w:r>
      <w:r w:rsidRPr="00916361">
        <w:t xml:space="preserve">that Member States' commitments under the World Trade Organization (WTO) Agreement on Technical Barriers to Trade are reaffirmed in ATIGA and noting that WTO Members are encouraged to enter into negotiations for the conclusion of agreements for the mutual recognition of results of each other's conformity assessment procedures which include, </w:t>
      </w:r>
      <w:r w:rsidRPr="00916361">
        <w:rPr>
          <w:i/>
        </w:rPr>
        <w:t xml:space="preserve">inter alia, </w:t>
      </w:r>
      <w:r w:rsidRPr="00916361">
        <w:t>procedures for sampling, testing and inspection, evaluation, verification and assurance of conformity, registration, accreditation and approval, as well as their combinations;</w:t>
      </w:r>
    </w:p>
    <w:p w14:paraId="2516D0B4" w14:textId="05D59AEA" w:rsidR="00916361" w:rsidRPr="00916361" w:rsidRDefault="00916361" w:rsidP="00916361">
      <w:r w:rsidRPr="00916361">
        <w:rPr>
          <w:b/>
        </w:rPr>
        <w:t xml:space="preserve">DESIRING </w:t>
      </w:r>
      <w:r w:rsidRPr="00916361">
        <w:t>to establish a Sectoral Mutual Recognition Arrangement for conformity assessment results for building and construction materials to facilitate the movement of building and construction materials in ASEAN,</w:t>
      </w:r>
    </w:p>
    <w:p w14:paraId="05120246" w14:textId="77515A76" w:rsidR="00916361" w:rsidRDefault="00916361" w:rsidP="00916361">
      <w:pPr>
        <w:rPr>
          <w:b/>
        </w:rPr>
      </w:pPr>
      <w:r w:rsidRPr="00916361">
        <w:rPr>
          <w:b/>
        </w:rPr>
        <w:t>HAVE AGREED AS FOLLOWS:</w:t>
      </w:r>
    </w:p>
    <w:p w14:paraId="4C6A7B9C" w14:textId="24CDDC00" w:rsidR="00916361" w:rsidRPr="00916361" w:rsidRDefault="00916361" w:rsidP="00916361">
      <w:pPr>
        <w:pStyle w:val="Heading1"/>
      </w:pPr>
      <w:bookmarkStart w:id="0" w:name="_Toc222494196"/>
      <w:r>
        <w:lastRenderedPageBreak/>
        <w:t xml:space="preserve">ARTICLE 1 </w:t>
      </w:r>
      <w:r>
        <w:br/>
        <w:t>DEFINITIONS</w:t>
      </w:r>
      <w:bookmarkEnd w:id="0"/>
    </w:p>
    <w:p w14:paraId="58B1913C" w14:textId="77777777" w:rsidR="00A6601C" w:rsidRDefault="00916361" w:rsidP="00A6601C">
      <w:pPr>
        <w:rPr>
          <w:bCs/>
        </w:rPr>
      </w:pPr>
      <w:r w:rsidRPr="00916361">
        <w:rPr>
          <w:bCs/>
        </w:rPr>
        <w:t>For purposes of this ASEAN Sectoral Mutual Recognition Arrangement for Building and Construction Materials (hereinafter referred to as "Sectoral MRA"), the following definitions shall apply:</w:t>
      </w:r>
    </w:p>
    <w:p w14:paraId="4494151B" w14:textId="7F51CE33" w:rsidR="00916361" w:rsidRPr="00A6601C" w:rsidRDefault="00916361" w:rsidP="00CA54FC">
      <w:pPr>
        <w:pStyle w:val="ListParagraph"/>
        <w:numPr>
          <w:ilvl w:val="0"/>
          <w:numId w:val="13"/>
        </w:numPr>
        <w:rPr>
          <w:bCs/>
        </w:rPr>
      </w:pPr>
      <w:r w:rsidRPr="00A6601C">
        <w:rPr>
          <w:b/>
        </w:rPr>
        <w:t>accept</w:t>
      </w:r>
      <w:r w:rsidRPr="00A6601C">
        <w:rPr>
          <w:bCs/>
        </w:rPr>
        <w:t xml:space="preserve"> means the use of test reports or certifications as a basis for regulatory actions such as approvals, licenses, and post-market assessments of conformity;</w:t>
      </w:r>
    </w:p>
    <w:p w14:paraId="4706F741" w14:textId="4F0F0BE5" w:rsidR="00916361" w:rsidRPr="00916361" w:rsidRDefault="00916361" w:rsidP="00CA54FC">
      <w:pPr>
        <w:numPr>
          <w:ilvl w:val="0"/>
          <w:numId w:val="13"/>
        </w:numPr>
        <w:rPr>
          <w:bCs/>
        </w:rPr>
      </w:pPr>
      <w:r w:rsidRPr="00916361">
        <w:rPr>
          <w:b/>
        </w:rPr>
        <w:t>accreditation</w:t>
      </w:r>
      <w:r w:rsidRPr="00916361">
        <w:rPr>
          <w:bCs/>
        </w:rPr>
        <w:t xml:space="preserve"> means a statement issued by an independent body conveying confirmation of a conformity assessment body's competence to carry out specific conformity assessment tasks;</w:t>
      </w:r>
    </w:p>
    <w:p w14:paraId="0072E817" w14:textId="04E35D32" w:rsidR="00916361" w:rsidRPr="00916361" w:rsidRDefault="00916361" w:rsidP="00CA54FC">
      <w:pPr>
        <w:numPr>
          <w:ilvl w:val="0"/>
          <w:numId w:val="13"/>
        </w:numPr>
        <w:rPr>
          <w:bCs/>
        </w:rPr>
      </w:pPr>
      <w:r w:rsidRPr="00916361">
        <w:rPr>
          <w:b/>
        </w:rPr>
        <w:t>accreditation body</w:t>
      </w:r>
      <w:r w:rsidRPr="00916361">
        <w:rPr>
          <w:bCs/>
        </w:rPr>
        <w:t xml:space="preserve"> means an authoritative body that performs accreditation;</w:t>
      </w:r>
    </w:p>
    <w:p w14:paraId="1CB7D9AD" w14:textId="1A6C96FA" w:rsidR="00916361" w:rsidRPr="00916361" w:rsidRDefault="00916361" w:rsidP="00CA54FC">
      <w:pPr>
        <w:numPr>
          <w:ilvl w:val="0"/>
          <w:numId w:val="13"/>
        </w:numPr>
        <w:rPr>
          <w:bCs/>
        </w:rPr>
      </w:pPr>
      <w:r w:rsidRPr="00916361">
        <w:rPr>
          <w:b/>
        </w:rPr>
        <w:t>building and construction materials</w:t>
      </w:r>
      <w:r w:rsidRPr="00916361">
        <w:rPr>
          <w:bCs/>
        </w:rPr>
        <w:t xml:space="preserve"> means any type, size, and nature of material, whether initial, temporary, intermediate, or finished, which is used for construction purposes;</w:t>
      </w:r>
    </w:p>
    <w:p w14:paraId="6421CF4B" w14:textId="2EA9C626" w:rsidR="00916361" w:rsidRPr="00916361" w:rsidRDefault="00916361" w:rsidP="00CA54FC">
      <w:pPr>
        <w:numPr>
          <w:ilvl w:val="0"/>
          <w:numId w:val="13"/>
        </w:numPr>
        <w:rPr>
          <w:bCs/>
        </w:rPr>
      </w:pPr>
      <w:r w:rsidRPr="00916361">
        <w:rPr>
          <w:b/>
        </w:rPr>
        <w:t>certification</w:t>
      </w:r>
      <w:r w:rsidRPr="00916361">
        <w:rPr>
          <w:bCs/>
        </w:rPr>
        <w:t xml:space="preserve"> means a procedure by which a third party gives written or other assurance that a product, process, or service conforms to specified requirements;</w:t>
      </w:r>
    </w:p>
    <w:p w14:paraId="0F511900" w14:textId="04910504" w:rsidR="00916361" w:rsidRDefault="00916361" w:rsidP="00CA54FC">
      <w:pPr>
        <w:numPr>
          <w:ilvl w:val="0"/>
          <w:numId w:val="13"/>
        </w:numPr>
        <w:rPr>
          <w:bCs/>
        </w:rPr>
      </w:pPr>
      <w:r w:rsidRPr="00916361">
        <w:rPr>
          <w:b/>
        </w:rPr>
        <w:t>conformity assessment</w:t>
      </w:r>
      <w:r w:rsidRPr="00916361">
        <w:rPr>
          <w:bCs/>
        </w:rPr>
        <w:t xml:space="preserve"> means demonstration that specified requirements relating to a product, process, system, person, or body are fulfilled;</w:t>
      </w:r>
    </w:p>
    <w:p w14:paraId="16E732B1" w14:textId="5FF36338" w:rsidR="00916361" w:rsidRPr="00916361" w:rsidRDefault="00916361" w:rsidP="00CA54FC">
      <w:pPr>
        <w:numPr>
          <w:ilvl w:val="0"/>
          <w:numId w:val="13"/>
        </w:numPr>
        <w:rPr>
          <w:bCs/>
        </w:rPr>
      </w:pPr>
      <w:r w:rsidRPr="00916361">
        <w:rPr>
          <w:b/>
        </w:rPr>
        <w:t>Conformity Assessment Body</w:t>
      </w:r>
      <w:r w:rsidRPr="00916361">
        <w:rPr>
          <w:bCs/>
        </w:rPr>
        <w:t xml:space="preserve"> (hereinafter referred to as "CAB") means a body that performs conformity assessment services which fulfil the requirements of technical competence set out in Section A and Section E of Annex B;</w:t>
      </w:r>
    </w:p>
    <w:p w14:paraId="4544EFF9" w14:textId="242DB1FD" w:rsidR="00916361" w:rsidRPr="00916361" w:rsidRDefault="00916361" w:rsidP="00CA54FC">
      <w:pPr>
        <w:numPr>
          <w:ilvl w:val="0"/>
          <w:numId w:val="13"/>
        </w:numPr>
        <w:rPr>
          <w:bCs/>
        </w:rPr>
      </w:pPr>
      <w:r w:rsidRPr="00916361">
        <w:rPr>
          <w:b/>
        </w:rPr>
        <w:t>conformity assessment procedure</w:t>
      </w:r>
      <w:r w:rsidRPr="00916361">
        <w:rPr>
          <w:bCs/>
        </w:rPr>
        <w:t xml:space="preserve"> means any procedure used, directly or indirectly, to determine that relevant requirements in technical regulations or standards are fulfilled;</w:t>
      </w:r>
    </w:p>
    <w:p w14:paraId="064E47BA" w14:textId="2B2E9BF7" w:rsidR="00916361" w:rsidRPr="00916361" w:rsidRDefault="00916361" w:rsidP="00CA54FC">
      <w:pPr>
        <w:numPr>
          <w:ilvl w:val="0"/>
          <w:numId w:val="13"/>
        </w:numPr>
        <w:rPr>
          <w:bCs/>
        </w:rPr>
      </w:pPr>
      <w:r w:rsidRPr="00916361">
        <w:rPr>
          <w:b/>
        </w:rPr>
        <w:t>contact point</w:t>
      </w:r>
      <w:r w:rsidRPr="00916361">
        <w:rPr>
          <w:bCs/>
        </w:rPr>
        <w:t xml:space="preserve"> means a person, position, or body with and through whom Member States will exchange information and communicate in accordance with the requirements of this Sectoral MRA;</w:t>
      </w:r>
    </w:p>
    <w:p w14:paraId="04225788" w14:textId="2D3A0426" w:rsidR="00916361" w:rsidRPr="00916361" w:rsidRDefault="00916361" w:rsidP="00CA54FC">
      <w:pPr>
        <w:numPr>
          <w:ilvl w:val="0"/>
          <w:numId w:val="13"/>
        </w:numPr>
        <w:rPr>
          <w:bCs/>
        </w:rPr>
      </w:pPr>
      <w:r w:rsidRPr="00916361">
        <w:rPr>
          <w:b/>
        </w:rPr>
        <w:t>Designating Body</w:t>
      </w:r>
      <w:r w:rsidRPr="00916361">
        <w:rPr>
          <w:bCs/>
        </w:rPr>
        <w:t xml:space="preserve"> means a body established within government or empowered by government to designate CAB, suspend or withdraw their designation, or remove their suspension from designation;</w:t>
      </w:r>
    </w:p>
    <w:p w14:paraId="62FE51F6" w14:textId="64949924" w:rsidR="00916361" w:rsidRPr="00916361" w:rsidRDefault="00916361" w:rsidP="00CA54FC">
      <w:pPr>
        <w:numPr>
          <w:ilvl w:val="0"/>
          <w:numId w:val="13"/>
        </w:numPr>
        <w:rPr>
          <w:bCs/>
        </w:rPr>
      </w:pPr>
      <w:r w:rsidRPr="00916361">
        <w:rPr>
          <w:b/>
        </w:rPr>
        <w:t>designation</w:t>
      </w:r>
      <w:r w:rsidRPr="00916361">
        <w:rPr>
          <w:bCs/>
        </w:rPr>
        <w:t xml:space="preserve"> means governmental </w:t>
      </w:r>
      <w:proofErr w:type="spellStart"/>
      <w:r w:rsidRPr="00916361">
        <w:rPr>
          <w:bCs/>
        </w:rPr>
        <w:t>authorisation</w:t>
      </w:r>
      <w:proofErr w:type="spellEnd"/>
      <w:r w:rsidRPr="00916361">
        <w:rPr>
          <w:bCs/>
        </w:rPr>
        <w:t xml:space="preserve"> of a CAB to perform specified conformity assessment activities;</w:t>
      </w:r>
    </w:p>
    <w:p w14:paraId="4D1E397F" w14:textId="420C53DF" w:rsidR="00916361" w:rsidRPr="00916361" w:rsidRDefault="00916361" w:rsidP="00CA54FC">
      <w:pPr>
        <w:numPr>
          <w:ilvl w:val="0"/>
          <w:numId w:val="13"/>
        </w:numPr>
        <w:rPr>
          <w:bCs/>
        </w:rPr>
      </w:pPr>
      <w:r w:rsidRPr="00916361">
        <w:rPr>
          <w:b/>
        </w:rPr>
        <w:t>Listed CAB</w:t>
      </w:r>
      <w:r w:rsidRPr="00916361">
        <w:rPr>
          <w:bCs/>
        </w:rPr>
        <w:t xml:space="preserve"> means a locally owned or foreign CAB located in the territory of a Member State duly listed in accordance with the requirements of this Sectoral </w:t>
      </w:r>
      <w:r w:rsidRPr="00916361">
        <w:rPr>
          <w:b/>
        </w:rPr>
        <w:t>MRA·</w:t>
      </w:r>
    </w:p>
    <w:p w14:paraId="1B90958E" w14:textId="77777777" w:rsidR="00916361" w:rsidRPr="00916361" w:rsidRDefault="00916361" w:rsidP="00CA54FC">
      <w:pPr>
        <w:numPr>
          <w:ilvl w:val="0"/>
          <w:numId w:val="13"/>
        </w:numPr>
        <w:rPr>
          <w:bCs/>
        </w:rPr>
      </w:pPr>
      <w:r w:rsidRPr="00916361">
        <w:rPr>
          <w:b/>
        </w:rPr>
        <w:t>recognition of conformity assessment results</w:t>
      </w:r>
      <w:r w:rsidRPr="00916361">
        <w:rPr>
          <w:bCs/>
        </w:rPr>
        <w:t xml:space="preserve"> means acknowledgement of the validity of a conformity assessment result provided by another person or body;</w:t>
      </w:r>
    </w:p>
    <w:p w14:paraId="576297AF" w14:textId="6F313837" w:rsidR="00916361" w:rsidRDefault="00916361" w:rsidP="00CA54FC">
      <w:pPr>
        <w:numPr>
          <w:ilvl w:val="0"/>
          <w:numId w:val="13"/>
        </w:numPr>
        <w:rPr>
          <w:bCs/>
        </w:rPr>
      </w:pPr>
      <w:r w:rsidRPr="00916361">
        <w:rPr>
          <w:b/>
        </w:rPr>
        <w:t>Regulatory Authority</w:t>
      </w:r>
      <w:r w:rsidRPr="00916361">
        <w:rPr>
          <w:bCs/>
        </w:rPr>
        <w:t xml:space="preserve"> means an entity that has been granted a legal right to control the import, use, or sale of products within a Member State's jurisdiction which may take enforcement action to ensure that products marketed within its jurisdiction comply with legal requirements; and</w:t>
      </w:r>
    </w:p>
    <w:p w14:paraId="4E612B5F" w14:textId="77777777" w:rsidR="00CA54FC" w:rsidRPr="00916361" w:rsidRDefault="00CA54FC" w:rsidP="00CA54FC">
      <w:pPr>
        <w:ind w:left="724"/>
        <w:rPr>
          <w:bCs/>
        </w:rPr>
      </w:pPr>
    </w:p>
    <w:p w14:paraId="4430982D" w14:textId="002D2707" w:rsidR="009F07B2" w:rsidRPr="00A6601C" w:rsidRDefault="00916361" w:rsidP="00CA54FC">
      <w:pPr>
        <w:numPr>
          <w:ilvl w:val="0"/>
          <w:numId w:val="13"/>
        </w:numPr>
        <w:rPr>
          <w:bCs/>
        </w:rPr>
      </w:pPr>
      <w:r w:rsidRPr="00916361">
        <w:rPr>
          <w:b/>
        </w:rPr>
        <w:lastRenderedPageBreak/>
        <w:t xml:space="preserve">standard </w:t>
      </w:r>
      <w:r w:rsidRPr="00916361">
        <w:rPr>
          <w:bCs/>
        </w:rPr>
        <w:t>means a document approved by a recognised body, that provides, for common and repeated use, rules, guidelines or characteristics for products, or related processes and production methods, with which compliance is not mandatory. It may also include or deal exclusively with terminology, symbols, packaging, marking or labelling requirements as they apply to a product, process or production method.</w:t>
      </w:r>
    </w:p>
    <w:p w14:paraId="22F239E0" w14:textId="1AA5DFD7" w:rsidR="00916361" w:rsidRPr="00916361" w:rsidRDefault="00916361" w:rsidP="00916361">
      <w:pPr>
        <w:pStyle w:val="Heading1"/>
      </w:pPr>
      <w:bookmarkStart w:id="1" w:name="_Toc222494197"/>
      <w:r>
        <w:t xml:space="preserve">ARTICLE 2 </w:t>
      </w:r>
      <w:r>
        <w:br/>
        <w:t>OBJECTIVES</w:t>
      </w:r>
      <w:bookmarkEnd w:id="1"/>
    </w:p>
    <w:p w14:paraId="2D77A3B9" w14:textId="7B7EF15B" w:rsidR="009F07B2" w:rsidRDefault="00916361" w:rsidP="00916361">
      <w:pPr>
        <w:rPr>
          <w:bCs/>
        </w:rPr>
      </w:pPr>
      <w:r w:rsidRPr="00916361">
        <w:rPr>
          <w:bCs/>
        </w:rPr>
        <w:t>The objective of this Sectoral MRA is to enable the mutual recognition of test reports or certification of building and construction materials issued by the Listed CABs.</w:t>
      </w:r>
    </w:p>
    <w:p w14:paraId="0960BD9A" w14:textId="6BDCD7F7" w:rsidR="009F07B2" w:rsidRPr="00916361" w:rsidRDefault="009F07B2" w:rsidP="009F07B2">
      <w:pPr>
        <w:pStyle w:val="Heading1"/>
      </w:pPr>
      <w:bookmarkStart w:id="2" w:name="_Toc222494198"/>
      <w:r>
        <w:t xml:space="preserve">ARTICLE 3 </w:t>
      </w:r>
      <w:r>
        <w:br/>
        <w:t>SCOPE</w:t>
      </w:r>
      <w:bookmarkEnd w:id="2"/>
    </w:p>
    <w:p w14:paraId="37FFA74B" w14:textId="76506249" w:rsidR="009F07B2" w:rsidRDefault="009F07B2" w:rsidP="009F07B2">
      <w:pPr>
        <w:pStyle w:val="ListParagraph"/>
        <w:numPr>
          <w:ilvl w:val="0"/>
          <w:numId w:val="18"/>
        </w:numPr>
        <w:rPr>
          <w:bCs/>
        </w:rPr>
      </w:pPr>
      <w:r w:rsidRPr="009F07B2">
        <w:rPr>
          <w:bCs/>
        </w:rPr>
        <w:t>The scope of this Sectoral MRA is to facilitate mutual recognition of conformity assessment results of building and construction materials, as listed in Annex A on List of Building and Construction Materials within the Scope of this Sectoral MRA (hereinafter referred to as "Annex A").</w:t>
      </w:r>
    </w:p>
    <w:p w14:paraId="6E4D98D9" w14:textId="77777777" w:rsidR="009F07B2" w:rsidRDefault="009F07B2" w:rsidP="009F07B2">
      <w:pPr>
        <w:pStyle w:val="ListParagraph"/>
        <w:rPr>
          <w:bCs/>
        </w:rPr>
      </w:pPr>
    </w:p>
    <w:p w14:paraId="70EFB2CB" w14:textId="08543D51" w:rsidR="009F07B2" w:rsidRPr="00A6601C" w:rsidRDefault="009F07B2" w:rsidP="00A6601C">
      <w:pPr>
        <w:pStyle w:val="ListParagraph"/>
        <w:numPr>
          <w:ilvl w:val="0"/>
          <w:numId w:val="18"/>
        </w:numPr>
        <w:rPr>
          <w:bCs/>
        </w:rPr>
      </w:pPr>
      <w:r w:rsidRPr="009F07B2">
        <w:rPr>
          <w:bCs/>
        </w:rPr>
        <w:t>This Sectoral MRA applies to all instances where test reports or certifications are used as the basis for regulatory action in respect of building and construction materials.</w:t>
      </w:r>
    </w:p>
    <w:p w14:paraId="54C0ED6C" w14:textId="7056E660" w:rsidR="009F07B2" w:rsidRPr="009F07B2" w:rsidRDefault="009F07B2" w:rsidP="009F07B2">
      <w:pPr>
        <w:pStyle w:val="Heading1"/>
      </w:pPr>
      <w:bookmarkStart w:id="3" w:name="_Toc222494199"/>
      <w:r>
        <w:t xml:space="preserve">ARTICLE 4 </w:t>
      </w:r>
      <w:r>
        <w:br/>
        <w:t>GENERAL PROVISIONS</w:t>
      </w:r>
      <w:bookmarkEnd w:id="3"/>
    </w:p>
    <w:p w14:paraId="00C77034" w14:textId="77777777" w:rsidR="009F07B2" w:rsidRDefault="009F07B2" w:rsidP="009F07B2">
      <w:pPr>
        <w:pStyle w:val="ListParagraph"/>
        <w:numPr>
          <w:ilvl w:val="0"/>
          <w:numId w:val="19"/>
        </w:numPr>
        <w:rPr>
          <w:bCs/>
        </w:rPr>
      </w:pPr>
      <w:r w:rsidRPr="009F07B2">
        <w:rPr>
          <w:bCs/>
        </w:rPr>
        <w:t>Member States shall accept the test reports or certifications which have been issued by the Listed CABs.</w:t>
      </w:r>
    </w:p>
    <w:p w14:paraId="67B5703D" w14:textId="77777777" w:rsidR="009F07B2" w:rsidRDefault="009F07B2" w:rsidP="009F07B2">
      <w:pPr>
        <w:pStyle w:val="ListParagraph"/>
        <w:rPr>
          <w:bCs/>
        </w:rPr>
      </w:pPr>
    </w:p>
    <w:p w14:paraId="19B284A4" w14:textId="77777777" w:rsidR="009F07B2" w:rsidRDefault="009F07B2" w:rsidP="009F07B2">
      <w:pPr>
        <w:pStyle w:val="ListParagraph"/>
        <w:numPr>
          <w:ilvl w:val="0"/>
          <w:numId w:val="19"/>
        </w:numPr>
        <w:rPr>
          <w:bCs/>
        </w:rPr>
      </w:pPr>
      <w:r w:rsidRPr="009F07B2">
        <w:rPr>
          <w:bCs/>
        </w:rPr>
        <w:t>Where test reports or certifications have been issued in respect of Member States' products specifications of building and construction materials that have been imported, importing Member States retain the right to verify the conformity assessment results of building and construction materials.</w:t>
      </w:r>
    </w:p>
    <w:p w14:paraId="709737D4" w14:textId="77777777" w:rsidR="009F07B2" w:rsidRPr="009F07B2" w:rsidRDefault="009F07B2" w:rsidP="009F07B2">
      <w:pPr>
        <w:pStyle w:val="ListParagraph"/>
        <w:rPr>
          <w:bCs/>
        </w:rPr>
      </w:pPr>
    </w:p>
    <w:p w14:paraId="646CC4B7" w14:textId="77777777" w:rsidR="009F07B2" w:rsidRDefault="009F07B2" w:rsidP="009F07B2">
      <w:pPr>
        <w:pStyle w:val="ListParagraph"/>
        <w:numPr>
          <w:ilvl w:val="0"/>
          <w:numId w:val="19"/>
        </w:numPr>
        <w:rPr>
          <w:bCs/>
        </w:rPr>
      </w:pPr>
      <w:r w:rsidRPr="009F07B2">
        <w:rPr>
          <w:bCs/>
        </w:rPr>
        <w:t>In the absence of harmonised standards, a Member State seeking to export building and construction materials to an importing Member State shall comply with that importing Member State's standards.</w:t>
      </w:r>
    </w:p>
    <w:p w14:paraId="3BC38A94" w14:textId="77777777" w:rsidR="009F07B2" w:rsidRPr="009F07B2" w:rsidRDefault="009F07B2" w:rsidP="009F07B2">
      <w:pPr>
        <w:pStyle w:val="ListParagraph"/>
        <w:rPr>
          <w:bCs/>
        </w:rPr>
      </w:pPr>
    </w:p>
    <w:p w14:paraId="54065AA0" w14:textId="2D2CA85F" w:rsidR="009F07B2" w:rsidRPr="009F07B2" w:rsidRDefault="009F07B2" w:rsidP="009F07B2">
      <w:pPr>
        <w:pStyle w:val="ListParagraph"/>
        <w:numPr>
          <w:ilvl w:val="0"/>
          <w:numId w:val="19"/>
        </w:numPr>
        <w:rPr>
          <w:bCs/>
        </w:rPr>
      </w:pPr>
      <w:r w:rsidRPr="009F07B2">
        <w:rPr>
          <w:bCs/>
        </w:rPr>
        <w:t xml:space="preserve">Member States shall strengthen and enhance existing cooperation efforts in information exchange, through their contact points, concerning their regulatory requirements, conformity assessment procedures and regimes, and through confidence building, </w:t>
      </w:r>
      <w:r w:rsidRPr="009F07B2">
        <w:rPr>
          <w:bCs/>
          <w:i/>
          <w:iCs/>
        </w:rPr>
        <w:t>inter alia</w:t>
      </w:r>
      <w:r w:rsidRPr="009F07B2">
        <w:rPr>
          <w:bCs/>
        </w:rPr>
        <w:t>:</w:t>
      </w:r>
    </w:p>
    <w:p w14:paraId="2002DBFD" w14:textId="77777777" w:rsidR="00CA54FC" w:rsidRDefault="00CA54FC" w:rsidP="00CA54FC">
      <w:pPr>
        <w:pStyle w:val="ListParagraph"/>
        <w:ind w:left="1080"/>
        <w:rPr>
          <w:bCs/>
        </w:rPr>
      </w:pPr>
    </w:p>
    <w:p w14:paraId="5AC9CC62" w14:textId="77777777" w:rsidR="00CA54FC" w:rsidRDefault="009F07B2" w:rsidP="00CA54FC">
      <w:pPr>
        <w:pStyle w:val="ListParagraph"/>
        <w:numPr>
          <w:ilvl w:val="0"/>
          <w:numId w:val="34"/>
        </w:numPr>
        <w:ind w:left="720"/>
        <w:rPr>
          <w:bCs/>
        </w:rPr>
      </w:pPr>
      <w:r w:rsidRPr="00CA54FC">
        <w:rPr>
          <w:bCs/>
        </w:rPr>
        <w:t>establishment or improvement of technical infrastructure in calibration, testing, certification, and accreditation to meet relevant international requirements for building and construction materials;</w:t>
      </w:r>
    </w:p>
    <w:p w14:paraId="07475AC3" w14:textId="77777777" w:rsidR="00CA54FC" w:rsidRDefault="00CA54FC" w:rsidP="00CA54FC">
      <w:pPr>
        <w:pStyle w:val="ListParagraph"/>
        <w:rPr>
          <w:bCs/>
        </w:rPr>
      </w:pPr>
    </w:p>
    <w:p w14:paraId="41B8F93F" w14:textId="77777777" w:rsidR="00CA54FC" w:rsidRDefault="009F07B2" w:rsidP="00CA54FC">
      <w:pPr>
        <w:pStyle w:val="ListParagraph"/>
        <w:numPr>
          <w:ilvl w:val="0"/>
          <w:numId w:val="34"/>
        </w:numPr>
        <w:ind w:left="720"/>
        <w:rPr>
          <w:bCs/>
        </w:rPr>
      </w:pPr>
      <w:r w:rsidRPr="00CA54FC">
        <w:rPr>
          <w:bCs/>
        </w:rPr>
        <w:t>cooperation and participation in proficiency testing for building and construction materials; or</w:t>
      </w:r>
    </w:p>
    <w:p w14:paraId="703EAECA" w14:textId="77777777" w:rsidR="00CA54FC" w:rsidRPr="00CA54FC" w:rsidRDefault="00CA54FC" w:rsidP="00CA54FC">
      <w:pPr>
        <w:pStyle w:val="ListParagraph"/>
        <w:ind w:left="360"/>
        <w:rPr>
          <w:bCs/>
        </w:rPr>
      </w:pPr>
    </w:p>
    <w:p w14:paraId="1818AE0C" w14:textId="5A13B94F" w:rsidR="009F07B2" w:rsidRPr="00CA54FC" w:rsidRDefault="009F07B2" w:rsidP="00CA54FC">
      <w:pPr>
        <w:pStyle w:val="ListParagraph"/>
        <w:numPr>
          <w:ilvl w:val="0"/>
          <w:numId w:val="34"/>
        </w:numPr>
        <w:ind w:left="720"/>
        <w:rPr>
          <w:bCs/>
        </w:rPr>
      </w:pPr>
      <w:r w:rsidRPr="00CA54FC">
        <w:rPr>
          <w:bCs/>
        </w:rPr>
        <w:t>active participation in relevant arrangements undertaken by specialist regional and international bodies.</w:t>
      </w:r>
    </w:p>
    <w:p w14:paraId="33D68104" w14:textId="6EA12189" w:rsidR="009F07B2" w:rsidRDefault="009F07B2" w:rsidP="00CA54FC">
      <w:pPr>
        <w:pStyle w:val="ListParagraph"/>
        <w:numPr>
          <w:ilvl w:val="0"/>
          <w:numId w:val="19"/>
        </w:numPr>
        <w:rPr>
          <w:bCs/>
        </w:rPr>
      </w:pPr>
      <w:r w:rsidRPr="009F07B2">
        <w:rPr>
          <w:bCs/>
        </w:rPr>
        <w:lastRenderedPageBreak/>
        <w:t>If a document that is issued for the purpose of information exchange, verification, provision of evidence, and other activities arising from the obligations under this Sectoral MRA is not in English, it shall be translated into English.</w:t>
      </w:r>
    </w:p>
    <w:p w14:paraId="300DB9DB" w14:textId="79D95EB2" w:rsidR="009F07B2" w:rsidRPr="009F07B2" w:rsidRDefault="009F07B2" w:rsidP="009F07B2">
      <w:pPr>
        <w:pStyle w:val="Heading1"/>
      </w:pPr>
      <w:bookmarkStart w:id="4" w:name="_Toc222494200"/>
      <w:r>
        <w:t xml:space="preserve">ARTICLE 5 </w:t>
      </w:r>
      <w:r>
        <w:br/>
        <w:t>JOINT SECTORAL COMMITTEE</w:t>
      </w:r>
      <w:bookmarkEnd w:id="4"/>
    </w:p>
    <w:p w14:paraId="22402AF5" w14:textId="39404BBF" w:rsidR="009F07B2" w:rsidRDefault="009F07B2" w:rsidP="00CA54FC">
      <w:pPr>
        <w:pStyle w:val="ListParagraph"/>
        <w:numPr>
          <w:ilvl w:val="0"/>
          <w:numId w:val="35"/>
        </w:numPr>
        <w:rPr>
          <w:bCs/>
        </w:rPr>
      </w:pPr>
      <w:r w:rsidRPr="00CA54FC">
        <w:rPr>
          <w:bCs/>
        </w:rPr>
        <w:t>A Joint Sectoral Committee (hereinafter referred to as "JSC") shall be established and it shall be responsible for the effective functioning of this Sectoral MRA.</w:t>
      </w:r>
    </w:p>
    <w:p w14:paraId="34A7D600" w14:textId="77777777" w:rsidR="00CA54FC" w:rsidRPr="00CA54FC" w:rsidRDefault="00CA54FC" w:rsidP="00CA54FC">
      <w:pPr>
        <w:pStyle w:val="ListParagraph"/>
        <w:ind w:left="360"/>
        <w:rPr>
          <w:bCs/>
        </w:rPr>
      </w:pPr>
    </w:p>
    <w:p w14:paraId="12BCCE2A" w14:textId="0603DB5F" w:rsidR="009F07B2" w:rsidRDefault="009F07B2" w:rsidP="00CA54FC">
      <w:pPr>
        <w:pStyle w:val="ListParagraph"/>
        <w:numPr>
          <w:ilvl w:val="0"/>
          <w:numId w:val="35"/>
        </w:numPr>
        <w:rPr>
          <w:bCs/>
        </w:rPr>
      </w:pPr>
      <w:r w:rsidRPr="00CA54FC">
        <w:rPr>
          <w:bCs/>
        </w:rPr>
        <w:t>The JSC shall consist of a senior official representative from each Member State's Regulatory Authority. Member States without a Regulatory Authority, as defined in subparagraph (n) of Article 1, shall appoint an entity as the Regulatory Authority for the purposes of this Sectoral MRA. The representative may be accompanied by their delegation at meetings of the JSC.</w:t>
      </w:r>
    </w:p>
    <w:p w14:paraId="2ACDB6B7" w14:textId="77777777" w:rsidR="00CA54FC" w:rsidRPr="00CA54FC" w:rsidRDefault="00CA54FC" w:rsidP="00CA54FC">
      <w:pPr>
        <w:pStyle w:val="ListParagraph"/>
        <w:ind w:left="360"/>
        <w:rPr>
          <w:bCs/>
        </w:rPr>
      </w:pPr>
    </w:p>
    <w:p w14:paraId="0EB6B64E" w14:textId="462E612D" w:rsidR="009F07B2" w:rsidRDefault="009F07B2" w:rsidP="00CA54FC">
      <w:pPr>
        <w:pStyle w:val="ListParagraph"/>
        <w:numPr>
          <w:ilvl w:val="0"/>
          <w:numId w:val="35"/>
        </w:numPr>
        <w:rPr>
          <w:bCs/>
        </w:rPr>
      </w:pPr>
      <w:r w:rsidRPr="00CA54FC">
        <w:rPr>
          <w:bCs/>
        </w:rPr>
        <w:t>The JSC shall be responsible for the following:</w:t>
      </w:r>
    </w:p>
    <w:p w14:paraId="41D2E4C7" w14:textId="77777777" w:rsidR="00CA54FC" w:rsidRPr="00CA54FC" w:rsidRDefault="00CA54FC" w:rsidP="00CA54FC">
      <w:pPr>
        <w:pStyle w:val="ListParagraph"/>
        <w:ind w:left="360"/>
        <w:rPr>
          <w:bCs/>
        </w:rPr>
      </w:pPr>
    </w:p>
    <w:p w14:paraId="127C8543" w14:textId="4424CF94" w:rsidR="009F07B2" w:rsidRPr="009F07B2" w:rsidRDefault="009F07B2" w:rsidP="00CA54FC">
      <w:pPr>
        <w:pStyle w:val="ListParagraph"/>
        <w:numPr>
          <w:ilvl w:val="0"/>
          <w:numId w:val="36"/>
        </w:numPr>
        <w:rPr>
          <w:bCs/>
        </w:rPr>
      </w:pPr>
      <w:r w:rsidRPr="009F07B2">
        <w:rPr>
          <w:bCs/>
        </w:rPr>
        <w:t xml:space="preserve">identifying and </w:t>
      </w:r>
      <w:proofErr w:type="gramStart"/>
      <w:r w:rsidRPr="009F07B2">
        <w:rPr>
          <w:bCs/>
        </w:rPr>
        <w:t>listing of</w:t>
      </w:r>
      <w:proofErr w:type="gramEnd"/>
      <w:r w:rsidRPr="009F07B2">
        <w:rPr>
          <w:bCs/>
        </w:rPr>
        <w:t xml:space="preserve"> standards for specific products;</w:t>
      </w:r>
    </w:p>
    <w:p w14:paraId="5875DECE" w14:textId="77777777" w:rsidR="00CA54FC" w:rsidRDefault="00CA54FC" w:rsidP="00CA54FC">
      <w:pPr>
        <w:pStyle w:val="ListParagraph"/>
        <w:rPr>
          <w:bCs/>
        </w:rPr>
      </w:pPr>
    </w:p>
    <w:p w14:paraId="7D5530A6" w14:textId="59777FFC" w:rsidR="009F07B2" w:rsidRPr="009F07B2" w:rsidRDefault="009F07B2" w:rsidP="00CA54FC">
      <w:pPr>
        <w:pStyle w:val="ListParagraph"/>
        <w:numPr>
          <w:ilvl w:val="0"/>
          <w:numId w:val="36"/>
        </w:numPr>
        <w:rPr>
          <w:bCs/>
        </w:rPr>
      </w:pPr>
      <w:r w:rsidRPr="009F07B2">
        <w:rPr>
          <w:bCs/>
        </w:rPr>
        <w:t>listing, suspending, removing, and verifying the technical competence of CABs in accordance with Annex B on Procedures and Requirements Relating to Listing, Suspension, Removal, Verification, and</w:t>
      </w:r>
      <w:r>
        <w:rPr>
          <w:bCs/>
        </w:rPr>
        <w:t xml:space="preserve"> </w:t>
      </w:r>
      <w:r w:rsidRPr="009F07B2">
        <w:rPr>
          <w:bCs/>
        </w:rPr>
        <w:t>Technical Competence of CABs (hereinafter referred to as "Annex B");</w:t>
      </w:r>
    </w:p>
    <w:p w14:paraId="7F6787DA" w14:textId="77777777" w:rsidR="00CA54FC" w:rsidRDefault="00CA54FC" w:rsidP="00CA54FC">
      <w:pPr>
        <w:pStyle w:val="ListParagraph"/>
        <w:rPr>
          <w:bCs/>
        </w:rPr>
      </w:pPr>
    </w:p>
    <w:p w14:paraId="32084D53" w14:textId="15DAA137" w:rsidR="009F07B2" w:rsidRPr="009F07B2" w:rsidRDefault="009F07B2" w:rsidP="00CA54FC">
      <w:pPr>
        <w:pStyle w:val="ListParagraph"/>
        <w:numPr>
          <w:ilvl w:val="0"/>
          <w:numId w:val="36"/>
        </w:numPr>
        <w:rPr>
          <w:bCs/>
        </w:rPr>
      </w:pPr>
      <w:r w:rsidRPr="009F07B2">
        <w:rPr>
          <w:bCs/>
        </w:rPr>
        <w:t>providing a forum for discussion of issues that may arise concerning the implementation of this Sectoral MRA·</w:t>
      </w:r>
    </w:p>
    <w:p w14:paraId="48902D8D" w14:textId="77777777" w:rsidR="00CA54FC" w:rsidRDefault="00CA54FC" w:rsidP="00CA54FC">
      <w:pPr>
        <w:pStyle w:val="ListParagraph"/>
        <w:rPr>
          <w:bCs/>
        </w:rPr>
      </w:pPr>
    </w:p>
    <w:p w14:paraId="038B34D5" w14:textId="70780CCE" w:rsidR="009F07B2" w:rsidRPr="009F07B2" w:rsidRDefault="009F07B2" w:rsidP="00CA54FC">
      <w:pPr>
        <w:pStyle w:val="ListParagraph"/>
        <w:numPr>
          <w:ilvl w:val="0"/>
          <w:numId w:val="36"/>
        </w:numPr>
        <w:rPr>
          <w:bCs/>
        </w:rPr>
      </w:pPr>
      <w:r w:rsidRPr="009F07B2">
        <w:rPr>
          <w:bCs/>
        </w:rPr>
        <w:t xml:space="preserve">proposing amendments to the </w:t>
      </w:r>
      <w:proofErr w:type="spellStart"/>
      <w:r w:rsidRPr="009F07B2">
        <w:rPr>
          <w:bCs/>
        </w:rPr>
        <w:t>provIsIons</w:t>
      </w:r>
      <w:proofErr w:type="spellEnd"/>
      <w:r w:rsidRPr="009F07B2">
        <w:rPr>
          <w:bCs/>
        </w:rPr>
        <w:t xml:space="preserve"> of this Sectoral MRA, including its Annexes, and proposing additional annexes;</w:t>
      </w:r>
    </w:p>
    <w:p w14:paraId="7F169EB0" w14:textId="77777777" w:rsidR="00CA54FC" w:rsidRDefault="00CA54FC" w:rsidP="00CA54FC">
      <w:pPr>
        <w:pStyle w:val="ListParagraph"/>
        <w:rPr>
          <w:bCs/>
        </w:rPr>
      </w:pPr>
    </w:p>
    <w:p w14:paraId="0E769464" w14:textId="3DCD111F" w:rsidR="009F07B2" w:rsidRPr="009F07B2" w:rsidRDefault="009F07B2" w:rsidP="00CA54FC">
      <w:pPr>
        <w:pStyle w:val="ListParagraph"/>
        <w:numPr>
          <w:ilvl w:val="0"/>
          <w:numId w:val="36"/>
        </w:numPr>
        <w:rPr>
          <w:bCs/>
        </w:rPr>
      </w:pPr>
      <w:r w:rsidRPr="009F07B2">
        <w:rPr>
          <w:bCs/>
        </w:rPr>
        <w:t>considering ways to enhance the operation of this Sectoral MRA;</w:t>
      </w:r>
    </w:p>
    <w:p w14:paraId="2D4D4D4F" w14:textId="77777777" w:rsidR="00CA54FC" w:rsidRDefault="00CA54FC" w:rsidP="00CA54FC">
      <w:pPr>
        <w:pStyle w:val="ListParagraph"/>
        <w:rPr>
          <w:bCs/>
        </w:rPr>
      </w:pPr>
    </w:p>
    <w:p w14:paraId="643EC43D" w14:textId="21D2C146" w:rsidR="009F07B2" w:rsidRPr="009F07B2" w:rsidRDefault="009F07B2" w:rsidP="00CA54FC">
      <w:pPr>
        <w:pStyle w:val="ListParagraph"/>
        <w:numPr>
          <w:ilvl w:val="0"/>
          <w:numId w:val="36"/>
        </w:numPr>
        <w:rPr>
          <w:bCs/>
        </w:rPr>
      </w:pPr>
      <w:r w:rsidRPr="009F07B2">
        <w:rPr>
          <w:bCs/>
        </w:rPr>
        <w:t>formulating its own rules and procedures; and</w:t>
      </w:r>
    </w:p>
    <w:p w14:paraId="2FEFB0E8" w14:textId="77777777" w:rsidR="00CA54FC" w:rsidRDefault="00CA54FC" w:rsidP="00CA54FC">
      <w:pPr>
        <w:pStyle w:val="ListParagraph"/>
        <w:rPr>
          <w:bCs/>
        </w:rPr>
      </w:pPr>
    </w:p>
    <w:p w14:paraId="56FB3166" w14:textId="099B8FFE" w:rsidR="009F07B2" w:rsidRPr="009F07B2" w:rsidRDefault="009F07B2" w:rsidP="00CA54FC">
      <w:pPr>
        <w:pStyle w:val="ListParagraph"/>
        <w:numPr>
          <w:ilvl w:val="0"/>
          <w:numId w:val="36"/>
        </w:numPr>
        <w:rPr>
          <w:bCs/>
        </w:rPr>
      </w:pPr>
      <w:r w:rsidRPr="009F07B2">
        <w:rPr>
          <w:bCs/>
        </w:rPr>
        <w:t xml:space="preserve">considering any other matters and taking appropriate </w:t>
      </w:r>
      <w:proofErr w:type="gramStart"/>
      <w:r w:rsidRPr="009F07B2">
        <w:rPr>
          <w:bCs/>
        </w:rPr>
        <w:t>actions</w:t>
      </w:r>
      <w:proofErr w:type="gramEnd"/>
      <w:r w:rsidRPr="009F07B2">
        <w:rPr>
          <w:bCs/>
        </w:rPr>
        <w:t xml:space="preserve"> relating to the effective functioning of this Sectoral MRA.</w:t>
      </w:r>
    </w:p>
    <w:p w14:paraId="53F97043" w14:textId="77777777" w:rsidR="00CA54FC" w:rsidRDefault="00CA54FC" w:rsidP="00CA54FC">
      <w:pPr>
        <w:pStyle w:val="ListParagraph"/>
        <w:ind w:left="360"/>
        <w:rPr>
          <w:bCs/>
        </w:rPr>
      </w:pPr>
    </w:p>
    <w:p w14:paraId="56ECB27D" w14:textId="0A3CA7AE" w:rsidR="009F07B2" w:rsidRDefault="009F07B2" w:rsidP="00CA54FC">
      <w:pPr>
        <w:pStyle w:val="ListParagraph"/>
        <w:numPr>
          <w:ilvl w:val="0"/>
          <w:numId w:val="35"/>
        </w:numPr>
        <w:rPr>
          <w:bCs/>
        </w:rPr>
      </w:pPr>
      <w:r w:rsidRPr="009F07B2">
        <w:rPr>
          <w:bCs/>
        </w:rPr>
        <w:t>The JSC shall endeavour to meet at least once a year to discharge its duties and responsibilities. Decisions of the JSC shall be made by consensus.</w:t>
      </w:r>
    </w:p>
    <w:p w14:paraId="28DFD273" w14:textId="2C81816E" w:rsidR="009F07B2" w:rsidRPr="009F07B2" w:rsidRDefault="009F07B2" w:rsidP="009F07B2">
      <w:pPr>
        <w:pStyle w:val="Heading1"/>
      </w:pPr>
      <w:bookmarkStart w:id="5" w:name="_Toc222494201"/>
      <w:r>
        <w:t xml:space="preserve">ARTICLE 6 </w:t>
      </w:r>
      <w:r>
        <w:br/>
      </w:r>
      <w:r w:rsidRPr="009F07B2">
        <w:t>DESIGNATING BODY</w:t>
      </w:r>
      <w:bookmarkEnd w:id="5"/>
    </w:p>
    <w:p w14:paraId="6C24AE0A" w14:textId="5ABD72B0" w:rsidR="009F07B2" w:rsidRPr="00BD6091" w:rsidRDefault="009F07B2" w:rsidP="00BD6091">
      <w:pPr>
        <w:pStyle w:val="ListParagraph"/>
        <w:numPr>
          <w:ilvl w:val="0"/>
          <w:numId w:val="38"/>
        </w:numPr>
        <w:rPr>
          <w:bCs/>
        </w:rPr>
      </w:pPr>
      <w:r w:rsidRPr="00BD6091">
        <w:rPr>
          <w:bCs/>
        </w:rPr>
        <w:t>Member States shall identify and notify the ASEAN Secretariat of the names of their respective Designating Body and update the ASEAN Secretariat of any changes.</w:t>
      </w:r>
    </w:p>
    <w:p w14:paraId="0569B95D" w14:textId="77777777" w:rsidR="00BD6091" w:rsidRDefault="00BD6091" w:rsidP="00BD6091">
      <w:pPr>
        <w:pStyle w:val="ListParagraph"/>
        <w:ind w:left="360"/>
        <w:rPr>
          <w:bCs/>
        </w:rPr>
      </w:pPr>
    </w:p>
    <w:p w14:paraId="224BFF72" w14:textId="77777777" w:rsidR="00034442" w:rsidRDefault="009F07B2" w:rsidP="00034442">
      <w:pPr>
        <w:pStyle w:val="ListParagraph"/>
        <w:numPr>
          <w:ilvl w:val="0"/>
          <w:numId w:val="38"/>
        </w:numPr>
        <w:rPr>
          <w:bCs/>
        </w:rPr>
      </w:pPr>
      <w:r w:rsidRPr="009F07B2">
        <w:rPr>
          <w:bCs/>
        </w:rPr>
        <w:t xml:space="preserve">Member States shall ensure that their respective Designating Body has the authority and competence in their respective territories to carry out their obligations required under this Sectoral </w:t>
      </w:r>
      <w:r w:rsidRPr="00BD6091">
        <w:rPr>
          <w:bCs/>
        </w:rPr>
        <w:t>MRA</w:t>
      </w:r>
      <w:r w:rsidRPr="009F07B2">
        <w:rPr>
          <w:bCs/>
        </w:rPr>
        <w:t>.</w:t>
      </w:r>
    </w:p>
    <w:p w14:paraId="5893855D" w14:textId="77777777" w:rsidR="00034442" w:rsidRPr="00034442" w:rsidRDefault="00034442" w:rsidP="00034442">
      <w:pPr>
        <w:pStyle w:val="ListParagraph"/>
        <w:rPr>
          <w:bCs/>
        </w:rPr>
      </w:pPr>
    </w:p>
    <w:p w14:paraId="0B4C0F87" w14:textId="77777777" w:rsidR="00034442" w:rsidRDefault="009F07B2" w:rsidP="00034442">
      <w:pPr>
        <w:pStyle w:val="ListParagraph"/>
        <w:numPr>
          <w:ilvl w:val="0"/>
          <w:numId w:val="38"/>
        </w:numPr>
        <w:rPr>
          <w:bCs/>
        </w:rPr>
      </w:pPr>
      <w:r w:rsidRPr="00034442">
        <w:rPr>
          <w:bCs/>
        </w:rPr>
        <w:lastRenderedPageBreak/>
        <w:t>The Designating Body shall regularly monitor the Listed CABs in accordance with the provisions of this Sectoral MRA to ensure that they are capable and remain capable of properly assessing conformity of products or processes, as applicable, and as covered in this Sectoral MRA.</w:t>
      </w:r>
    </w:p>
    <w:p w14:paraId="7FFC766C" w14:textId="77777777" w:rsidR="00034442" w:rsidRPr="00034442" w:rsidRDefault="00034442" w:rsidP="00034442">
      <w:pPr>
        <w:pStyle w:val="ListParagraph"/>
        <w:rPr>
          <w:bCs/>
        </w:rPr>
      </w:pPr>
    </w:p>
    <w:p w14:paraId="5904E8C8" w14:textId="35369DAF" w:rsidR="009F07B2" w:rsidRPr="00034442" w:rsidRDefault="009F07B2" w:rsidP="00034442">
      <w:pPr>
        <w:pStyle w:val="ListParagraph"/>
        <w:numPr>
          <w:ilvl w:val="0"/>
          <w:numId w:val="38"/>
        </w:numPr>
        <w:rPr>
          <w:bCs/>
        </w:rPr>
      </w:pPr>
      <w:r w:rsidRPr="00034442">
        <w:rPr>
          <w:bCs/>
        </w:rPr>
        <w:t>The Regulatory Authority shall consult with the relevant Designating Body to ensure that all technical requirements identified in this Sectoral MRA are satisfactorily addressed.</w:t>
      </w:r>
    </w:p>
    <w:p w14:paraId="3FFF0CF8" w14:textId="40D92F13" w:rsidR="009F07B2" w:rsidRPr="009F07B2" w:rsidRDefault="009F07B2" w:rsidP="009F07B2">
      <w:pPr>
        <w:pStyle w:val="Heading1"/>
      </w:pPr>
      <w:bookmarkStart w:id="6" w:name="_Toc222494202"/>
      <w:r>
        <w:t xml:space="preserve">ARTICLE 7 </w:t>
      </w:r>
      <w:r>
        <w:br/>
      </w:r>
      <w:r w:rsidRPr="009F07B2">
        <w:t>CONFORMITY ASSESSMENT BODIES</w:t>
      </w:r>
      <w:bookmarkEnd w:id="6"/>
    </w:p>
    <w:p w14:paraId="166C1D1B" w14:textId="77777777" w:rsidR="00034442" w:rsidRDefault="009F07B2" w:rsidP="00034442">
      <w:pPr>
        <w:pStyle w:val="ListParagraph"/>
        <w:numPr>
          <w:ilvl w:val="0"/>
          <w:numId w:val="39"/>
        </w:numPr>
        <w:rPr>
          <w:bCs/>
        </w:rPr>
      </w:pPr>
      <w:r w:rsidRPr="00034442">
        <w:rPr>
          <w:bCs/>
        </w:rPr>
        <w:t>The procedures and requirements relating to listing, suspension, removal, verification, and technical competence of CABs shall be in accordance with Annex B.</w:t>
      </w:r>
    </w:p>
    <w:p w14:paraId="7FE93B1D" w14:textId="77777777" w:rsidR="00034442" w:rsidRDefault="00034442" w:rsidP="00034442">
      <w:pPr>
        <w:pStyle w:val="ListParagraph"/>
        <w:ind w:left="360"/>
        <w:rPr>
          <w:bCs/>
        </w:rPr>
      </w:pPr>
    </w:p>
    <w:p w14:paraId="675E652A" w14:textId="4CA5638F" w:rsidR="009F07B2" w:rsidRPr="00034442" w:rsidRDefault="009F07B2" w:rsidP="00034442">
      <w:pPr>
        <w:pStyle w:val="ListParagraph"/>
        <w:numPr>
          <w:ilvl w:val="0"/>
          <w:numId w:val="39"/>
        </w:numPr>
        <w:rPr>
          <w:bCs/>
        </w:rPr>
      </w:pPr>
      <w:r w:rsidRPr="00034442">
        <w:rPr>
          <w:bCs/>
        </w:rPr>
        <w:t>The approved CABs shall be listed in Annex C on Listed Conformity Assessment Bodies (hereinafter referred to as "Annex C") and shall be updated by the ASEAN Secretariat.</w:t>
      </w:r>
    </w:p>
    <w:p w14:paraId="03DDE0B6" w14:textId="3FF56297" w:rsidR="009F07B2" w:rsidRPr="009F07B2" w:rsidRDefault="009F07B2" w:rsidP="009F07B2">
      <w:pPr>
        <w:pStyle w:val="Heading1"/>
      </w:pPr>
      <w:bookmarkStart w:id="7" w:name="_Toc222494203"/>
      <w:r>
        <w:t xml:space="preserve">ARTICLE 8 </w:t>
      </w:r>
      <w:r>
        <w:br/>
      </w:r>
      <w:r w:rsidRPr="009F07B2">
        <w:t>PRESERVATION OF REGULATORY AUTHORITY</w:t>
      </w:r>
      <w:bookmarkEnd w:id="7"/>
    </w:p>
    <w:p w14:paraId="61813361" w14:textId="2183A172" w:rsidR="009F07B2" w:rsidRPr="00034442" w:rsidRDefault="009F07B2" w:rsidP="00034442">
      <w:pPr>
        <w:pStyle w:val="ListParagraph"/>
        <w:numPr>
          <w:ilvl w:val="0"/>
          <w:numId w:val="40"/>
        </w:numPr>
        <w:rPr>
          <w:bCs/>
        </w:rPr>
      </w:pPr>
      <w:r w:rsidRPr="00034442">
        <w:rPr>
          <w:bCs/>
        </w:rPr>
        <w:t>Nothing in this Sectoral MRA shall be construed to limit the authority of a Member State to determine, through its legislative, regulatory, and administrative measures, the level of protection it considers appropriate for:</w:t>
      </w:r>
    </w:p>
    <w:p w14:paraId="029ED503" w14:textId="386496C5" w:rsidR="009F07B2" w:rsidRPr="009F07B2" w:rsidRDefault="009F07B2" w:rsidP="009F07B2">
      <w:pPr>
        <w:ind w:left="360"/>
        <w:rPr>
          <w:bCs/>
        </w:rPr>
      </w:pPr>
      <w:r w:rsidRPr="009F07B2">
        <w:rPr>
          <w:bCs/>
        </w:rPr>
        <w:t>(a)</w:t>
      </w:r>
      <w:r w:rsidRPr="009F07B2">
        <w:rPr>
          <w:bCs/>
        </w:rPr>
        <w:tab/>
        <w:t>safety;</w:t>
      </w:r>
    </w:p>
    <w:p w14:paraId="225E7C54" w14:textId="77777777" w:rsidR="009F07B2" w:rsidRPr="009F07B2" w:rsidRDefault="009F07B2" w:rsidP="009F07B2">
      <w:pPr>
        <w:ind w:left="360"/>
        <w:rPr>
          <w:bCs/>
        </w:rPr>
      </w:pPr>
      <w:r w:rsidRPr="009F07B2">
        <w:rPr>
          <w:bCs/>
        </w:rPr>
        <w:t>(b)</w:t>
      </w:r>
      <w:r w:rsidRPr="009F07B2">
        <w:rPr>
          <w:bCs/>
        </w:rPr>
        <w:tab/>
        <w:t xml:space="preserve">protection of </w:t>
      </w:r>
      <w:proofErr w:type="gramStart"/>
      <w:r w:rsidRPr="009F07B2">
        <w:rPr>
          <w:bCs/>
        </w:rPr>
        <w:t>human</w:t>
      </w:r>
      <w:proofErr w:type="gramEnd"/>
      <w:r w:rsidRPr="009F07B2">
        <w:rPr>
          <w:bCs/>
        </w:rPr>
        <w:t xml:space="preserve">, </w:t>
      </w:r>
      <w:proofErr w:type="gramStart"/>
      <w:r w:rsidRPr="009F07B2">
        <w:rPr>
          <w:bCs/>
        </w:rPr>
        <w:t>animal</w:t>
      </w:r>
      <w:proofErr w:type="gramEnd"/>
      <w:r w:rsidRPr="009F07B2">
        <w:rPr>
          <w:bCs/>
        </w:rPr>
        <w:t>, or plant life or health;</w:t>
      </w:r>
    </w:p>
    <w:p w14:paraId="128C0E49" w14:textId="5CC7E5B7" w:rsidR="009F07B2" w:rsidRPr="009F07B2" w:rsidRDefault="009F07B2" w:rsidP="009F07B2">
      <w:pPr>
        <w:ind w:left="360"/>
        <w:rPr>
          <w:bCs/>
        </w:rPr>
      </w:pPr>
      <w:r w:rsidRPr="009F07B2">
        <w:rPr>
          <w:bCs/>
        </w:rPr>
        <w:t>(c)</w:t>
      </w:r>
      <w:r w:rsidRPr="009F07B2">
        <w:rPr>
          <w:bCs/>
        </w:rPr>
        <w:tab/>
        <w:t>the environment; and</w:t>
      </w:r>
    </w:p>
    <w:p w14:paraId="5BAA4FEE" w14:textId="7BC48A93" w:rsidR="009F07B2" w:rsidRPr="009F07B2" w:rsidRDefault="009F07B2" w:rsidP="009F07B2">
      <w:pPr>
        <w:ind w:left="360"/>
        <w:rPr>
          <w:bCs/>
        </w:rPr>
      </w:pPr>
      <w:r w:rsidRPr="009F07B2">
        <w:rPr>
          <w:bCs/>
        </w:rPr>
        <w:t>(d)</w:t>
      </w:r>
      <w:r w:rsidRPr="009F07B2">
        <w:rPr>
          <w:bCs/>
        </w:rPr>
        <w:tab/>
        <w:t>consumers.</w:t>
      </w:r>
    </w:p>
    <w:p w14:paraId="57FBF862" w14:textId="4D8EC9D8" w:rsidR="009F07B2" w:rsidRDefault="009F07B2" w:rsidP="00034442">
      <w:pPr>
        <w:pStyle w:val="ListParagraph"/>
        <w:numPr>
          <w:ilvl w:val="0"/>
          <w:numId w:val="40"/>
        </w:numPr>
        <w:rPr>
          <w:bCs/>
        </w:rPr>
      </w:pPr>
      <w:r w:rsidRPr="009F07B2">
        <w:rPr>
          <w:bCs/>
        </w:rPr>
        <w:t>Nothing in this Sectoral MRA shall be construed to limit the authority of a Regulatory Authority to take all appropriate and immediate measures whenever it ascertains that the building and construction materials may:</w:t>
      </w:r>
    </w:p>
    <w:p w14:paraId="0D615B95" w14:textId="77777777" w:rsidR="00034442" w:rsidRPr="009F07B2" w:rsidRDefault="00034442" w:rsidP="00034442">
      <w:pPr>
        <w:pStyle w:val="ListParagraph"/>
        <w:ind w:left="360"/>
        <w:rPr>
          <w:bCs/>
        </w:rPr>
      </w:pPr>
    </w:p>
    <w:p w14:paraId="27589384" w14:textId="77777777" w:rsidR="00034442" w:rsidRDefault="009F07B2" w:rsidP="00034442">
      <w:pPr>
        <w:pStyle w:val="ListParagraph"/>
        <w:numPr>
          <w:ilvl w:val="0"/>
          <w:numId w:val="41"/>
        </w:numPr>
        <w:rPr>
          <w:bCs/>
        </w:rPr>
      </w:pPr>
      <w:proofErr w:type="gramStart"/>
      <w:r w:rsidRPr="00034442">
        <w:rPr>
          <w:bCs/>
        </w:rPr>
        <w:t>compromise</w:t>
      </w:r>
      <w:proofErr w:type="gramEnd"/>
      <w:r w:rsidRPr="00034442">
        <w:rPr>
          <w:bCs/>
        </w:rPr>
        <w:t xml:space="preserve"> the health or safety of </w:t>
      </w:r>
      <w:proofErr w:type="gramStart"/>
      <w:r w:rsidRPr="00034442">
        <w:rPr>
          <w:bCs/>
        </w:rPr>
        <w:t>persons</w:t>
      </w:r>
      <w:proofErr w:type="gramEnd"/>
      <w:r w:rsidRPr="00034442">
        <w:rPr>
          <w:bCs/>
        </w:rPr>
        <w:t xml:space="preserve"> in its territory;</w:t>
      </w:r>
    </w:p>
    <w:p w14:paraId="40499019" w14:textId="77777777" w:rsidR="00034442" w:rsidRDefault="00034442" w:rsidP="00034442">
      <w:pPr>
        <w:pStyle w:val="ListParagraph"/>
        <w:rPr>
          <w:bCs/>
        </w:rPr>
      </w:pPr>
    </w:p>
    <w:p w14:paraId="50B0DCA9" w14:textId="77777777" w:rsidR="00034442" w:rsidRDefault="009F07B2" w:rsidP="00034442">
      <w:pPr>
        <w:pStyle w:val="ListParagraph"/>
        <w:numPr>
          <w:ilvl w:val="0"/>
          <w:numId w:val="41"/>
        </w:numPr>
        <w:rPr>
          <w:bCs/>
        </w:rPr>
      </w:pPr>
      <w:r w:rsidRPr="00034442">
        <w:rPr>
          <w:bCs/>
        </w:rPr>
        <w:t>not meet the legislative, regulatory, or administrative provisions within the scope of this Sectoral MRA; or</w:t>
      </w:r>
    </w:p>
    <w:p w14:paraId="2C0E0E72" w14:textId="77777777" w:rsidR="00034442" w:rsidRPr="00034442" w:rsidRDefault="00034442" w:rsidP="00034442">
      <w:pPr>
        <w:pStyle w:val="ListParagraph"/>
        <w:rPr>
          <w:bCs/>
        </w:rPr>
      </w:pPr>
    </w:p>
    <w:p w14:paraId="7BF4E9DF" w14:textId="2E3C0C4E" w:rsidR="009F07B2" w:rsidRPr="00034442" w:rsidRDefault="009F07B2" w:rsidP="00034442">
      <w:pPr>
        <w:pStyle w:val="ListParagraph"/>
        <w:numPr>
          <w:ilvl w:val="0"/>
          <w:numId w:val="41"/>
        </w:numPr>
        <w:rPr>
          <w:bCs/>
        </w:rPr>
      </w:pPr>
      <w:r w:rsidRPr="00034442">
        <w:rPr>
          <w:bCs/>
        </w:rPr>
        <w:t xml:space="preserve">otherwise </w:t>
      </w:r>
      <w:proofErr w:type="gramStart"/>
      <w:r w:rsidRPr="00034442">
        <w:rPr>
          <w:bCs/>
        </w:rPr>
        <w:t>fail</w:t>
      </w:r>
      <w:proofErr w:type="gramEnd"/>
      <w:r w:rsidRPr="00034442">
        <w:rPr>
          <w:bCs/>
        </w:rPr>
        <w:t xml:space="preserve"> to satisfy a requirement within the scope of this Sectoral MRA.</w:t>
      </w:r>
    </w:p>
    <w:p w14:paraId="6C708969" w14:textId="77777777" w:rsidR="00034442" w:rsidRDefault="00034442" w:rsidP="00034442">
      <w:pPr>
        <w:pStyle w:val="ListParagraph"/>
        <w:ind w:left="360"/>
        <w:rPr>
          <w:bCs/>
        </w:rPr>
      </w:pPr>
    </w:p>
    <w:p w14:paraId="1333B6B7" w14:textId="7BB867BC" w:rsidR="00445484" w:rsidRDefault="009F07B2" w:rsidP="00034442">
      <w:pPr>
        <w:pStyle w:val="ListParagraph"/>
        <w:numPr>
          <w:ilvl w:val="0"/>
          <w:numId w:val="40"/>
        </w:numPr>
        <w:rPr>
          <w:bCs/>
        </w:rPr>
      </w:pPr>
      <w:r w:rsidRPr="009F07B2">
        <w:rPr>
          <w:bCs/>
        </w:rPr>
        <w:t>If the Regulatory Authority takes such measures, it shall inform other Member States' Regulatory Authorities of the measures taken and it shall provide the reasons for taking such measures in a timely manner.</w:t>
      </w:r>
    </w:p>
    <w:p w14:paraId="6D99DBD3" w14:textId="3CA86595" w:rsidR="009F07B2" w:rsidRPr="009F07B2" w:rsidRDefault="00445484" w:rsidP="00445484">
      <w:pPr>
        <w:pStyle w:val="Heading1"/>
      </w:pPr>
      <w:bookmarkStart w:id="8" w:name="_Toc222494204"/>
      <w:r>
        <w:t xml:space="preserve">ARTICLE 9 </w:t>
      </w:r>
      <w:r>
        <w:br/>
      </w:r>
      <w:r w:rsidRPr="00445484">
        <w:t>CONFIDENTIALITY</w:t>
      </w:r>
      <w:bookmarkEnd w:id="8"/>
    </w:p>
    <w:p w14:paraId="35B484BB" w14:textId="77777777" w:rsidR="00FD7D21" w:rsidRDefault="009F07B2" w:rsidP="00FD7D21">
      <w:pPr>
        <w:pStyle w:val="ListParagraph"/>
        <w:numPr>
          <w:ilvl w:val="0"/>
          <w:numId w:val="42"/>
        </w:numPr>
        <w:rPr>
          <w:bCs/>
        </w:rPr>
      </w:pPr>
      <w:r w:rsidRPr="00FD7D21">
        <w:rPr>
          <w:bCs/>
        </w:rPr>
        <w:t xml:space="preserve">Member States shall maintain, to the extent permitted under </w:t>
      </w:r>
      <w:proofErr w:type="gramStart"/>
      <w:r w:rsidRPr="00FD7D21">
        <w:rPr>
          <w:bCs/>
        </w:rPr>
        <w:t>its</w:t>
      </w:r>
      <w:proofErr w:type="gramEnd"/>
      <w:r w:rsidRPr="00FD7D21">
        <w:rPr>
          <w:bCs/>
        </w:rPr>
        <w:t xml:space="preserve"> laws and regulations, the confidentiality of information exchanged under this Sectoral MRA.</w:t>
      </w:r>
    </w:p>
    <w:p w14:paraId="76A92076" w14:textId="77777777" w:rsidR="00FD7D21" w:rsidRDefault="00FD7D21" w:rsidP="00FD7D21">
      <w:pPr>
        <w:pStyle w:val="ListParagraph"/>
        <w:ind w:left="360"/>
        <w:rPr>
          <w:bCs/>
        </w:rPr>
      </w:pPr>
    </w:p>
    <w:p w14:paraId="7698A7FB" w14:textId="6954D62B" w:rsidR="00445484" w:rsidRPr="00FD7D21" w:rsidRDefault="009F07B2" w:rsidP="00FD7D21">
      <w:pPr>
        <w:pStyle w:val="ListParagraph"/>
        <w:numPr>
          <w:ilvl w:val="0"/>
          <w:numId w:val="42"/>
        </w:numPr>
        <w:rPr>
          <w:bCs/>
        </w:rPr>
      </w:pPr>
      <w:r w:rsidRPr="00FD7D21">
        <w:rPr>
          <w:bCs/>
        </w:rPr>
        <w:t xml:space="preserve">Member States shall take all precautions reasonably necessary to protect information exchanged under this Sectoral MRA from </w:t>
      </w:r>
      <w:proofErr w:type="spellStart"/>
      <w:r w:rsidRPr="00FD7D21">
        <w:rPr>
          <w:bCs/>
        </w:rPr>
        <w:t>unauthorised</w:t>
      </w:r>
      <w:proofErr w:type="spellEnd"/>
      <w:r w:rsidRPr="00FD7D21">
        <w:rPr>
          <w:bCs/>
        </w:rPr>
        <w:t xml:space="preserve"> disclosure.</w:t>
      </w:r>
    </w:p>
    <w:p w14:paraId="741CBA34" w14:textId="00308DA1" w:rsidR="009F07B2" w:rsidRPr="009F07B2" w:rsidRDefault="00445484" w:rsidP="00445484">
      <w:pPr>
        <w:pStyle w:val="Heading1"/>
      </w:pPr>
      <w:bookmarkStart w:id="9" w:name="_Toc222494205"/>
      <w:r>
        <w:t xml:space="preserve">ARTICLE 10 </w:t>
      </w:r>
      <w:r>
        <w:br/>
      </w:r>
      <w:r w:rsidRPr="009F07B2">
        <w:t>SETTLEMENT OF DISPUTES</w:t>
      </w:r>
      <w:bookmarkEnd w:id="9"/>
    </w:p>
    <w:p w14:paraId="2D4CD74B" w14:textId="761AA5BD" w:rsidR="009F07B2" w:rsidRDefault="009F07B2" w:rsidP="00FD7D21">
      <w:pPr>
        <w:pStyle w:val="ListParagraph"/>
        <w:numPr>
          <w:ilvl w:val="0"/>
          <w:numId w:val="43"/>
        </w:numPr>
        <w:rPr>
          <w:bCs/>
        </w:rPr>
      </w:pPr>
      <w:r w:rsidRPr="00FD7D21">
        <w:rPr>
          <w:bCs/>
        </w:rPr>
        <w:t>Member States shall at all times endeavour to agree on the interpretation or implementation of this Sectoral MRA and shall make any attempt through communication, dialogue, consultation, and cooperation to arrive at a mutually satisfactory resolution of any matter that may affect the implementation of this Sectoral MRA.</w:t>
      </w:r>
    </w:p>
    <w:p w14:paraId="5D1D0378" w14:textId="77777777" w:rsidR="00FD7D21" w:rsidRPr="00FD7D21" w:rsidRDefault="00FD7D21" w:rsidP="00FD7D21">
      <w:pPr>
        <w:pStyle w:val="ListParagraph"/>
        <w:ind w:left="360"/>
        <w:rPr>
          <w:bCs/>
        </w:rPr>
      </w:pPr>
    </w:p>
    <w:p w14:paraId="38398AF9" w14:textId="121B6B18" w:rsidR="009F07B2" w:rsidRPr="00FD7D21" w:rsidRDefault="009F07B2" w:rsidP="00FD7D21">
      <w:pPr>
        <w:pStyle w:val="ListParagraph"/>
        <w:numPr>
          <w:ilvl w:val="0"/>
          <w:numId w:val="43"/>
        </w:numPr>
        <w:rPr>
          <w:bCs/>
        </w:rPr>
      </w:pPr>
      <w:r w:rsidRPr="00FD7D21">
        <w:rPr>
          <w:bCs/>
        </w:rPr>
        <w:t>In the event that Member States cannot reach a mutually satisfactory solution, the ASEAN Protocol on Enhanced Dispute Settlement Mechanism signed on 29 November 2004 in Vientiane, Lao PDR or its successor, shall apply to the settlement of disputes concerning the interpretation or implementation of any of the provisions under this Sectoral MRA.</w:t>
      </w:r>
    </w:p>
    <w:p w14:paraId="7495177C" w14:textId="450B444E" w:rsidR="00445484" w:rsidRPr="009F07B2" w:rsidRDefault="00445484" w:rsidP="00445484">
      <w:pPr>
        <w:pStyle w:val="Heading1"/>
      </w:pPr>
      <w:bookmarkStart w:id="10" w:name="_Toc222494206"/>
      <w:r>
        <w:t xml:space="preserve">ARTICLE 11 </w:t>
      </w:r>
      <w:r>
        <w:br/>
      </w:r>
      <w:r w:rsidRPr="00445484">
        <w:t>DEPOSITARY</w:t>
      </w:r>
      <w:bookmarkEnd w:id="10"/>
    </w:p>
    <w:p w14:paraId="1D83C510" w14:textId="02A0E598" w:rsidR="009F07B2" w:rsidRPr="009F07B2" w:rsidRDefault="009F07B2" w:rsidP="00A6601C">
      <w:pPr>
        <w:ind w:left="360"/>
        <w:rPr>
          <w:bCs/>
        </w:rPr>
      </w:pPr>
      <w:r w:rsidRPr="009F07B2">
        <w:rPr>
          <w:bCs/>
        </w:rPr>
        <w:t>This Sectoral MRA shall be deposited with the Secretary-General of ASEAN who shall promptly provide a certified copy thereof to each Member State.</w:t>
      </w:r>
    </w:p>
    <w:p w14:paraId="1DE86794" w14:textId="787C2E08" w:rsidR="009F07B2" w:rsidRPr="009F07B2" w:rsidRDefault="00445484" w:rsidP="00445484">
      <w:pPr>
        <w:pStyle w:val="Heading1"/>
      </w:pPr>
      <w:bookmarkStart w:id="11" w:name="_Toc222494207"/>
      <w:r>
        <w:t xml:space="preserve">ARTICLE 12 </w:t>
      </w:r>
      <w:r>
        <w:br/>
      </w:r>
      <w:r w:rsidRPr="00445484">
        <w:t>AMENDMENTS</w:t>
      </w:r>
      <w:bookmarkEnd w:id="11"/>
    </w:p>
    <w:p w14:paraId="29404A66" w14:textId="4523EFA2" w:rsidR="009F07B2" w:rsidRDefault="009F07B2" w:rsidP="00FD7D21">
      <w:pPr>
        <w:pStyle w:val="ListParagraph"/>
        <w:numPr>
          <w:ilvl w:val="0"/>
          <w:numId w:val="44"/>
        </w:numPr>
        <w:rPr>
          <w:bCs/>
        </w:rPr>
      </w:pPr>
      <w:r w:rsidRPr="00FD7D21">
        <w:rPr>
          <w:bCs/>
        </w:rPr>
        <w:t>The provisions of this Sectoral MRA may only be amended by mutual written agreement of the Member States. Any amendment shall enter into force on such date as shall be mutually agreed upon by the Member States.</w:t>
      </w:r>
    </w:p>
    <w:p w14:paraId="661A4E5E" w14:textId="77777777" w:rsidR="00FD7D21" w:rsidRPr="00FD7D21" w:rsidRDefault="00FD7D21" w:rsidP="00FD7D21">
      <w:pPr>
        <w:pStyle w:val="ListParagraph"/>
        <w:ind w:left="360"/>
        <w:rPr>
          <w:bCs/>
        </w:rPr>
      </w:pPr>
    </w:p>
    <w:p w14:paraId="2272F2EA" w14:textId="04715D88" w:rsidR="009F07B2" w:rsidRDefault="009F07B2" w:rsidP="00FD7D21">
      <w:pPr>
        <w:pStyle w:val="ListParagraph"/>
        <w:numPr>
          <w:ilvl w:val="0"/>
          <w:numId w:val="44"/>
        </w:numPr>
        <w:rPr>
          <w:bCs/>
        </w:rPr>
      </w:pPr>
      <w:r w:rsidRPr="00FD7D21">
        <w:rPr>
          <w:bCs/>
        </w:rPr>
        <w:t>Notwithstanding paragraph 1, amendments may be made to:</w:t>
      </w:r>
    </w:p>
    <w:p w14:paraId="699F90AA" w14:textId="77777777" w:rsidR="00FD7D21" w:rsidRPr="00FD7D21" w:rsidRDefault="00FD7D21" w:rsidP="00FD7D21">
      <w:pPr>
        <w:pStyle w:val="ListParagraph"/>
        <w:ind w:left="360"/>
        <w:rPr>
          <w:bCs/>
        </w:rPr>
      </w:pPr>
    </w:p>
    <w:p w14:paraId="2EDDB5E7" w14:textId="0A50F3A8" w:rsidR="009F07B2" w:rsidRPr="00FD7D21" w:rsidRDefault="009F07B2" w:rsidP="00FD7D21">
      <w:pPr>
        <w:pStyle w:val="ListParagraph"/>
        <w:numPr>
          <w:ilvl w:val="0"/>
          <w:numId w:val="45"/>
        </w:numPr>
        <w:rPr>
          <w:bCs/>
        </w:rPr>
      </w:pPr>
      <w:r w:rsidRPr="00FD7D21">
        <w:rPr>
          <w:bCs/>
        </w:rPr>
        <w:t>Annex A, subject to the endorsement of the ASEAN Consultative Committee for Standards and Quality; and</w:t>
      </w:r>
    </w:p>
    <w:p w14:paraId="1881BA15" w14:textId="77777777" w:rsidR="00FD7D21" w:rsidRDefault="00FD7D21" w:rsidP="00FD7D21">
      <w:pPr>
        <w:pStyle w:val="ListParagraph"/>
        <w:rPr>
          <w:bCs/>
        </w:rPr>
      </w:pPr>
    </w:p>
    <w:p w14:paraId="0B730B6A" w14:textId="6919A953" w:rsidR="009F07B2" w:rsidRPr="00FD7D21" w:rsidRDefault="009F07B2" w:rsidP="00FD7D21">
      <w:pPr>
        <w:pStyle w:val="ListParagraph"/>
        <w:numPr>
          <w:ilvl w:val="0"/>
          <w:numId w:val="45"/>
        </w:numPr>
        <w:rPr>
          <w:bCs/>
        </w:rPr>
      </w:pPr>
      <w:r w:rsidRPr="00FD7D21">
        <w:rPr>
          <w:bCs/>
        </w:rPr>
        <w:t>Annex B and Annex C, subject to the endorsement of the ASEAN Building and Construction Working Group.</w:t>
      </w:r>
    </w:p>
    <w:p w14:paraId="6FB10CE0" w14:textId="71949AE8" w:rsidR="00445484" w:rsidRDefault="009F07B2" w:rsidP="00A6601C">
      <w:pPr>
        <w:ind w:left="360"/>
        <w:rPr>
          <w:bCs/>
        </w:rPr>
      </w:pPr>
      <w:r w:rsidRPr="009F07B2">
        <w:rPr>
          <w:bCs/>
        </w:rPr>
        <w:t>Such amendments shall be administratively annexed to this Sectoral MRA and shall form an integral part of this Sectoral MRA.</w:t>
      </w:r>
    </w:p>
    <w:p w14:paraId="3C07A0F7" w14:textId="23BE28C8" w:rsidR="009F07B2" w:rsidRPr="009F07B2" w:rsidRDefault="00445484" w:rsidP="00445484">
      <w:pPr>
        <w:pStyle w:val="Heading1"/>
      </w:pPr>
      <w:bookmarkStart w:id="12" w:name="_Toc222494208"/>
      <w:r>
        <w:t xml:space="preserve">ARTICLE 13 </w:t>
      </w:r>
      <w:r>
        <w:br/>
      </w:r>
      <w:r w:rsidRPr="009F07B2">
        <w:t>FINAL PROVISIONS</w:t>
      </w:r>
      <w:bookmarkEnd w:id="12"/>
    </w:p>
    <w:p w14:paraId="064D1A2A" w14:textId="502006B6" w:rsidR="009F07B2" w:rsidRDefault="009F07B2" w:rsidP="00345C4C">
      <w:pPr>
        <w:pStyle w:val="ListParagraph"/>
        <w:numPr>
          <w:ilvl w:val="0"/>
          <w:numId w:val="46"/>
        </w:numPr>
        <w:rPr>
          <w:bCs/>
        </w:rPr>
      </w:pPr>
      <w:r w:rsidRPr="00345C4C">
        <w:rPr>
          <w:bCs/>
        </w:rPr>
        <w:t>This Sectoral MRA may be reviewed by the Member States for the purpose of fulfilling the objective of this Sectoral MRA.</w:t>
      </w:r>
    </w:p>
    <w:p w14:paraId="2F795833" w14:textId="77777777" w:rsidR="00345C4C" w:rsidRPr="00345C4C" w:rsidRDefault="00345C4C" w:rsidP="00345C4C">
      <w:pPr>
        <w:pStyle w:val="ListParagraph"/>
        <w:ind w:left="360"/>
        <w:rPr>
          <w:bCs/>
        </w:rPr>
      </w:pPr>
    </w:p>
    <w:p w14:paraId="05C401E4" w14:textId="2ADD5B1C" w:rsidR="009F07B2" w:rsidRDefault="009F07B2" w:rsidP="00345C4C">
      <w:pPr>
        <w:pStyle w:val="ListParagraph"/>
        <w:numPr>
          <w:ilvl w:val="0"/>
          <w:numId w:val="46"/>
        </w:numPr>
        <w:rPr>
          <w:bCs/>
        </w:rPr>
      </w:pPr>
      <w:r w:rsidRPr="00345C4C">
        <w:rPr>
          <w:bCs/>
        </w:rPr>
        <w:t>Member States shall make no reservations with respect to any of the provisions of this Sectoral MRA.</w:t>
      </w:r>
    </w:p>
    <w:p w14:paraId="7E56DEA6" w14:textId="77777777" w:rsidR="00345C4C" w:rsidRPr="00345C4C" w:rsidRDefault="00345C4C" w:rsidP="00345C4C">
      <w:pPr>
        <w:pStyle w:val="ListParagraph"/>
        <w:ind w:left="360"/>
        <w:rPr>
          <w:bCs/>
        </w:rPr>
      </w:pPr>
    </w:p>
    <w:p w14:paraId="6803100B" w14:textId="4436690C" w:rsidR="009F07B2" w:rsidRDefault="009F07B2" w:rsidP="00345C4C">
      <w:pPr>
        <w:pStyle w:val="ListParagraph"/>
        <w:numPr>
          <w:ilvl w:val="0"/>
          <w:numId w:val="46"/>
        </w:numPr>
        <w:rPr>
          <w:bCs/>
        </w:rPr>
      </w:pPr>
      <w:r w:rsidRPr="00345C4C">
        <w:rPr>
          <w:bCs/>
        </w:rPr>
        <w:lastRenderedPageBreak/>
        <w:t>This Sectoral MRA shall enter into force on the thirtieth day after Member States have notified the Secretary-General of ASEAN completion of their internal requirements or on 31 December 2024, whichever is earlier.</w:t>
      </w:r>
    </w:p>
    <w:p w14:paraId="551F7C9A" w14:textId="77777777" w:rsidR="00345C4C" w:rsidRPr="00345C4C" w:rsidRDefault="00345C4C" w:rsidP="00345C4C">
      <w:pPr>
        <w:pStyle w:val="ListParagraph"/>
        <w:ind w:left="360"/>
        <w:rPr>
          <w:bCs/>
        </w:rPr>
      </w:pPr>
    </w:p>
    <w:p w14:paraId="501A6ABE" w14:textId="54EA63E9" w:rsidR="009F07B2" w:rsidRDefault="009F07B2" w:rsidP="00345C4C">
      <w:pPr>
        <w:pStyle w:val="ListParagraph"/>
        <w:numPr>
          <w:ilvl w:val="0"/>
          <w:numId w:val="46"/>
        </w:numPr>
        <w:rPr>
          <w:bCs/>
        </w:rPr>
      </w:pPr>
      <w:r w:rsidRPr="00345C4C">
        <w:rPr>
          <w:bCs/>
        </w:rPr>
        <w:t>In the event that a Member State provides its notification after 31 December 2024, this Sectoral MRA shall enter into force for that Member State on the thirtieth day after the date of its notification.</w:t>
      </w:r>
    </w:p>
    <w:p w14:paraId="5C6AF908" w14:textId="77777777" w:rsidR="00345C4C" w:rsidRPr="00345C4C" w:rsidRDefault="00345C4C" w:rsidP="00345C4C">
      <w:pPr>
        <w:pStyle w:val="ListParagraph"/>
        <w:ind w:left="360"/>
        <w:rPr>
          <w:bCs/>
        </w:rPr>
      </w:pPr>
    </w:p>
    <w:p w14:paraId="75B5C133" w14:textId="7BE529BD" w:rsidR="009F07B2" w:rsidRPr="00345C4C" w:rsidRDefault="009F07B2" w:rsidP="00345C4C">
      <w:pPr>
        <w:pStyle w:val="ListParagraph"/>
        <w:numPr>
          <w:ilvl w:val="0"/>
          <w:numId w:val="46"/>
        </w:numPr>
        <w:rPr>
          <w:bCs/>
        </w:rPr>
      </w:pPr>
      <w:r w:rsidRPr="00345C4C">
        <w:rPr>
          <w:bCs/>
        </w:rPr>
        <w:t>The Secretary-General of ASEAN shall promptly notify Member States of the notifications referred to in paragraphs 3 and 4.</w:t>
      </w:r>
    </w:p>
    <w:p w14:paraId="298386C9" w14:textId="58C1BF08" w:rsidR="009F07B2" w:rsidRDefault="009F07B2" w:rsidP="00345C4C">
      <w:pPr>
        <w:rPr>
          <w:bCs/>
        </w:rPr>
      </w:pPr>
      <w:r w:rsidRPr="00445484">
        <w:rPr>
          <w:b/>
        </w:rPr>
        <w:t>IN WITNESS THEREOF</w:t>
      </w:r>
      <w:r w:rsidRPr="009F07B2">
        <w:rPr>
          <w:bCs/>
        </w:rPr>
        <w:t xml:space="preserve">, the undersigned, being duly </w:t>
      </w:r>
      <w:proofErr w:type="spellStart"/>
      <w:r w:rsidRPr="009F07B2">
        <w:rPr>
          <w:bCs/>
        </w:rPr>
        <w:t>authorised</w:t>
      </w:r>
      <w:proofErr w:type="spellEnd"/>
      <w:r w:rsidRPr="009F07B2">
        <w:rPr>
          <w:bCs/>
        </w:rPr>
        <w:t xml:space="preserve"> by their respective Governments, have signed this Sectoral MRA.</w:t>
      </w:r>
    </w:p>
    <w:p w14:paraId="309CD0E7" w14:textId="5200090F" w:rsidR="00A6601C" w:rsidRDefault="00A6601C" w:rsidP="00345C4C">
      <w:pPr>
        <w:rPr>
          <w:bCs/>
        </w:rPr>
      </w:pPr>
      <w:r w:rsidRPr="00A6601C">
        <w:rPr>
          <w:b/>
        </w:rPr>
        <w:t>DONE</w:t>
      </w:r>
      <w:r w:rsidRPr="00A6601C">
        <w:rPr>
          <w:bCs/>
        </w:rPr>
        <w:t xml:space="preserve"> at</w:t>
      </w:r>
      <w:r>
        <w:rPr>
          <w:bCs/>
        </w:rPr>
        <w:t xml:space="preserve"> Phnom Penh, Cambodia</w:t>
      </w:r>
      <w:r w:rsidRPr="00A6601C">
        <w:rPr>
          <w:bCs/>
        </w:rPr>
        <w:t xml:space="preserve">, this </w:t>
      </w:r>
      <w:r>
        <w:rPr>
          <w:bCs/>
        </w:rPr>
        <w:t xml:space="preserve">Ninth day </w:t>
      </w:r>
      <w:r w:rsidRPr="00A6601C">
        <w:rPr>
          <w:bCs/>
        </w:rPr>
        <w:t>of</w:t>
      </w:r>
      <w:r>
        <w:rPr>
          <w:bCs/>
        </w:rPr>
        <w:t xml:space="preserve"> March </w:t>
      </w:r>
      <w:r w:rsidRPr="00A6601C">
        <w:rPr>
          <w:bCs/>
        </w:rPr>
        <w:t>in the Year</w:t>
      </w:r>
      <w:r>
        <w:rPr>
          <w:bCs/>
        </w:rPr>
        <w:t xml:space="preserve"> Two Thousand and </w:t>
      </w:r>
      <w:r w:rsidR="00783595">
        <w:rPr>
          <w:bCs/>
        </w:rPr>
        <w:br/>
      </w:r>
      <w:r>
        <w:rPr>
          <w:bCs/>
        </w:rPr>
        <w:t>Twenty-Four,</w:t>
      </w:r>
      <w:r w:rsidRPr="00A6601C">
        <w:rPr>
          <w:bCs/>
        </w:rPr>
        <w:t xml:space="preserve"> in a single copy in the English language.</w:t>
      </w:r>
    </w:p>
    <w:p w14:paraId="7F1DF371" w14:textId="77777777" w:rsidR="004957B2" w:rsidRPr="00A6601C" w:rsidRDefault="004957B2" w:rsidP="004957B2">
      <w:pPr>
        <w:spacing w:before="0" w:after="0" w:line="240" w:lineRule="auto"/>
        <w:jc w:val="left"/>
        <w:rPr>
          <w:bCs/>
        </w:rPr>
      </w:pPr>
    </w:p>
    <w:p w14:paraId="04EBD042" w14:textId="77777777" w:rsidR="004957B2" w:rsidRDefault="004957B2">
      <w:pPr>
        <w:spacing w:before="0" w:after="0" w:line="240" w:lineRule="auto"/>
        <w:jc w:val="left"/>
        <w:rPr>
          <w:bCs/>
        </w:rPr>
      </w:pPr>
      <w:r>
        <w:rPr>
          <w:bCs/>
        </w:rPr>
        <w:br w:type="page"/>
      </w:r>
    </w:p>
    <w:p w14:paraId="5E3EB187" w14:textId="77777777" w:rsidR="002E2640" w:rsidRDefault="004957B2" w:rsidP="002E2640">
      <w:pPr>
        <w:pStyle w:val="Heading1"/>
      </w:pPr>
      <w:bookmarkStart w:id="13" w:name="_Toc222494209"/>
      <w:r>
        <w:lastRenderedPageBreak/>
        <w:t>ANNEX A</w:t>
      </w:r>
      <w:r>
        <w:br/>
      </w:r>
      <w:r w:rsidRPr="004957B2">
        <w:t>LIST OF BUILDING AND CONSTRUCTION MATERIALS WITHIN THE SCOPE OF THIS SECTORAL MRA</w:t>
      </w:r>
      <w:bookmarkEnd w:id="13"/>
    </w:p>
    <w:p w14:paraId="0E0A3052" w14:textId="77777777" w:rsidR="002E2640" w:rsidRDefault="002E2640" w:rsidP="002E2640">
      <w:pPr>
        <w:pStyle w:val="ListParagraph"/>
        <w:numPr>
          <w:ilvl w:val="0"/>
          <w:numId w:val="47"/>
        </w:numPr>
      </w:pPr>
      <w:r>
        <w:t>The list of building and construction materials within the scope of this Sectoral MRA are as follows:</w:t>
      </w:r>
    </w:p>
    <w:tbl>
      <w:tblPr>
        <w:tblStyle w:val="TableGrid"/>
        <w:tblW w:w="0" w:type="auto"/>
        <w:tblLook w:val="04A0" w:firstRow="1" w:lastRow="0" w:firstColumn="1" w:lastColumn="0" w:noHBand="0" w:noVBand="1"/>
      </w:tblPr>
      <w:tblGrid>
        <w:gridCol w:w="805"/>
        <w:gridCol w:w="2160"/>
        <w:gridCol w:w="6052"/>
      </w:tblGrid>
      <w:tr w:rsidR="002E2640" w14:paraId="3018A08A" w14:textId="77777777" w:rsidTr="002E2640">
        <w:tc>
          <w:tcPr>
            <w:tcW w:w="805" w:type="dxa"/>
            <w:vAlign w:val="center"/>
          </w:tcPr>
          <w:p w14:paraId="291EEA63" w14:textId="5D57A3D2" w:rsidR="002E2640" w:rsidRPr="002E2640" w:rsidRDefault="002E2640" w:rsidP="002E2640">
            <w:pPr>
              <w:spacing w:before="0" w:after="0" w:line="240" w:lineRule="auto"/>
              <w:jc w:val="left"/>
              <w:rPr>
                <w:b/>
                <w:bCs/>
              </w:rPr>
            </w:pPr>
            <w:r w:rsidRPr="002E2640">
              <w:rPr>
                <w:b/>
                <w:bCs/>
              </w:rPr>
              <w:t>No.</w:t>
            </w:r>
          </w:p>
        </w:tc>
        <w:tc>
          <w:tcPr>
            <w:tcW w:w="2160" w:type="dxa"/>
          </w:tcPr>
          <w:p w14:paraId="2212AE6F" w14:textId="4719FA8F" w:rsidR="002E2640" w:rsidRPr="002E2640" w:rsidRDefault="002E2640" w:rsidP="002E2640">
            <w:pPr>
              <w:spacing w:before="0" w:after="0" w:line="240" w:lineRule="auto"/>
              <w:rPr>
                <w:b/>
                <w:bCs/>
              </w:rPr>
            </w:pPr>
            <w:r w:rsidRPr="002E2640">
              <w:rPr>
                <w:b/>
                <w:bCs/>
              </w:rPr>
              <w:t>HS Code</w:t>
            </w:r>
          </w:p>
        </w:tc>
        <w:tc>
          <w:tcPr>
            <w:tcW w:w="6052" w:type="dxa"/>
          </w:tcPr>
          <w:p w14:paraId="41BAA354" w14:textId="3D110809" w:rsidR="002E2640" w:rsidRPr="002E2640" w:rsidRDefault="002E2640" w:rsidP="002E2640">
            <w:pPr>
              <w:spacing w:before="0" w:after="0" w:line="240" w:lineRule="auto"/>
              <w:rPr>
                <w:b/>
                <w:bCs/>
              </w:rPr>
            </w:pPr>
            <w:r w:rsidRPr="002E2640">
              <w:rPr>
                <w:b/>
                <w:bCs/>
              </w:rPr>
              <w:t>Description</w:t>
            </w:r>
          </w:p>
        </w:tc>
      </w:tr>
      <w:tr w:rsidR="002E2640" w14:paraId="157DFE6A" w14:textId="77777777" w:rsidTr="002E2640">
        <w:tc>
          <w:tcPr>
            <w:tcW w:w="805" w:type="dxa"/>
            <w:vMerge w:val="restart"/>
            <w:vAlign w:val="center"/>
          </w:tcPr>
          <w:p w14:paraId="3BD38B80" w14:textId="174AB83E" w:rsidR="002E2640" w:rsidRDefault="002E2640" w:rsidP="002E2640">
            <w:pPr>
              <w:spacing w:before="0" w:after="0" w:line="240" w:lineRule="auto"/>
              <w:jc w:val="left"/>
            </w:pPr>
            <w:proofErr w:type="spellStart"/>
            <w:r>
              <w:t>i</w:t>
            </w:r>
            <w:proofErr w:type="spellEnd"/>
          </w:p>
        </w:tc>
        <w:tc>
          <w:tcPr>
            <w:tcW w:w="2160" w:type="dxa"/>
          </w:tcPr>
          <w:p w14:paraId="3D9B7E46" w14:textId="67796E98" w:rsidR="002E2640" w:rsidRPr="002C2BF2" w:rsidRDefault="002E2640" w:rsidP="002E2640">
            <w:pPr>
              <w:spacing w:before="0" w:after="0" w:line="240" w:lineRule="auto"/>
              <w:rPr>
                <w:b/>
                <w:bCs/>
              </w:rPr>
            </w:pPr>
            <w:r w:rsidRPr="002C2BF2">
              <w:rPr>
                <w:b/>
                <w:bCs/>
              </w:rPr>
              <w:t>25.23</w:t>
            </w:r>
          </w:p>
        </w:tc>
        <w:tc>
          <w:tcPr>
            <w:tcW w:w="6052" w:type="dxa"/>
          </w:tcPr>
          <w:p w14:paraId="114815EE" w14:textId="6E465E68" w:rsidR="002E2640" w:rsidRPr="002C2BF2" w:rsidRDefault="002E2640" w:rsidP="002E2640">
            <w:pPr>
              <w:spacing w:before="0" w:after="0" w:line="240" w:lineRule="auto"/>
              <w:rPr>
                <w:b/>
                <w:bCs/>
              </w:rPr>
            </w:pPr>
            <w:r w:rsidRPr="002C2BF2">
              <w:rPr>
                <w:b/>
                <w:bCs/>
              </w:rPr>
              <w:t xml:space="preserve">Portland cement, aluminous cement, slag cement, supersulphate cement and similar hydraulic cements, whether or not </w:t>
            </w:r>
            <w:proofErr w:type="spellStart"/>
            <w:r w:rsidRPr="002C2BF2">
              <w:rPr>
                <w:b/>
                <w:bCs/>
              </w:rPr>
              <w:t>coloured</w:t>
            </w:r>
            <w:proofErr w:type="spellEnd"/>
            <w:r w:rsidRPr="002C2BF2">
              <w:rPr>
                <w:b/>
                <w:bCs/>
              </w:rPr>
              <w:t xml:space="preserve"> or in the form of clinkers</w:t>
            </w:r>
          </w:p>
        </w:tc>
      </w:tr>
      <w:tr w:rsidR="002E2640" w14:paraId="055E1D0E" w14:textId="77777777" w:rsidTr="002E2640">
        <w:tc>
          <w:tcPr>
            <w:tcW w:w="805" w:type="dxa"/>
            <w:vMerge/>
            <w:vAlign w:val="center"/>
          </w:tcPr>
          <w:p w14:paraId="1D95EFC4" w14:textId="77777777" w:rsidR="002E2640" w:rsidRDefault="002E2640" w:rsidP="002E2640">
            <w:pPr>
              <w:spacing w:before="0" w:after="0" w:line="240" w:lineRule="auto"/>
              <w:jc w:val="left"/>
            </w:pPr>
          </w:p>
        </w:tc>
        <w:tc>
          <w:tcPr>
            <w:tcW w:w="2160" w:type="dxa"/>
          </w:tcPr>
          <w:p w14:paraId="1C1C0214" w14:textId="77777777" w:rsidR="002E2640" w:rsidRDefault="002E2640" w:rsidP="002E2640">
            <w:pPr>
              <w:spacing w:before="0" w:after="0" w:line="240" w:lineRule="auto"/>
            </w:pPr>
          </w:p>
        </w:tc>
        <w:tc>
          <w:tcPr>
            <w:tcW w:w="6052" w:type="dxa"/>
          </w:tcPr>
          <w:p w14:paraId="798884DD" w14:textId="0D9096CD" w:rsidR="002E2640" w:rsidRDefault="002E2640" w:rsidP="002E2640">
            <w:pPr>
              <w:spacing w:before="0" w:after="0" w:line="240" w:lineRule="auto"/>
            </w:pPr>
            <w:r>
              <w:t>- Portland cement:</w:t>
            </w:r>
          </w:p>
        </w:tc>
      </w:tr>
      <w:tr w:rsidR="002E2640" w14:paraId="484850DA" w14:textId="77777777" w:rsidTr="002E2640">
        <w:tc>
          <w:tcPr>
            <w:tcW w:w="805" w:type="dxa"/>
            <w:vMerge/>
            <w:vAlign w:val="center"/>
          </w:tcPr>
          <w:p w14:paraId="068D64DA" w14:textId="77777777" w:rsidR="002E2640" w:rsidRDefault="002E2640" w:rsidP="002E2640">
            <w:pPr>
              <w:spacing w:before="0" w:after="0" w:line="240" w:lineRule="auto"/>
              <w:jc w:val="left"/>
            </w:pPr>
          </w:p>
        </w:tc>
        <w:tc>
          <w:tcPr>
            <w:tcW w:w="2160" w:type="dxa"/>
          </w:tcPr>
          <w:p w14:paraId="7962AC99" w14:textId="529177A5" w:rsidR="002E2640" w:rsidRDefault="002E2640" w:rsidP="002E2640">
            <w:pPr>
              <w:spacing w:before="0" w:after="0" w:line="240" w:lineRule="auto"/>
            </w:pPr>
            <w:r>
              <w:t>2523.21.00</w:t>
            </w:r>
          </w:p>
        </w:tc>
        <w:tc>
          <w:tcPr>
            <w:tcW w:w="6052" w:type="dxa"/>
          </w:tcPr>
          <w:p w14:paraId="59846CA1" w14:textId="31CFA882" w:rsidR="002E2640" w:rsidRDefault="002E2640" w:rsidP="002E2640">
            <w:pPr>
              <w:spacing w:before="0" w:after="0" w:line="240" w:lineRule="auto"/>
            </w:pPr>
            <w:r>
              <w:t xml:space="preserve">- - White cement, whether or not artificially </w:t>
            </w:r>
            <w:proofErr w:type="spellStart"/>
            <w:r>
              <w:t>coloured</w:t>
            </w:r>
            <w:proofErr w:type="spellEnd"/>
          </w:p>
        </w:tc>
      </w:tr>
      <w:tr w:rsidR="002E2640" w14:paraId="300E45E7" w14:textId="77777777" w:rsidTr="002E2640">
        <w:tc>
          <w:tcPr>
            <w:tcW w:w="805" w:type="dxa"/>
            <w:vMerge/>
            <w:vAlign w:val="center"/>
          </w:tcPr>
          <w:p w14:paraId="19529869" w14:textId="77777777" w:rsidR="002E2640" w:rsidRDefault="002E2640" w:rsidP="002E2640">
            <w:pPr>
              <w:spacing w:before="0" w:after="0" w:line="240" w:lineRule="auto"/>
              <w:jc w:val="left"/>
            </w:pPr>
          </w:p>
        </w:tc>
        <w:tc>
          <w:tcPr>
            <w:tcW w:w="2160" w:type="dxa"/>
          </w:tcPr>
          <w:p w14:paraId="10ADA620" w14:textId="77777777" w:rsidR="002E2640" w:rsidRDefault="002E2640" w:rsidP="002E2640">
            <w:pPr>
              <w:spacing w:before="0" w:after="0" w:line="240" w:lineRule="auto"/>
            </w:pPr>
          </w:p>
        </w:tc>
        <w:tc>
          <w:tcPr>
            <w:tcW w:w="6052" w:type="dxa"/>
          </w:tcPr>
          <w:p w14:paraId="70CAD304" w14:textId="77777777" w:rsidR="002E2640" w:rsidRDefault="002E2640" w:rsidP="002E2640">
            <w:pPr>
              <w:spacing w:before="0" w:after="0" w:line="240" w:lineRule="auto"/>
            </w:pPr>
          </w:p>
        </w:tc>
      </w:tr>
      <w:tr w:rsidR="002E2640" w14:paraId="1441E3E4" w14:textId="77777777" w:rsidTr="002E2640">
        <w:tc>
          <w:tcPr>
            <w:tcW w:w="805" w:type="dxa"/>
            <w:vMerge/>
            <w:vAlign w:val="center"/>
          </w:tcPr>
          <w:p w14:paraId="2E9C75BA" w14:textId="77777777" w:rsidR="002E2640" w:rsidRDefault="002E2640" w:rsidP="002E2640">
            <w:pPr>
              <w:spacing w:before="0" w:after="0" w:line="240" w:lineRule="auto"/>
              <w:jc w:val="left"/>
            </w:pPr>
          </w:p>
        </w:tc>
        <w:tc>
          <w:tcPr>
            <w:tcW w:w="2160" w:type="dxa"/>
          </w:tcPr>
          <w:p w14:paraId="435D2CFF" w14:textId="68F8BED7" w:rsidR="002E2640" w:rsidRDefault="002E2640" w:rsidP="002E2640">
            <w:pPr>
              <w:spacing w:before="0" w:after="0" w:line="240" w:lineRule="auto"/>
            </w:pPr>
            <w:r>
              <w:t>2523.29.10</w:t>
            </w:r>
          </w:p>
        </w:tc>
        <w:tc>
          <w:tcPr>
            <w:tcW w:w="6052" w:type="dxa"/>
          </w:tcPr>
          <w:p w14:paraId="689416F7" w14:textId="485B55DA" w:rsidR="002E2640" w:rsidRDefault="002E2640" w:rsidP="002E2640">
            <w:pPr>
              <w:spacing w:before="0" w:after="0" w:line="240" w:lineRule="auto"/>
            </w:pPr>
            <w:r>
              <w:t xml:space="preserve">- - - </w:t>
            </w:r>
            <w:proofErr w:type="spellStart"/>
            <w:r>
              <w:t>Coloured</w:t>
            </w:r>
            <w:proofErr w:type="spellEnd"/>
            <w:r>
              <w:t xml:space="preserve"> cement</w:t>
            </w:r>
          </w:p>
        </w:tc>
      </w:tr>
      <w:tr w:rsidR="002E2640" w14:paraId="1178CFCB" w14:textId="77777777" w:rsidTr="002E2640">
        <w:tc>
          <w:tcPr>
            <w:tcW w:w="805" w:type="dxa"/>
            <w:vMerge/>
            <w:vAlign w:val="center"/>
          </w:tcPr>
          <w:p w14:paraId="0D5F13D8" w14:textId="77777777" w:rsidR="002E2640" w:rsidRDefault="002E2640" w:rsidP="002E2640">
            <w:pPr>
              <w:spacing w:before="0" w:after="0" w:line="240" w:lineRule="auto"/>
              <w:jc w:val="left"/>
            </w:pPr>
          </w:p>
        </w:tc>
        <w:tc>
          <w:tcPr>
            <w:tcW w:w="2160" w:type="dxa"/>
          </w:tcPr>
          <w:p w14:paraId="1388F9B2" w14:textId="05E91613" w:rsidR="002E2640" w:rsidRDefault="002E2640" w:rsidP="002E2640">
            <w:pPr>
              <w:spacing w:before="0" w:after="0" w:line="240" w:lineRule="auto"/>
            </w:pPr>
            <w:r>
              <w:t>2523.29.90</w:t>
            </w:r>
          </w:p>
        </w:tc>
        <w:tc>
          <w:tcPr>
            <w:tcW w:w="6052" w:type="dxa"/>
          </w:tcPr>
          <w:p w14:paraId="08DFEC4C" w14:textId="09C73E00" w:rsidR="002E2640" w:rsidRDefault="002E2640" w:rsidP="002E2640">
            <w:pPr>
              <w:spacing w:before="0" w:after="0" w:line="240" w:lineRule="auto"/>
            </w:pPr>
            <w:r>
              <w:t>- - - Other</w:t>
            </w:r>
          </w:p>
        </w:tc>
      </w:tr>
      <w:tr w:rsidR="002C2BF2" w14:paraId="3C4B8F98" w14:textId="77777777" w:rsidTr="002E2640">
        <w:tc>
          <w:tcPr>
            <w:tcW w:w="805" w:type="dxa"/>
            <w:vMerge w:val="restart"/>
            <w:vAlign w:val="center"/>
          </w:tcPr>
          <w:p w14:paraId="5B01796C" w14:textId="11CD97F1" w:rsidR="002C2BF2" w:rsidRDefault="002C2BF2" w:rsidP="002E2640">
            <w:pPr>
              <w:spacing w:before="0" w:after="0" w:line="240" w:lineRule="auto"/>
              <w:jc w:val="left"/>
            </w:pPr>
            <w:r>
              <w:t>ii</w:t>
            </w:r>
          </w:p>
        </w:tc>
        <w:tc>
          <w:tcPr>
            <w:tcW w:w="2160" w:type="dxa"/>
          </w:tcPr>
          <w:p w14:paraId="629C087D" w14:textId="52A2043F" w:rsidR="002C2BF2" w:rsidRPr="002C2BF2" w:rsidRDefault="002C2BF2" w:rsidP="002E2640">
            <w:pPr>
              <w:spacing w:before="0" w:after="0" w:line="240" w:lineRule="auto"/>
              <w:rPr>
                <w:b/>
                <w:bCs/>
              </w:rPr>
            </w:pPr>
            <w:r w:rsidRPr="002C2BF2">
              <w:rPr>
                <w:b/>
                <w:bCs/>
              </w:rPr>
              <w:t>70.95</w:t>
            </w:r>
          </w:p>
        </w:tc>
        <w:tc>
          <w:tcPr>
            <w:tcW w:w="6052" w:type="dxa"/>
          </w:tcPr>
          <w:p w14:paraId="16FE7E9A" w14:textId="410155B0" w:rsidR="002C2BF2" w:rsidRPr="002C2BF2" w:rsidRDefault="002C2BF2" w:rsidP="002E2640">
            <w:pPr>
              <w:spacing w:before="0" w:after="0" w:line="240" w:lineRule="auto"/>
              <w:rPr>
                <w:b/>
                <w:bCs/>
              </w:rPr>
            </w:pPr>
            <w:r w:rsidRPr="002C2BF2">
              <w:rPr>
                <w:b/>
                <w:bCs/>
              </w:rPr>
              <w:t>Float glass and surface ground or polished glass, in sheets, whether or not having an absorbent, reflecting or non-reflecting layer, but not otherwise worked</w:t>
            </w:r>
          </w:p>
        </w:tc>
      </w:tr>
      <w:tr w:rsidR="002C2BF2" w14:paraId="1F8DB20A" w14:textId="77777777" w:rsidTr="002E2640">
        <w:tc>
          <w:tcPr>
            <w:tcW w:w="805" w:type="dxa"/>
            <w:vMerge/>
            <w:vAlign w:val="center"/>
          </w:tcPr>
          <w:p w14:paraId="03A19D93" w14:textId="77777777" w:rsidR="002C2BF2" w:rsidRDefault="002C2BF2" w:rsidP="002E2640">
            <w:pPr>
              <w:spacing w:before="0" w:after="0" w:line="240" w:lineRule="auto"/>
              <w:jc w:val="left"/>
            </w:pPr>
          </w:p>
        </w:tc>
        <w:tc>
          <w:tcPr>
            <w:tcW w:w="2160" w:type="dxa"/>
          </w:tcPr>
          <w:p w14:paraId="6A26C646" w14:textId="77777777" w:rsidR="002C2BF2" w:rsidRDefault="002C2BF2" w:rsidP="002E2640">
            <w:pPr>
              <w:spacing w:before="0" w:after="0" w:line="240" w:lineRule="auto"/>
            </w:pPr>
          </w:p>
        </w:tc>
        <w:tc>
          <w:tcPr>
            <w:tcW w:w="6052" w:type="dxa"/>
          </w:tcPr>
          <w:p w14:paraId="6C915C45" w14:textId="77777777" w:rsidR="002C2BF2" w:rsidRDefault="002C2BF2" w:rsidP="002E2640">
            <w:pPr>
              <w:spacing w:before="0" w:after="0" w:line="240" w:lineRule="auto"/>
            </w:pPr>
          </w:p>
        </w:tc>
      </w:tr>
      <w:tr w:rsidR="002C2BF2" w14:paraId="6A55C0C6" w14:textId="77777777" w:rsidTr="002E2640">
        <w:tc>
          <w:tcPr>
            <w:tcW w:w="805" w:type="dxa"/>
            <w:vMerge/>
            <w:vAlign w:val="center"/>
          </w:tcPr>
          <w:p w14:paraId="7E8C4E5C" w14:textId="77777777" w:rsidR="002C2BF2" w:rsidRDefault="002C2BF2" w:rsidP="002E2640">
            <w:pPr>
              <w:spacing w:before="0" w:after="0" w:line="240" w:lineRule="auto"/>
              <w:jc w:val="left"/>
            </w:pPr>
          </w:p>
        </w:tc>
        <w:tc>
          <w:tcPr>
            <w:tcW w:w="2160" w:type="dxa"/>
          </w:tcPr>
          <w:p w14:paraId="67A722C5" w14:textId="734EF950" w:rsidR="002C2BF2" w:rsidRDefault="002C2BF2" w:rsidP="002E2640">
            <w:pPr>
              <w:spacing w:before="0" w:after="0" w:line="240" w:lineRule="auto"/>
            </w:pPr>
            <w:r>
              <w:t>7005.29.90</w:t>
            </w:r>
          </w:p>
        </w:tc>
        <w:tc>
          <w:tcPr>
            <w:tcW w:w="6052" w:type="dxa"/>
          </w:tcPr>
          <w:p w14:paraId="11EDC971" w14:textId="6A276A05" w:rsidR="002C2BF2" w:rsidRDefault="002C2BF2" w:rsidP="002E2640">
            <w:pPr>
              <w:spacing w:before="0" w:after="0" w:line="240" w:lineRule="auto"/>
            </w:pPr>
            <w:r>
              <w:t>- - - Other</w:t>
            </w:r>
          </w:p>
        </w:tc>
      </w:tr>
      <w:tr w:rsidR="002C2BF2" w14:paraId="4110C62D" w14:textId="77777777" w:rsidTr="002E2640">
        <w:tc>
          <w:tcPr>
            <w:tcW w:w="805" w:type="dxa"/>
            <w:vMerge/>
            <w:vAlign w:val="center"/>
          </w:tcPr>
          <w:p w14:paraId="7CCAA801" w14:textId="77777777" w:rsidR="002C2BF2" w:rsidRDefault="002C2BF2" w:rsidP="002E2640">
            <w:pPr>
              <w:spacing w:before="0" w:after="0" w:line="240" w:lineRule="auto"/>
              <w:jc w:val="left"/>
            </w:pPr>
          </w:p>
        </w:tc>
        <w:tc>
          <w:tcPr>
            <w:tcW w:w="2160" w:type="dxa"/>
          </w:tcPr>
          <w:p w14:paraId="059C183E" w14:textId="37DDFD37" w:rsidR="002C2BF2" w:rsidRDefault="002C2BF2" w:rsidP="002E2640">
            <w:pPr>
              <w:spacing w:before="0" w:after="0" w:line="240" w:lineRule="auto"/>
            </w:pPr>
            <w:r>
              <w:t>7005.30.00</w:t>
            </w:r>
          </w:p>
        </w:tc>
        <w:tc>
          <w:tcPr>
            <w:tcW w:w="6052" w:type="dxa"/>
          </w:tcPr>
          <w:p w14:paraId="505AA8F6" w14:textId="60546EFF" w:rsidR="002C2BF2" w:rsidRDefault="002C2BF2" w:rsidP="002E2640">
            <w:pPr>
              <w:spacing w:before="0" w:after="0" w:line="240" w:lineRule="auto"/>
            </w:pPr>
            <w:r>
              <w:t>- Wired glass</w:t>
            </w:r>
          </w:p>
        </w:tc>
      </w:tr>
      <w:tr w:rsidR="002C2BF2" w14:paraId="3783099A" w14:textId="77777777" w:rsidTr="002E2640">
        <w:tc>
          <w:tcPr>
            <w:tcW w:w="805" w:type="dxa"/>
            <w:vMerge w:val="restart"/>
            <w:vAlign w:val="center"/>
          </w:tcPr>
          <w:p w14:paraId="5D7CF948" w14:textId="1ACB618B" w:rsidR="002C2BF2" w:rsidRDefault="002C2BF2" w:rsidP="002E2640">
            <w:pPr>
              <w:spacing w:before="0" w:after="0" w:line="240" w:lineRule="auto"/>
              <w:jc w:val="left"/>
            </w:pPr>
            <w:r>
              <w:t>iii</w:t>
            </w:r>
          </w:p>
        </w:tc>
        <w:tc>
          <w:tcPr>
            <w:tcW w:w="2160" w:type="dxa"/>
          </w:tcPr>
          <w:p w14:paraId="1E74335F" w14:textId="10B3D51C" w:rsidR="002C2BF2" w:rsidRPr="000328E2" w:rsidRDefault="002C2BF2" w:rsidP="002E2640">
            <w:pPr>
              <w:spacing w:before="0" w:after="0" w:line="240" w:lineRule="auto"/>
              <w:rPr>
                <w:b/>
                <w:bCs/>
              </w:rPr>
            </w:pPr>
            <w:r w:rsidRPr="000328E2">
              <w:rPr>
                <w:b/>
                <w:bCs/>
              </w:rPr>
              <w:t>70.06</w:t>
            </w:r>
          </w:p>
        </w:tc>
        <w:tc>
          <w:tcPr>
            <w:tcW w:w="6052" w:type="dxa"/>
          </w:tcPr>
          <w:p w14:paraId="6AE392C9" w14:textId="18F5F399" w:rsidR="002C2BF2" w:rsidRPr="000328E2" w:rsidRDefault="002C2BF2" w:rsidP="002E2640">
            <w:pPr>
              <w:spacing w:before="0" w:after="0" w:line="240" w:lineRule="auto"/>
              <w:rPr>
                <w:b/>
                <w:bCs/>
              </w:rPr>
            </w:pPr>
            <w:r w:rsidRPr="000328E2">
              <w:rPr>
                <w:b/>
                <w:bCs/>
              </w:rPr>
              <w:t>Glass of heading 70.03, 70.04, or 70.05 bent, edge-worked, engraved, drilled, enameled or otherwise worked, but not framed or fitted with other materials</w:t>
            </w:r>
          </w:p>
        </w:tc>
      </w:tr>
      <w:tr w:rsidR="002C2BF2" w14:paraId="5E28D8AF" w14:textId="77777777" w:rsidTr="002E2640">
        <w:tc>
          <w:tcPr>
            <w:tcW w:w="805" w:type="dxa"/>
            <w:vMerge/>
            <w:vAlign w:val="center"/>
          </w:tcPr>
          <w:p w14:paraId="69C82FB8" w14:textId="77777777" w:rsidR="002C2BF2" w:rsidRDefault="002C2BF2" w:rsidP="002E2640">
            <w:pPr>
              <w:spacing w:before="0" w:after="0" w:line="240" w:lineRule="auto"/>
              <w:jc w:val="left"/>
            </w:pPr>
          </w:p>
        </w:tc>
        <w:tc>
          <w:tcPr>
            <w:tcW w:w="2160" w:type="dxa"/>
          </w:tcPr>
          <w:p w14:paraId="3FDB87A0" w14:textId="6DD1B533" w:rsidR="002C2BF2" w:rsidRDefault="002C2BF2" w:rsidP="002E2640">
            <w:pPr>
              <w:spacing w:before="0" w:after="0" w:line="240" w:lineRule="auto"/>
            </w:pPr>
            <w:r>
              <w:t>7006.00.90</w:t>
            </w:r>
          </w:p>
        </w:tc>
        <w:tc>
          <w:tcPr>
            <w:tcW w:w="6052" w:type="dxa"/>
          </w:tcPr>
          <w:p w14:paraId="63EEE089" w14:textId="0D48F6E7" w:rsidR="002C2BF2" w:rsidRDefault="002C2BF2" w:rsidP="002E2640">
            <w:pPr>
              <w:spacing w:before="0" w:after="0" w:line="240" w:lineRule="auto"/>
            </w:pPr>
            <w:r>
              <w:t>- Other</w:t>
            </w:r>
          </w:p>
        </w:tc>
      </w:tr>
      <w:tr w:rsidR="002C2BF2" w14:paraId="3FE34AFC" w14:textId="77777777" w:rsidTr="002E2640">
        <w:tc>
          <w:tcPr>
            <w:tcW w:w="805" w:type="dxa"/>
            <w:vMerge w:val="restart"/>
            <w:vAlign w:val="center"/>
          </w:tcPr>
          <w:p w14:paraId="008340B6" w14:textId="2D62535D" w:rsidR="002C2BF2" w:rsidRDefault="002C2BF2" w:rsidP="002E2640">
            <w:pPr>
              <w:spacing w:before="0" w:after="0" w:line="240" w:lineRule="auto"/>
              <w:jc w:val="left"/>
            </w:pPr>
            <w:r>
              <w:t>iv</w:t>
            </w:r>
          </w:p>
        </w:tc>
        <w:tc>
          <w:tcPr>
            <w:tcW w:w="2160" w:type="dxa"/>
          </w:tcPr>
          <w:p w14:paraId="4656419C" w14:textId="1FD34B8B" w:rsidR="002C2BF2" w:rsidRPr="000328E2" w:rsidRDefault="002C2BF2" w:rsidP="002E2640">
            <w:pPr>
              <w:spacing w:before="0" w:after="0" w:line="240" w:lineRule="auto"/>
              <w:rPr>
                <w:b/>
                <w:bCs/>
              </w:rPr>
            </w:pPr>
            <w:r w:rsidRPr="000328E2">
              <w:rPr>
                <w:b/>
                <w:bCs/>
              </w:rPr>
              <w:t>70.07</w:t>
            </w:r>
          </w:p>
        </w:tc>
        <w:tc>
          <w:tcPr>
            <w:tcW w:w="6052" w:type="dxa"/>
          </w:tcPr>
          <w:p w14:paraId="761FE00D" w14:textId="5CFD3889" w:rsidR="002C2BF2" w:rsidRPr="000328E2" w:rsidRDefault="002C2BF2" w:rsidP="002E2640">
            <w:pPr>
              <w:spacing w:before="0" w:after="0" w:line="240" w:lineRule="auto"/>
              <w:rPr>
                <w:b/>
                <w:bCs/>
              </w:rPr>
            </w:pPr>
            <w:r w:rsidRPr="000328E2">
              <w:rPr>
                <w:b/>
                <w:bCs/>
              </w:rPr>
              <w:t>Safety glass, consisting of toughened (tempered) or laminated glass</w:t>
            </w:r>
          </w:p>
        </w:tc>
      </w:tr>
      <w:tr w:rsidR="002C2BF2" w14:paraId="10444428" w14:textId="77777777" w:rsidTr="002E2640">
        <w:tc>
          <w:tcPr>
            <w:tcW w:w="805" w:type="dxa"/>
            <w:vMerge/>
            <w:vAlign w:val="center"/>
          </w:tcPr>
          <w:p w14:paraId="101B8047" w14:textId="77777777" w:rsidR="002C2BF2" w:rsidRDefault="002C2BF2" w:rsidP="002E2640">
            <w:pPr>
              <w:spacing w:before="0" w:after="0" w:line="240" w:lineRule="auto"/>
              <w:jc w:val="left"/>
            </w:pPr>
          </w:p>
        </w:tc>
        <w:tc>
          <w:tcPr>
            <w:tcW w:w="2160" w:type="dxa"/>
          </w:tcPr>
          <w:p w14:paraId="0A14E9B4" w14:textId="3E8DE134" w:rsidR="002C2BF2" w:rsidRDefault="002C2BF2" w:rsidP="002E2640">
            <w:pPr>
              <w:spacing w:before="0" w:after="0" w:line="240" w:lineRule="auto"/>
            </w:pPr>
          </w:p>
        </w:tc>
        <w:tc>
          <w:tcPr>
            <w:tcW w:w="6052" w:type="dxa"/>
          </w:tcPr>
          <w:p w14:paraId="5F5663EC" w14:textId="2743B670" w:rsidR="002C2BF2" w:rsidRDefault="002C2BF2" w:rsidP="002E2640">
            <w:pPr>
              <w:spacing w:before="0" w:after="0" w:line="240" w:lineRule="auto"/>
            </w:pPr>
            <w:r>
              <w:t xml:space="preserve">- Toughened (tempered) safety </w:t>
            </w:r>
            <w:proofErr w:type="gramStart"/>
            <w:r>
              <w:t>glass :</w:t>
            </w:r>
            <w:proofErr w:type="gramEnd"/>
          </w:p>
        </w:tc>
      </w:tr>
      <w:tr w:rsidR="002C2BF2" w14:paraId="0009E666" w14:textId="77777777" w:rsidTr="002E2640">
        <w:tc>
          <w:tcPr>
            <w:tcW w:w="805" w:type="dxa"/>
            <w:vMerge/>
            <w:vAlign w:val="center"/>
          </w:tcPr>
          <w:p w14:paraId="2F8DC3FB" w14:textId="77777777" w:rsidR="002C2BF2" w:rsidRDefault="002C2BF2" w:rsidP="002E2640">
            <w:pPr>
              <w:spacing w:before="0" w:after="0" w:line="240" w:lineRule="auto"/>
              <w:jc w:val="left"/>
            </w:pPr>
          </w:p>
        </w:tc>
        <w:tc>
          <w:tcPr>
            <w:tcW w:w="2160" w:type="dxa"/>
          </w:tcPr>
          <w:p w14:paraId="6CA44C26" w14:textId="5223BEEE" w:rsidR="002C2BF2" w:rsidRDefault="002C2BF2" w:rsidP="002E2640">
            <w:pPr>
              <w:spacing w:before="0" w:after="0" w:line="240" w:lineRule="auto"/>
            </w:pPr>
            <w:r>
              <w:t>7007.19.90</w:t>
            </w:r>
          </w:p>
        </w:tc>
        <w:tc>
          <w:tcPr>
            <w:tcW w:w="6052" w:type="dxa"/>
          </w:tcPr>
          <w:p w14:paraId="760A3115" w14:textId="24E85D60" w:rsidR="002C2BF2" w:rsidRDefault="002C2BF2" w:rsidP="002E2640">
            <w:pPr>
              <w:spacing w:before="0" w:after="0" w:line="240" w:lineRule="auto"/>
            </w:pPr>
            <w:r>
              <w:t>- - - Other</w:t>
            </w:r>
          </w:p>
        </w:tc>
      </w:tr>
      <w:tr w:rsidR="002E2640" w14:paraId="3B1C0DE8" w14:textId="77777777" w:rsidTr="002E2640">
        <w:tc>
          <w:tcPr>
            <w:tcW w:w="805" w:type="dxa"/>
            <w:vAlign w:val="center"/>
          </w:tcPr>
          <w:p w14:paraId="1F53CAF9" w14:textId="0037ECCD" w:rsidR="002E2640" w:rsidRDefault="002C2BF2" w:rsidP="002E2640">
            <w:pPr>
              <w:spacing w:before="0" w:after="0" w:line="240" w:lineRule="auto"/>
              <w:jc w:val="left"/>
            </w:pPr>
            <w:r>
              <w:t>v</w:t>
            </w:r>
          </w:p>
        </w:tc>
        <w:tc>
          <w:tcPr>
            <w:tcW w:w="2160" w:type="dxa"/>
          </w:tcPr>
          <w:p w14:paraId="0C025559" w14:textId="77777777" w:rsidR="002E2640" w:rsidRPr="000328E2" w:rsidRDefault="002C2BF2" w:rsidP="002E2640">
            <w:pPr>
              <w:spacing w:before="0" w:after="0" w:line="240" w:lineRule="auto"/>
              <w:rPr>
                <w:b/>
                <w:bCs/>
              </w:rPr>
            </w:pPr>
            <w:r w:rsidRPr="000328E2">
              <w:rPr>
                <w:b/>
                <w:bCs/>
              </w:rPr>
              <w:t>70.08</w:t>
            </w:r>
          </w:p>
          <w:p w14:paraId="6C9E87AB" w14:textId="5FAA36AA" w:rsidR="002C2BF2" w:rsidRPr="000328E2" w:rsidRDefault="002C2BF2" w:rsidP="002E2640">
            <w:pPr>
              <w:spacing w:before="0" w:after="0" w:line="240" w:lineRule="auto"/>
              <w:rPr>
                <w:b/>
                <w:bCs/>
              </w:rPr>
            </w:pPr>
            <w:r w:rsidRPr="000328E2">
              <w:rPr>
                <w:b/>
                <w:bCs/>
              </w:rPr>
              <w:t>7008.00.00</w:t>
            </w:r>
          </w:p>
        </w:tc>
        <w:tc>
          <w:tcPr>
            <w:tcW w:w="6052" w:type="dxa"/>
          </w:tcPr>
          <w:p w14:paraId="18C79140" w14:textId="2D12CE3B" w:rsidR="002E2640" w:rsidRPr="000328E2" w:rsidRDefault="002C2BF2" w:rsidP="002E2640">
            <w:pPr>
              <w:spacing w:before="0" w:after="0" w:line="240" w:lineRule="auto"/>
              <w:rPr>
                <w:b/>
                <w:bCs/>
              </w:rPr>
            </w:pPr>
            <w:r w:rsidRPr="000328E2">
              <w:rPr>
                <w:b/>
                <w:bCs/>
              </w:rPr>
              <w:t>Multiple-walled insulating units of glass</w:t>
            </w:r>
          </w:p>
        </w:tc>
      </w:tr>
      <w:tr w:rsidR="00E675AA" w14:paraId="45CDD6FA" w14:textId="77777777" w:rsidTr="002E2640">
        <w:tc>
          <w:tcPr>
            <w:tcW w:w="805" w:type="dxa"/>
            <w:vMerge w:val="restart"/>
            <w:vAlign w:val="center"/>
          </w:tcPr>
          <w:p w14:paraId="110E68C6" w14:textId="605851E9" w:rsidR="00E675AA" w:rsidRDefault="00E675AA" w:rsidP="002E2640">
            <w:pPr>
              <w:spacing w:before="0" w:after="0" w:line="240" w:lineRule="auto"/>
              <w:jc w:val="left"/>
            </w:pPr>
            <w:r>
              <w:t>vi</w:t>
            </w:r>
          </w:p>
        </w:tc>
        <w:tc>
          <w:tcPr>
            <w:tcW w:w="2160" w:type="dxa"/>
          </w:tcPr>
          <w:p w14:paraId="70D64081" w14:textId="4AE0E4A0" w:rsidR="00E675AA" w:rsidRPr="000328E2" w:rsidRDefault="00E675AA" w:rsidP="002E2640">
            <w:pPr>
              <w:spacing w:before="0" w:after="0" w:line="240" w:lineRule="auto"/>
              <w:rPr>
                <w:b/>
                <w:bCs/>
              </w:rPr>
            </w:pPr>
            <w:r w:rsidRPr="000328E2">
              <w:rPr>
                <w:b/>
                <w:bCs/>
              </w:rPr>
              <w:t>70.09</w:t>
            </w:r>
          </w:p>
        </w:tc>
        <w:tc>
          <w:tcPr>
            <w:tcW w:w="6052" w:type="dxa"/>
          </w:tcPr>
          <w:p w14:paraId="66758720" w14:textId="00C1EA5D" w:rsidR="00E675AA" w:rsidRPr="000328E2" w:rsidRDefault="00E675AA" w:rsidP="002E2640">
            <w:pPr>
              <w:spacing w:before="0" w:after="0" w:line="240" w:lineRule="auto"/>
              <w:rPr>
                <w:b/>
                <w:bCs/>
              </w:rPr>
            </w:pPr>
            <w:r w:rsidRPr="000328E2">
              <w:rPr>
                <w:b/>
                <w:bCs/>
              </w:rPr>
              <w:t>Glass mirrors, whether or not framed, including rear-view mirrors</w:t>
            </w:r>
          </w:p>
        </w:tc>
      </w:tr>
      <w:tr w:rsidR="00E675AA" w14:paraId="0D3D92A5" w14:textId="77777777" w:rsidTr="002E2640">
        <w:tc>
          <w:tcPr>
            <w:tcW w:w="805" w:type="dxa"/>
            <w:vMerge/>
            <w:vAlign w:val="center"/>
          </w:tcPr>
          <w:p w14:paraId="2091AC84" w14:textId="77777777" w:rsidR="00E675AA" w:rsidRDefault="00E675AA" w:rsidP="002E2640">
            <w:pPr>
              <w:spacing w:before="0" w:after="0" w:line="240" w:lineRule="auto"/>
              <w:jc w:val="left"/>
            </w:pPr>
          </w:p>
        </w:tc>
        <w:tc>
          <w:tcPr>
            <w:tcW w:w="2160" w:type="dxa"/>
          </w:tcPr>
          <w:p w14:paraId="0F940D16" w14:textId="45D3196E" w:rsidR="00E675AA" w:rsidRDefault="00E675AA" w:rsidP="002E2640">
            <w:pPr>
              <w:spacing w:before="0" w:after="0" w:line="240" w:lineRule="auto"/>
            </w:pPr>
            <w:r>
              <w:t>7009.91.00</w:t>
            </w:r>
          </w:p>
        </w:tc>
        <w:tc>
          <w:tcPr>
            <w:tcW w:w="6052" w:type="dxa"/>
          </w:tcPr>
          <w:p w14:paraId="085E3890" w14:textId="77777777" w:rsidR="00E675AA" w:rsidRDefault="00E675AA" w:rsidP="002E2640">
            <w:pPr>
              <w:spacing w:before="0" w:after="0" w:line="240" w:lineRule="auto"/>
            </w:pPr>
            <w:r>
              <w:t>- Other</w:t>
            </w:r>
          </w:p>
          <w:p w14:paraId="3DC6C342" w14:textId="7B36D4BF" w:rsidR="00E675AA" w:rsidRDefault="00E675AA" w:rsidP="002E2640">
            <w:pPr>
              <w:spacing w:before="0" w:after="0" w:line="240" w:lineRule="auto"/>
            </w:pPr>
            <w:r>
              <w:t>- - Unframed</w:t>
            </w:r>
          </w:p>
        </w:tc>
      </w:tr>
      <w:tr w:rsidR="00E675AA" w14:paraId="51A34AC8" w14:textId="77777777" w:rsidTr="002E2640">
        <w:tc>
          <w:tcPr>
            <w:tcW w:w="805" w:type="dxa"/>
            <w:vMerge/>
            <w:vAlign w:val="center"/>
          </w:tcPr>
          <w:p w14:paraId="10E27EA1" w14:textId="77777777" w:rsidR="00E675AA" w:rsidRDefault="00E675AA" w:rsidP="002E2640">
            <w:pPr>
              <w:spacing w:before="0" w:after="0" w:line="240" w:lineRule="auto"/>
              <w:jc w:val="left"/>
            </w:pPr>
          </w:p>
        </w:tc>
        <w:tc>
          <w:tcPr>
            <w:tcW w:w="2160" w:type="dxa"/>
          </w:tcPr>
          <w:p w14:paraId="5C20A234" w14:textId="7B41EBD3" w:rsidR="00E675AA" w:rsidRDefault="00E675AA" w:rsidP="002E2640">
            <w:pPr>
              <w:spacing w:before="0" w:after="0" w:line="240" w:lineRule="auto"/>
            </w:pPr>
            <w:r>
              <w:t>7009.92.00</w:t>
            </w:r>
          </w:p>
        </w:tc>
        <w:tc>
          <w:tcPr>
            <w:tcW w:w="6052" w:type="dxa"/>
          </w:tcPr>
          <w:p w14:paraId="6AFB9C2D" w14:textId="2D2172AC" w:rsidR="00E675AA" w:rsidRDefault="00E675AA" w:rsidP="002E2640">
            <w:pPr>
              <w:spacing w:before="0" w:after="0" w:line="240" w:lineRule="auto"/>
            </w:pPr>
            <w:r>
              <w:t>- - Framed</w:t>
            </w:r>
          </w:p>
        </w:tc>
      </w:tr>
      <w:tr w:rsidR="00E675AA" w14:paraId="215B39F5" w14:textId="77777777" w:rsidTr="002E2640">
        <w:tc>
          <w:tcPr>
            <w:tcW w:w="805" w:type="dxa"/>
            <w:vMerge w:val="restart"/>
            <w:vAlign w:val="center"/>
          </w:tcPr>
          <w:p w14:paraId="72925176" w14:textId="2FDF1E64" w:rsidR="00E675AA" w:rsidRDefault="00E675AA" w:rsidP="002E2640">
            <w:pPr>
              <w:spacing w:before="0" w:after="0" w:line="240" w:lineRule="auto"/>
              <w:jc w:val="left"/>
            </w:pPr>
            <w:r>
              <w:t>vii</w:t>
            </w:r>
          </w:p>
        </w:tc>
        <w:tc>
          <w:tcPr>
            <w:tcW w:w="2160" w:type="dxa"/>
          </w:tcPr>
          <w:p w14:paraId="724C20DD" w14:textId="4FADACB8" w:rsidR="00E675AA" w:rsidRPr="00E675AA" w:rsidRDefault="00E675AA" w:rsidP="002E2640">
            <w:pPr>
              <w:spacing w:before="0" w:after="0" w:line="240" w:lineRule="auto"/>
              <w:rPr>
                <w:b/>
                <w:bCs/>
              </w:rPr>
            </w:pPr>
            <w:r w:rsidRPr="00E675AA">
              <w:rPr>
                <w:b/>
                <w:bCs/>
              </w:rPr>
              <w:t>72.13</w:t>
            </w:r>
          </w:p>
        </w:tc>
        <w:tc>
          <w:tcPr>
            <w:tcW w:w="6052" w:type="dxa"/>
          </w:tcPr>
          <w:p w14:paraId="6D95A802" w14:textId="223CDBB0" w:rsidR="00E675AA" w:rsidRPr="00E675AA" w:rsidRDefault="00E675AA" w:rsidP="002E2640">
            <w:pPr>
              <w:spacing w:before="0" w:after="0" w:line="240" w:lineRule="auto"/>
              <w:rPr>
                <w:b/>
                <w:bCs/>
              </w:rPr>
            </w:pPr>
            <w:r w:rsidRPr="00E675AA">
              <w:rPr>
                <w:b/>
                <w:bCs/>
              </w:rPr>
              <w:t>Bars and rods, hot-rolled, in irregularly wound coils, of iron or non-alloy steel</w:t>
            </w:r>
          </w:p>
        </w:tc>
      </w:tr>
      <w:tr w:rsidR="00E675AA" w14:paraId="703D12CC" w14:textId="77777777" w:rsidTr="002E2640">
        <w:tc>
          <w:tcPr>
            <w:tcW w:w="805" w:type="dxa"/>
            <w:vMerge/>
            <w:vAlign w:val="center"/>
          </w:tcPr>
          <w:p w14:paraId="5FA4AE0F" w14:textId="30EDDA5E" w:rsidR="00E675AA" w:rsidRDefault="00E675AA" w:rsidP="002E2640">
            <w:pPr>
              <w:spacing w:before="0" w:after="0" w:line="240" w:lineRule="auto"/>
              <w:jc w:val="left"/>
            </w:pPr>
          </w:p>
        </w:tc>
        <w:tc>
          <w:tcPr>
            <w:tcW w:w="2160" w:type="dxa"/>
          </w:tcPr>
          <w:p w14:paraId="4BB668C3" w14:textId="77777777" w:rsidR="00E675AA" w:rsidRDefault="00E675AA" w:rsidP="002E2640">
            <w:pPr>
              <w:spacing w:before="0" w:after="0" w:line="240" w:lineRule="auto"/>
            </w:pPr>
          </w:p>
        </w:tc>
        <w:tc>
          <w:tcPr>
            <w:tcW w:w="6052" w:type="dxa"/>
          </w:tcPr>
          <w:p w14:paraId="2FDDEF96" w14:textId="77777777" w:rsidR="00E675AA" w:rsidRDefault="00E675AA" w:rsidP="002E2640">
            <w:pPr>
              <w:spacing w:before="0" w:after="0" w:line="240" w:lineRule="auto"/>
            </w:pPr>
          </w:p>
        </w:tc>
      </w:tr>
      <w:tr w:rsidR="00E675AA" w14:paraId="657164D1" w14:textId="77777777" w:rsidTr="002E2640">
        <w:tc>
          <w:tcPr>
            <w:tcW w:w="805" w:type="dxa"/>
            <w:vMerge/>
            <w:vAlign w:val="center"/>
          </w:tcPr>
          <w:p w14:paraId="5210FADC" w14:textId="77777777" w:rsidR="00E675AA" w:rsidRDefault="00E675AA" w:rsidP="002E2640">
            <w:pPr>
              <w:spacing w:before="0" w:after="0" w:line="240" w:lineRule="auto"/>
              <w:jc w:val="left"/>
            </w:pPr>
          </w:p>
        </w:tc>
        <w:tc>
          <w:tcPr>
            <w:tcW w:w="2160" w:type="dxa"/>
          </w:tcPr>
          <w:p w14:paraId="70749838" w14:textId="54A07FD2" w:rsidR="00E675AA" w:rsidRDefault="00E675AA" w:rsidP="002E2640">
            <w:pPr>
              <w:spacing w:before="0" w:after="0" w:line="240" w:lineRule="auto"/>
            </w:pPr>
            <w:r>
              <w:t>7213.10.10</w:t>
            </w:r>
          </w:p>
        </w:tc>
        <w:tc>
          <w:tcPr>
            <w:tcW w:w="6052" w:type="dxa"/>
          </w:tcPr>
          <w:p w14:paraId="4400956E" w14:textId="5907A52F" w:rsidR="00E675AA" w:rsidRDefault="00E675AA" w:rsidP="002E2640">
            <w:pPr>
              <w:spacing w:before="0" w:after="0" w:line="240" w:lineRule="auto"/>
            </w:pPr>
            <w:r>
              <w:t>Containing indentations, ribs, grooves or other deformations produced during the rolling process: - - of circular cross-section measuring not exceeding 50 mm in diameter</w:t>
            </w:r>
          </w:p>
        </w:tc>
      </w:tr>
      <w:tr w:rsidR="00E675AA" w14:paraId="4B270E1C" w14:textId="77777777" w:rsidTr="002E2640">
        <w:tc>
          <w:tcPr>
            <w:tcW w:w="805" w:type="dxa"/>
            <w:vMerge/>
            <w:vAlign w:val="center"/>
          </w:tcPr>
          <w:p w14:paraId="5A18DE81" w14:textId="77777777" w:rsidR="00E675AA" w:rsidRDefault="00E675AA" w:rsidP="002E2640">
            <w:pPr>
              <w:spacing w:before="0" w:after="0" w:line="240" w:lineRule="auto"/>
              <w:jc w:val="left"/>
            </w:pPr>
          </w:p>
        </w:tc>
        <w:tc>
          <w:tcPr>
            <w:tcW w:w="2160" w:type="dxa"/>
          </w:tcPr>
          <w:p w14:paraId="071CDA40" w14:textId="3EE8CEAD" w:rsidR="00E675AA" w:rsidRDefault="00E675AA" w:rsidP="002E2640">
            <w:pPr>
              <w:spacing w:before="0" w:after="0" w:line="240" w:lineRule="auto"/>
            </w:pPr>
            <w:r>
              <w:t>7213.10.90</w:t>
            </w:r>
          </w:p>
        </w:tc>
        <w:tc>
          <w:tcPr>
            <w:tcW w:w="6052" w:type="dxa"/>
          </w:tcPr>
          <w:p w14:paraId="78ED857D" w14:textId="45DC9D00" w:rsidR="00E675AA" w:rsidRDefault="00E675AA" w:rsidP="002E2640">
            <w:pPr>
              <w:spacing w:before="0" w:after="0" w:line="240" w:lineRule="auto"/>
            </w:pPr>
            <w:r>
              <w:t>- - Other</w:t>
            </w:r>
          </w:p>
        </w:tc>
      </w:tr>
    </w:tbl>
    <w:p w14:paraId="490EC627" w14:textId="6ECACF9C" w:rsidR="00A6601C" w:rsidRPr="002E2640" w:rsidRDefault="00E675AA" w:rsidP="00E675AA">
      <w:pPr>
        <w:pStyle w:val="ListParagraph"/>
        <w:numPr>
          <w:ilvl w:val="0"/>
          <w:numId w:val="47"/>
        </w:numPr>
      </w:pPr>
      <w:r>
        <w:t>The list of building and construction materials shall be reviewed regularly by the JSC which reserves the right to amend the list based on the agreement of Member States.</w:t>
      </w:r>
      <w:r w:rsidR="00A6601C">
        <w:br w:type="page"/>
      </w:r>
    </w:p>
    <w:p w14:paraId="3B27BA5C" w14:textId="3372F74B" w:rsidR="004957B2" w:rsidRPr="004957B2" w:rsidRDefault="004957B2" w:rsidP="004957B2">
      <w:pPr>
        <w:pStyle w:val="Heading1"/>
      </w:pPr>
      <w:bookmarkStart w:id="14" w:name="_Toc222494210"/>
      <w:r>
        <w:lastRenderedPageBreak/>
        <w:t>ANNEX B</w:t>
      </w:r>
      <w:r>
        <w:br/>
      </w:r>
      <w:r w:rsidRPr="004957B2">
        <w:t>PROCEDURES AND REQUIREMENTS RELATING TO LISTING, SUSPENSION, REMOVAL, VERIFICATION, AND TECHNICAL COMPETENCE OF CONFORMITY ASSESSMENT BODIES (CABS)</w:t>
      </w:r>
      <w:bookmarkEnd w:id="14"/>
    </w:p>
    <w:p w14:paraId="35AD1429" w14:textId="77777777" w:rsidR="004957B2" w:rsidRDefault="004957B2" w:rsidP="004957B2">
      <w:pPr>
        <w:tabs>
          <w:tab w:val="center" w:pos="4513"/>
        </w:tabs>
        <w:spacing w:before="0" w:after="0"/>
      </w:pPr>
    </w:p>
    <w:p w14:paraId="4BEB4761" w14:textId="77777777" w:rsidR="004957B2" w:rsidRPr="004957B2" w:rsidRDefault="004957B2" w:rsidP="00E77D89">
      <w:pPr>
        <w:pStyle w:val="Heading1"/>
      </w:pPr>
      <w:bookmarkStart w:id="15" w:name="_Toc222494211"/>
      <w:r w:rsidRPr="004957B2">
        <w:t>SECTION A</w:t>
      </w:r>
      <w:bookmarkEnd w:id="15"/>
    </w:p>
    <w:p w14:paraId="4D2263B4" w14:textId="77777777" w:rsidR="004957B2" w:rsidRPr="004957B2" w:rsidRDefault="004957B2" w:rsidP="00E77D89">
      <w:pPr>
        <w:pStyle w:val="Heading1"/>
      </w:pPr>
      <w:bookmarkStart w:id="16" w:name="_Toc222494212"/>
      <w:r w:rsidRPr="004957B2">
        <w:t>LISTING OF CONFORMITY ASSESSMENT BODIES</w:t>
      </w:r>
      <w:bookmarkEnd w:id="16"/>
    </w:p>
    <w:p w14:paraId="3B57D5D8" w14:textId="77777777" w:rsidR="004957B2" w:rsidRDefault="004957B2" w:rsidP="004957B2">
      <w:pPr>
        <w:tabs>
          <w:tab w:val="center" w:pos="4513"/>
        </w:tabs>
        <w:spacing w:before="0" w:after="0"/>
      </w:pPr>
    </w:p>
    <w:p w14:paraId="33B39710" w14:textId="0C3166B1" w:rsidR="004957B2" w:rsidRDefault="004957B2" w:rsidP="004957B2">
      <w:pPr>
        <w:pStyle w:val="ListParagraph"/>
        <w:numPr>
          <w:ilvl w:val="0"/>
          <w:numId w:val="20"/>
        </w:numPr>
        <w:tabs>
          <w:tab w:val="center" w:pos="4513"/>
        </w:tabs>
        <w:spacing w:before="0" w:after="0"/>
      </w:pPr>
      <w:r>
        <w:t>A Designating Body shall identify and nominate CABs for listing in accordance with Section E and procedures set forth in this Annex.</w:t>
      </w:r>
    </w:p>
    <w:p w14:paraId="45AE1EA0" w14:textId="77777777" w:rsidR="004957B2" w:rsidRDefault="004957B2" w:rsidP="004957B2">
      <w:pPr>
        <w:pStyle w:val="ListParagraph"/>
        <w:tabs>
          <w:tab w:val="center" w:pos="4513"/>
        </w:tabs>
        <w:spacing w:before="0" w:after="0"/>
      </w:pPr>
    </w:p>
    <w:p w14:paraId="097DC3D5" w14:textId="77777777" w:rsidR="004957B2" w:rsidRDefault="004957B2" w:rsidP="004957B2">
      <w:pPr>
        <w:pStyle w:val="ListParagraph"/>
        <w:numPr>
          <w:ilvl w:val="0"/>
          <w:numId w:val="20"/>
        </w:numPr>
        <w:tabs>
          <w:tab w:val="center" w:pos="4513"/>
        </w:tabs>
        <w:spacing w:before="0" w:after="0"/>
      </w:pPr>
      <w:r>
        <w:t>The CABs seeking to be listed under the Sectoral MRA shall submit documentary proof to the Designating Body to prove that they have fulfilled the requirements of technical competence as set in Section E.</w:t>
      </w:r>
    </w:p>
    <w:p w14:paraId="38CE8032" w14:textId="77777777" w:rsidR="004957B2" w:rsidRDefault="004957B2" w:rsidP="004957B2">
      <w:pPr>
        <w:pStyle w:val="ListParagraph"/>
      </w:pPr>
    </w:p>
    <w:p w14:paraId="55A08C0F" w14:textId="47E3CEB5" w:rsidR="004957B2" w:rsidRDefault="004957B2" w:rsidP="004957B2">
      <w:pPr>
        <w:pStyle w:val="ListParagraph"/>
        <w:numPr>
          <w:ilvl w:val="0"/>
          <w:numId w:val="20"/>
        </w:numPr>
        <w:tabs>
          <w:tab w:val="center" w:pos="4513"/>
        </w:tabs>
        <w:spacing w:before="0" w:after="0"/>
      </w:pPr>
      <w:r>
        <w:tab/>
        <w:t>A Designating Body shall review the documents specified in paragraph 2 and shall submit the details of the proposed CAB to be listed under the Sectoral MRA in writing, to the JSC, through the ASEAN Secretariat, for consideration in accordance with the following procedures:</w:t>
      </w:r>
    </w:p>
    <w:p w14:paraId="5F8162CF" w14:textId="77777777" w:rsidR="004957B2" w:rsidRDefault="004957B2" w:rsidP="004957B2">
      <w:pPr>
        <w:tabs>
          <w:tab w:val="center" w:pos="4513"/>
        </w:tabs>
        <w:spacing w:before="0" w:after="0"/>
      </w:pPr>
    </w:p>
    <w:p w14:paraId="466FE419" w14:textId="77777777" w:rsidR="004957B2" w:rsidRDefault="004957B2" w:rsidP="004957B2">
      <w:pPr>
        <w:pStyle w:val="ListParagraph"/>
        <w:numPr>
          <w:ilvl w:val="0"/>
          <w:numId w:val="21"/>
        </w:numPr>
        <w:tabs>
          <w:tab w:val="center" w:pos="4513"/>
        </w:tabs>
        <w:spacing w:before="0" w:after="0"/>
      </w:pPr>
      <w:r>
        <w:tab/>
        <w:t>within 60 calendar days following receipt of a Designating Body's submission of complete documents to its JSC Member:</w:t>
      </w:r>
    </w:p>
    <w:p w14:paraId="78ADF146" w14:textId="77777777" w:rsidR="00E77D89" w:rsidRDefault="00E77D89" w:rsidP="00E77D89">
      <w:pPr>
        <w:pStyle w:val="ListParagraph"/>
        <w:tabs>
          <w:tab w:val="center" w:pos="4513"/>
        </w:tabs>
        <w:spacing w:before="0" w:after="0"/>
      </w:pPr>
    </w:p>
    <w:p w14:paraId="7562490D" w14:textId="77777777" w:rsidR="004957B2" w:rsidRDefault="004957B2" w:rsidP="004957B2">
      <w:pPr>
        <w:pStyle w:val="ListParagraph"/>
        <w:numPr>
          <w:ilvl w:val="0"/>
          <w:numId w:val="22"/>
        </w:numPr>
        <w:tabs>
          <w:tab w:val="center" w:pos="4513"/>
        </w:tabs>
        <w:spacing w:before="0" w:after="0"/>
      </w:pPr>
      <w:r>
        <w:tab/>
        <w:t>the JSC Member shall submit the proposed listing of the CAB under this Sectoral MRA to the JSC through the ASEAN Secretariat;</w:t>
      </w:r>
    </w:p>
    <w:p w14:paraId="277219F7" w14:textId="77777777" w:rsidR="00D30AE4" w:rsidRDefault="00D30AE4" w:rsidP="00D30AE4">
      <w:pPr>
        <w:pStyle w:val="ListParagraph"/>
        <w:tabs>
          <w:tab w:val="center" w:pos="4513"/>
        </w:tabs>
        <w:spacing w:before="0" w:after="0"/>
        <w:ind w:left="1440"/>
      </w:pPr>
    </w:p>
    <w:p w14:paraId="2792CAEB" w14:textId="77777777" w:rsidR="004957B2" w:rsidRDefault="004957B2" w:rsidP="004957B2">
      <w:pPr>
        <w:pStyle w:val="ListParagraph"/>
        <w:numPr>
          <w:ilvl w:val="0"/>
          <w:numId w:val="22"/>
        </w:numPr>
        <w:tabs>
          <w:tab w:val="center" w:pos="4513"/>
        </w:tabs>
        <w:spacing w:before="0" w:after="0"/>
      </w:pPr>
      <w:r>
        <w:tab/>
        <w:t>the JSC Members shall indicate their position regarding their approval or opposition to include the said CAB in Annex C;</w:t>
      </w:r>
    </w:p>
    <w:p w14:paraId="3DCB2BB7" w14:textId="77777777" w:rsidR="00D30AE4" w:rsidRDefault="004957B2" w:rsidP="00D30AE4">
      <w:pPr>
        <w:pStyle w:val="ListParagraph"/>
        <w:tabs>
          <w:tab w:val="center" w:pos="4513"/>
        </w:tabs>
        <w:spacing w:before="0" w:after="0"/>
        <w:ind w:left="1440"/>
      </w:pPr>
      <w:r>
        <w:tab/>
      </w:r>
    </w:p>
    <w:p w14:paraId="7AD02436" w14:textId="5F5AE9E0" w:rsidR="004957B2" w:rsidRDefault="004957B2" w:rsidP="004957B2">
      <w:pPr>
        <w:pStyle w:val="ListParagraph"/>
        <w:numPr>
          <w:ilvl w:val="0"/>
          <w:numId w:val="22"/>
        </w:numPr>
        <w:tabs>
          <w:tab w:val="center" w:pos="4513"/>
        </w:tabs>
        <w:spacing w:before="0" w:after="0"/>
      </w:pPr>
      <w:r>
        <w:t>if there is no response from a JSC Member, the abstaining JSC Member will be deemed to have no objections to the inclusion of the said CAB in Annex C;</w:t>
      </w:r>
    </w:p>
    <w:p w14:paraId="0837B0EF" w14:textId="77777777" w:rsidR="00D30AE4" w:rsidRDefault="004957B2" w:rsidP="00D30AE4">
      <w:pPr>
        <w:pStyle w:val="ListParagraph"/>
        <w:tabs>
          <w:tab w:val="center" w:pos="4513"/>
        </w:tabs>
        <w:spacing w:before="0" w:after="0"/>
        <w:ind w:left="1440"/>
      </w:pPr>
      <w:r>
        <w:tab/>
      </w:r>
    </w:p>
    <w:p w14:paraId="0A6A8CCE" w14:textId="3658D031" w:rsidR="004957B2" w:rsidRDefault="004957B2" w:rsidP="004957B2">
      <w:pPr>
        <w:pStyle w:val="ListParagraph"/>
        <w:numPr>
          <w:ilvl w:val="0"/>
          <w:numId w:val="22"/>
        </w:numPr>
        <w:tabs>
          <w:tab w:val="center" w:pos="4513"/>
        </w:tabs>
        <w:spacing w:before="0" w:after="0"/>
      </w:pPr>
      <w:r>
        <w:t>upon the approval of the JSC, at the end of the 60 calendar days, the CAB shall be added to Annex C; and</w:t>
      </w:r>
    </w:p>
    <w:p w14:paraId="11976D06" w14:textId="77777777" w:rsidR="00D30AE4" w:rsidRDefault="00D30AE4" w:rsidP="00D30AE4">
      <w:pPr>
        <w:pStyle w:val="ListParagraph"/>
        <w:tabs>
          <w:tab w:val="center" w:pos="4513"/>
        </w:tabs>
        <w:spacing w:before="0" w:after="0"/>
        <w:ind w:left="1440"/>
      </w:pPr>
    </w:p>
    <w:p w14:paraId="2C2CCD09" w14:textId="5B8B7F17" w:rsidR="004957B2" w:rsidRDefault="004957B2" w:rsidP="004957B2">
      <w:pPr>
        <w:pStyle w:val="ListParagraph"/>
        <w:numPr>
          <w:ilvl w:val="0"/>
          <w:numId w:val="22"/>
        </w:numPr>
        <w:tabs>
          <w:tab w:val="center" w:pos="4513"/>
        </w:tabs>
        <w:spacing w:before="0" w:after="0"/>
      </w:pPr>
      <w:r>
        <w:t xml:space="preserve">the CAB shall be notified of their inclusion into Annex C by the </w:t>
      </w:r>
      <w:r w:rsidRPr="00C472E6">
        <w:t>ASEAN</w:t>
      </w:r>
      <w:r>
        <w:t xml:space="preserve"> Secretariat;</w:t>
      </w:r>
    </w:p>
    <w:p w14:paraId="4DC2A750" w14:textId="77777777" w:rsidR="004957B2" w:rsidRDefault="004957B2" w:rsidP="004957B2">
      <w:pPr>
        <w:tabs>
          <w:tab w:val="center" w:pos="4513"/>
        </w:tabs>
        <w:spacing w:before="0" w:after="0"/>
      </w:pPr>
    </w:p>
    <w:p w14:paraId="3F99881F" w14:textId="3A7A9D4F" w:rsidR="004957B2" w:rsidRDefault="004957B2" w:rsidP="004957B2">
      <w:pPr>
        <w:pStyle w:val="ListParagraph"/>
        <w:numPr>
          <w:ilvl w:val="0"/>
          <w:numId w:val="21"/>
        </w:numPr>
        <w:tabs>
          <w:tab w:val="center" w:pos="4513"/>
        </w:tabs>
        <w:spacing w:before="0" w:after="0"/>
      </w:pPr>
      <w:r>
        <w:tab/>
        <w:t>upon the reasonable request of one or more Member States for the verification of the technical competence of the proposed CAB, the JSC may decide that the technical competencies of the proposed CAB be verified in accordance with Section E. Such request for verification by the Member State shall be submitted to the JSC, through the ASEAN Secretariat; and</w:t>
      </w:r>
    </w:p>
    <w:p w14:paraId="0007E1DC" w14:textId="77777777" w:rsidR="004957B2" w:rsidRDefault="004957B2" w:rsidP="004957B2">
      <w:pPr>
        <w:tabs>
          <w:tab w:val="center" w:pos="4513"/>
        </w:tabs>
        <w:spacing w:before="0" w:after="0"/>
      </w:pPr>
    </w:p>
    <w:p w14:paraId="49706B2B" w14:textId="450F4CB2" w:rsidR="004957B2" w:rsidRDefault="004957B2" w:rsidP="004957B2">
      <w:pPr>
        <w:pStyle w:val="ListParagraph"/>
        <w:numPr>
          <w:ilvl w:val="0"/>
          <w:numId w:val="21"/>
        </w:numPr>
        <w:tabs>
          <w:tab w:val="center" w:pos="4513"/>
        </w:tabs>
        <w:spacing w:before="0" w:after="0"/>
      </w:pPr>
      <w:r>
        <w:tab/>
        <w:t>the proposed CAB shall not be included in Annex C until a decision has been made to include the CAB.</w:t>
      </w:r>
    </w:p>
    <w:p w14:paraId="78CC3DF1" w14:textId="77777777" w:rsidR="004957B2" w:rsidRDefault="004957B2" w:rsidP="004957B2">
      <w:pPr>
        <w:tabs>
          <w:tab w:val="center" w:pos="4513"/>
        </w:tabs>
        <w:spacing w:before="0" w:after="0"/>
      </w:pPr>
    </w:p>
    <w:p w14:paraId="67E7B505" w14:textId="1127FAC5" w:rsidR="00DF288A" w:rsidRDefault="004957B2" w:rsidP="004957B2">
      <w:pPr>
        <w:pStyle w:val="ListParagraph"/>
        <w:numPr>
          <w:ilvl w:val="0"/>
          <w:numId w:val="20"/>
        </w:numPr>
        <w:tabs>
          <w:tab w:val="center" w:pos="4513"/>
        </w:tabs>
        <w:spacing w:before="0" w:after="0"/>
      </w:pPr>
      <w:r>
        <w:t xml:space="preserve">The ASEAN Secretariat shall maintain Annex C under the Sectoral </w:t>
      </w:r>
      <w:r w:rsidRPr="00C472E6">
        <w:t>MRA</w:t>
      </w:r>
      <w:r>
        <w:t>.</w:t>
      </w:r>
    </w:p>
    <w:p w14:paraId="5BA5007F" w14:textId="77777777" w:rsidR="004957B2" w:rsidRDefault="004957B2" w:rsidP="004957B2">
      <w:pPr>
        <w:tabs>
          <w:tab w:val="center" w:pos="4513"/>
        </w:tabs>
        <w:spacing w:before="0" w:after="0"/>
      </w:pPr>
    </w:p>
    <w:p w14:paraId="6872276D" w14:textId="77777777" w:rsidR="004957B2" w:rsidRDefault="004957B2" w:rsidP="004957B2">
      <w:pPr>
        <w:tabs>
          <w:tab w:val="center" w:pos="4513"/>
        </w:tabs>
        <w:spacing w:before="0" w:after="0"/>
        <w:rPr>
          <w:bCs/>
          <w:u w:val="single"/>
        </w:rPr>
      </w:pPr>
    </w:p>
    <w:p w14:paraId="2C7BFC95" w14:textId="77777777" w:rsidR="004957B2" w:rsidRDefault="004957B2" w:rsidP="004957B2">
      <w:pPr>
        <w:tabs>
          <w:tab w:val="center" w:pos="4513"/>
        </w:tabs>
        <w:spacing w:before="0" w:after="0"/>
        <w:rPr>
          <w:bCs/>
          <w:u w:val="single"/>
        </w:rPr>
      </w:pPr>
    </w:p>
    <w:p w14:paraId="74381267" w14:textId="7E5F6393" w:rsidR="004957B2" w:rsidRPr="004957B2" w:rsidRDefault="004957B2" w:rsidP="00C472E6">
      <w:pPr>
        <w:pStyle w:val="Heading1"/>
      </w:pPr>
      <w:bookmarkStart w:id="17" w:name="_Toc222494213"/>
      <w:r w:rsidRPr="004957B2">
        <w:lastRenderedPageBreak/>
        <w:t>SECTION B</w:t>
      </w:r>
      <w:bookmarkEnd w:id="17"/>
    </w:p>
    <w:p w14:paraId="405179CA" w14:textId="77777777" w:rsidR="004957B2" w:rsidRPr="004957B2" w:rsidRDefault="004957B2" w:rsidP="00C472E6">
      <w:pPr>
        <w:pStyle w:val="Heading1"/>
      </w:pPr>
      <w:bookmarkStart w:id="18" w:name="_Toc222494214"/>
      <w:r w:rsidRPr="004957B2">
        <w:t>SUSPENSION OF LISTED CONFORMITY ASSESSMENT BODIES</w:t>
      </w:r>
      <w:bookmarkEnd w:id="18"/>
    </w:p>
    <w:p w14:paraId="10B9FF2C" w14:textId="77777777" w:rsidR="004957B2" w:rsidRPr="004957B2" w:rsidRDefault="004957B2" w:rsidP="004957B2">
      <w:pPr>
        <w:tabs>
          <w:tab w:val="center" w:pos="4513"/>
        </w:tabs>
        <w:spacing w:before="0" w:after="0"/>
        <w:rPr>
          <w:b/>
        </w:rPr>
      </w:pPr>
    </w:p>
    <w:p w14:paraId="4A7EE4B8" w14:textId="43EB31FB" w:rsidR="004957B2" w:rsidRPr="004957B2" w:rsidRDefault="004957B2" w:rsidP="004957B2">
      <w:pPr>
        <w:tabs>
          <w:tab w:val="center" w:pos="4513"/>
        </w:tabs>
        <w:spacing w:before="0" w:after="0"/>
      </w:pPr>
      <w:r w:rsidRPr="004957B2">
        <w:t>The following procedures shall apply with regard to the suspension of a CAB listed in this Sectoral MRA:</w:t>
      </w:r>
    </w:p>
    <w:p w14:paraId="0119475B" w14:textId="4C90C9EC" w:rsidR="004957B2" w:rsidRPr="004957B2" w:rsidRDefault="004957B2" w:rsidP="004957B2">
      <w:pPr>
        <w:tabs>
          <w:tab w:val="center" w:pos="4513"/>
        </w:tabs>
        <w:spacing w:before="0" w:after="0"/>
      </w:pPr>
    </w:p>
    <w:p w14:paraId="66FE2CA8" w14:textId="77777777" w:rsidR="004957B2" w:rsidRDefault="004957B2" w:rsidP="004957B2">
      <w:pPr>
        <w:pStyle w:val="ListParagraph"/>
        <w:numPr>
          <w:ilvl w:val="0"/>
          <w:numId w:val="24"/>
        </w:numPr>
        <w:tabs>
          <w:tab w:val="center" w:pos="4513"/>
        </w:tabs>
        <w:spacing w:before="0" w:after="0"/>
      </w:pPr>
      <w:r w:rsidRPr="004957B2">
        <w:t>any Member State which contests the technical competence or compliance of a Listed CAB shall, through its contact point, submit a notification to the JSC, through the ASEAN Secretariat with relevant written justifications;</w:t>
      </w:r>
    </w:p>
    <w:p w14:paraId="79A6405D" w14:textId="77777777" w:rsidR="004957B2" w:rsidRDefault="004957B2" w:rsidP="004957B2">
      <w:pPr>
        <w:pStyle w:val="ListParagraph"/>
        <w:tabs>
          <w:tab w:val="center" w:pos="4513"/>
        </w:tabs>
        <w:spacing w:before="0" w:after="0"/>
      </w:pPr>
    </w:p>
    <w:p w14:paraId="034E0328" w14:textId="77777777" w:rsidR="004957B2" w:rsidRDefault="004957B2" w:rsidP="004957B2">
      <w:pPr>
        <w:pStyle w:val="ListParagraph"/>
        <w:numPr>
          <w:ilvl w:val="0"/>
          <w:numId w:val="24"/>
        </w:numPr>
        <w:tabs>
          <w:tab w:val="center" w:pos="4513"/>
        </w:tabs>
        <w:spacing w:before="0" w:after="0"/>
      </w:pPr>
      <w:r w:rsidRPr="004957B2">
        <w:t xml:space="preserve">the ASEAN Secretariat shall promptly notify, in writing, the CAB concerned. The CAB shall be provided with a period of 30 calendar days from its receipt of the notification from the ASEAN Secretariat, extendable by the JSC upon reasonable request by the CAB, to present information in order to respond to the claims in subparagraph (a) or to correct the </w:t>
      </w:r>
    </w:p>
    <w:p w14:paraId="62DBC748" w14:textId="77777777" w:rsidR="004957B2" w:rsidRDefault="004957B2" w:rsidP="004957B2">
      <w:pPr>
        <w:pStyle w:val="ListParagraph"/>
      </w:pPr>
    </w:p>
    <w:p w14:paraId="6C6A5657" w14:textId="77777777" w:rsidR="004957B2" w:rsidRDefault="004957B2" w:rsidP="004957B2">
      <w:pPr>
        <w:pStyle w:val="ListParagraph"/>
        <w:numPr>
          <w:ilvl w:val="0"/>
          <w:numId w:val="24"/>
        </w:numPr>
        <w:tabs>
          <w:tab w:val="center" w:pos="4513"/>
        </w:tabs>
        <w:spacing w:before="0" w:after="0"/>
      </w:pPr>
      <w:r w:rsidRPr="004957B2">
        <w:t>any such contestation shall be discussed by the JSC, which may decide to suspend the CAB in question. If the matter has not been resolved by the JSC within 21 calendar days of the receipt of response from the CAB, extendable by the JSC, the CAB shall be suspended upon the request of the contesting Member State. The ASEAN Secretariat shall inform the CAB of the decision made by the JSC. Pending the decision of the JSC, the Regulatory Authority of the contesting Member State may take all appropriate measures according to the provisions stated in Article 8;</w:t>
      </w:r>
    </w:p>
    <w:p w14:paraId="467F26C4" w14:textId="77777777" w:rsidR="004957B2" w:rsidRDefault="004957B2" w:rsidP="004957B2">
      <w:pPr>
        <w:pStyle w:val="ListParagraph"/>
      </w:pPr>
    </w:p>
    <w:p w14:paraId="5658ED31" w14:textId="77777777" w:rsidR="004957B2" w:rsidRDefault="004957B2" w:rsidP="004957B2">
      <w:pPr>
        <w:pStyle w:val="ListParagraph"/>
        <w:numPr>
          <w:ilvl w:val="0"/>
          <w:numId w:val="24"/>
        </w:numPr>
        <w:tabs>
          <w:tab w:val="center" w:pos="4513"/>
        </w:tabs>
        <w:spacing w:before="0" w:after="0"/>
      </w:pPr>
      <w:r w:rsidRPr="004957B2">
        <w:t>where the JSC decides that verification of technical competence or compliance is required, such verification shall be carried out in accordance with Section D;</w:t>
      </w:r>
    </w:p>
    <w:p w14:paraId="2C9046F8" w14:textId="77777777" w:rsidR="004957B2" w:rsidRDefault="004957B2" w:rsidP="004957B2">
      <w:pPr>
        <w:pStyle w:val="ListParagraph"/>
      </w:pPr>
    </w:p>
    <w:p w14:paraId="19C0AD8A" w14:textId="77777777" w:rsidR="004957B2" w:rsidRDefault="004957B2" w:rsidP="004957B2">
      <w:pPr>
        <w:pStyle w:val="ListParagraph"/>
        <w:numPr>
          <w:ilvl w:val="0"/>
          <w:numId w:val="24"/>
        </w:numPr>
        <w:tabs>
          <w:tab w:val="center" w:pos="4513"/>
        </w:tabs>
        <w:spacing w:before="0" w:after="0"/>
      </w:pPr>
      <w:r w:rsidRPr="004957B2">
        <w:t>upon the suspension of a CAB listed in this Sectoral MRA, Member States are no longer obligated to accept the test reports or certifications issued by that CAB. Member States shall, subject to Article 8, continue to accept the test reports or certifications issued by that CAB prior to its suspension; and</w:t>
      </w:r>
    </w:p>
    <w:p w14:paraId="0FCE3764" w14:textId="77777777" w:rsidR="004957B2" w:rsidRDefault="004957B2" w:rsidP="004957B2">
      <w:pPr>
        <w:pStyle w:val="ListParagraph"/>
      </w:pPr>
    </w:p>
    <w:p w14:paraId="39B0C21A" w14:textId="7DE3B217" w:rsidR="004957B2" w:rsidRDefault="004957B2" w:rsidP="004957B2">
      <w:pPr>
        <w:pStyle w:val="ListParagraph"/>
        <w:numPr>
          <w:ilvl w:val="0"/>
          <w:numId w:val="24"/>
        </w:numPr>
        <w:tabs>
          <w:tab w:val="center" w:pos="4513"/>
        </w:tabs>
        <w:spacing w:before="0" w:after="0"/>
      </w:pPr>
      <w:r w:rsidRPr="004957B2">
        <w:t>the suspension shall remain in effect until an agreement has been reached by the JSC on the future status of that CAB.</w:t>
      </w:r>
    </w:p>
    <w:p w14:paraId="1A75F124" w14:textId="77777777" w:rsidR="004957B2" w:rsidRPr="004957B2" w:rsidRDefault="004957B2" w:rsidP="004957B2">
      <w:pPr>
        <w:tabs>
          <w:tab w:val="center" w:pos="4513"/>
        </w:tabs>
        <w:spacing w:before="0" w:after="0"/>
      </w:pPr>
    </w:p>
    <w:p w14:paraId="7253EE3C" w14:textId="77777777" w:rsidR="004957B2" w:rsidRPr="004957B2" w:rsidRDefault="004957B2" w:rsidP="00C472E6">
      <w:pPr>
        <w:pStyle w:val="Heading1"/>
      </w:pPr>
      <w:bookmarkStart w:id="19" w:name="_Toc222494215"/>
      <w:r w:rsidRPr="004957B2">
        <w:t>SECTION C</w:t>
      </w:r>
      <w:bookmarkEnd w:id="19"/>
    </w:p>
    <w:p w14:paraId="031D6CF5" w14:textId="77777777" w:rsidR="004957B2" w:rsidRPr="004957B2" w:rsidRDefault="004957B2" w:rsidP="00C472E6">
      <w:pPr>
        <w:pStyle w:val="Heading1"/>
      </w:pPr>
      <w:bookmarkStart w:id="20" w:name="_Toc222494216"/>
      <w:r w:rsidRPr="004957B2">
        <w:t>REMOVAL OF LISTED CONFORMITY ASSESSMENT BODIES</w:t>
      </w:r>
      <w:bookmarkEnd w:id="20"/>
    </w:p>
    <w:p w14:paraId="1AE9A150" w14:textId="77777777" w:rsidR="004957B2" w:rsidRPr="004957B2" w:rsidRDefault="004957B2" w:rsidP="004957B2">
      <w:pPr>
        <w:tabs>
          <w:tab w:val="center" w:pos="4513"/>
        </w:tabs>
        <w:spacing w:before="0" w:after="0"/>
        <w:rPr>
          <w:b/>
        </w:rPr>
      </w:pPr>
    </w:p>
    <w:p w14:paraId="0FDE3749" w14:textId="77777777" w:rsidR="004957B2" w:rsidRPr="004957B2" w:rsidRDefault="004957B2" w:rsidP="004957B2">
      <w:pPr>
        <w:tabs>
          <w:tab w:val="center" w:pos="4513"/>
        </w:tabs>
        <w:spacing w:before="0" w:after="0"/>
      </w:pPr>
      <w:r w:rsidRPr="004957B2">
        <w:t>The following procedures shall apply with regard to the removal of a listed CAB from this Sectoral MRA:</w:t>
      </w:r>
    </w:p>
    <w:p w14:paraId="5AFB9EFE" w14:textId="77777777" w:rsidR="004957B2" w:rsidRPr="004957B2" w:rsidRDefault="004957B2" w:rsidP="004957B2">
      <w:pPr>
        <w:tabs>
          <w:tab w:val="center" w:pos="4513"/>
        </w:tabs>
        <w:spacing w:before="0" w:after="0"/>
      </w:pPr>
    </w:p>
    <w:p w14:paraId="196A6D8C" w14:textId="77777777" w:rsidR="00DF0F38" w:rsidRDefault="004957B2" w:rsidP="00DF0F38">
      <w:pPr>
        <w:pStyle w:val="ListParagraph"/>
        <w:numPr>
          <w:ilvl w:val="0"/>
          <w:numId w:val="26"/>
        </w:numPr>
        <w:tabs>
          <w:tab w:val="center" w:pos="4513"/>
        </w:tabs>
        <w:spacing w:before="0" w:after="0"/>
      </w:pPr>
      <w:r w:rsidRPr="004957B2">
        <w:t xml:space="preserve">a Member State </w:t>
      </w:r>
      <w:proofErr w:type="gramStart"/>
      <w:r w:rsidRPr="004957B2">
        <w:t>proposing</w:t>
      </w:r>
      <w:proofErr w:type="gramEnd"/>
      <w:r w:rsidRPr="004957B2">
        <w:t xml:space="preserve"> to remove a CAB listed in this Sectoral MRA shall, through its contact point, forward its proposal in an objective and reasonable manner in writing to the JSC, through the ASEAN Secretariat;</w:t>
      </w:r>
    </w:p>
    <w:p w14:paraId="05094698" w14:textId="77777777" w:rsidR="00DF0F38" w:rsidRDefault="00DF0F38" w:rsidP="00DF0F38">
      <w:pPr>
        <w:pStyle w:val="ListParagraph"/>
        <w:tabs>
          <w:tab w:val="center" w:pos="4513"/>
        </w:tabs>
        <w:spacing w:before="0" w:after="0"/>
      </w:pPr>
    </w:p>
    <w:p w14:paraId="41C43DAD" w14:textId="74617195" w:rsidR="004957B2" w:rsidRDefault="00DF0F38" w:rsidP="00DF0F38">
      <w:pPr>
        <w:pStyle w:val="ListParagraph"/>
        <w:numPr>
          <w:ilvl w:val="0"/>
          <w:numId w:val="26"/>
        </w:numPr>
      </w:pPr>
      <w:r w:rsidRPr="00DF0F38">
        <w:t xml:space="preserve">such a CAB shall be promptly notified in writing by the ASEAN Secretariat and shall be </w:t>
      </w:r>
      <w:proofErr w:type="gramStart"/>
      <w:r w:rsidRPr="00DF0F38">
        <w:t>provided</w:t>
      </w:r>
      <w:proofErr w:type="gramEnd"/>
      <w:r w:rsidRPr="00DF0F38">
        <w:t xml:space="preserve"> a period of at least 30 calendar days from the receipt of the notification, extendable by the JSC, to present information in order to refute or to </w:t>
      </w:r>
      <w:r w:rsidR="000F2488" w:rsidRPr="00DF0F38">
        <w:t>correct the</w:t>
      </w:r>
      <w:r w:rsidRPr="00DF0F38">
        <w:t xml:space="preserve"> deficiencies which form the basis of the proposed removal;</w:t>
      </w:r>
    </w:p>
    <w:p w14:paraId="041B2FC5" w14:textId="77777777" w:rsidR="00DF0F38" w:rsidRDefault="00DF0F38" w:rsidP="00DF0F38">
      <w:pPr>
        <w:pStyle w:val="ListParagraph"/>
      </w:pPr>
    </w:p>
    <w:p w14:paraId="3DA7DCDB" w14:textId="77777777" w:rsidR="00DF0F38" w:rsidRDefault="004957B2" w:rsidP="00DF0F38">
      <w:pPr>
        <w:pStyle w:val="ListParagraph"/>
        <w:numPr>
          <w:ilvl w:val="0"/>
          <w:numId w:val="26"/>
        </w:numPr>
      </w:pPr>
      <w:r w:rsidRPr="004957B2">
        <w:t>within 60 calendar days following receipt of a proposal:</w:t>
      </w:r>
    </w:p>
    <w:p w14:paraId="6BD0863D" w14:textId="77777777" w:rsidR="00DF0F38" w:rsidRDefault="00DF0F38" w:rsidP="00DF0F38">
      <w:pPr>
        <w:pStyle w:val="ListParagraph"/>
      </w:pPr>
    </w:p>
    <w:p w14:paraId="0C3C2D40" w14:textId="14427E38" w:rsidR="004957B2" w:rsidRPr="004957B2" w:rsidRDefault="004957B2" w:rsidP="000F0226">
      <w:pPr>
        <w:pStyle w:val="ListParagraph"/>
        <w:numPr>
          <w:ilvl w:val="1"/>
          <w:numId w:val="25"/>
        </w:numPr>
        <w:spacing w:before="0" w:after="0" w:line="240" w:lineRule="auto"/>
        <w:ind w:left="1428"/>
      </w:pPr>
      <w:r w:rsidRPr="004957B2">
        <w:lastRenderedPageBreak/>
        <w:t>the JSC shall indicate their position regarding their approval or opposition on removing the said CAB from Annex C;</w:t>
      </w:r>
    </w:p>
    <w:p w14:paraId="7BA0A944" w14:textId="77777777" w:rsidR="004957B2" w:rsidRPr="004957B2" w:rsidRDefault="004957B2" w:rsidP="000F0226">
      <w:pPr>
        <w:tabs>
          <w:tab w:val="center" w:pos="4513"/>
        </w:tabs>
        <w:spacing w:before="0" w:after="0" w:line="240" w:lineRule="auto"/>
      </w:pPr>
    </w:p>
    <w:p w14:paraId="5D8A9EAC" w14:textId="77777777" w:rsidR="004957B2" w:rsidRPr="004957B2" w:rsidRDefault="004957B2" w:rsidP="000F0226">
      <w:pPr>
        <w:numPr>
          <w:ilvl w:val="1"/>
          <w:numId w:val="25"/>
        </w:numPr>
        <w:tabs>
          <w:tab w:val="center" w:pos="4513"/>
        </w:tabs>
        <w:spacing w:before="0" w:after="0" w:line="240" w:lineRule="auto"/>
        <w:ind w:left="1428"/>
      </w:pPr>
      <w:r w:rsidRPr="004957B2">
        <w:t>if there is no response from a JSC member, the abstaining JSC member will be deemed to have no objections to the removal of said CAB from Annex C;</w:t>
      </w:r>
    </w:p>
    <w:p w14:paraId="29F607D3" w14:textId="77777777" w:rsidR="004957B2" w:rsidRPr="004957B2" w:rsidRDefault="004957B2" w:rsidP="000F0226">
      <w:pPr>
        <w:tabs>
          <w:tab w:val="center" w:pos="4513"/>
        </w:tabs>
        <w:spacing w:before="0" w:after="0" w:line="240" w:lineRule="auto"/>
      </w:pPr>
    </w:p>
    <w:p w14:paraId="0E33DDCA" w14:textId="77777777" w:rsidR="00C472E6" w:rsidRDefault="004957B2" w:rsidP="000F0226">
      <w:pPr>
        <w:numPr>
          <w:ilvl w:val="1"/>
          <w:numId w:val="25"/>
        </w:numPr>
        <w:tabs>
          <w:tab w:val="center" w:pos="4513"/>
        </w:tabs>
        <w:spacing w:before="0" w:after="0" w:line="240" w:lineRule="auto"/>
        <w:ind w:left="1428"/>
      </w:pPr>
      <w:r w:rsidRPr="004957B2">
        <w:t>at the end of the 60 calendar days, the CAB shall be removed from Annex C upon the approval of the JSC; and</w:t>
      </w:r>
    </w:p>
    <w:p w14:paraId="156B042F" w14:textId="77777777" w:rsidR="00C472E6" w:rsidRDefault="00C472E6" w:rsidP="00C472E6">
      <w:pPr>
        <w:tabs>
          <w:tab w:val="center" w:pos="4513"/>
        </w:tabs>
        <w:spacing w:before="0" w:after="0"/>
        <w:ind w:left="1428"/>
      </w:pPr>
    </w:p>
    <w:p w14:paraId="394B7747" w14:textId="4ACF7FEA" w:rsidR="004957B2" w:rsidRPr="004957B2" w:rsidRDefault="004957B2" w:rsidP="00C472E6">
      <w:pPr>
        <w:numPr>
          <w:ilvl w:val="1"/>
          <w:numId w:val="25"/>
        </w:numPr>
        <w:tabs>
          <w:tab w:val="center" w:pos="4513"/>
        </w:tabs>
        <w:spacing w:before="0" w:after="0"/>
        <w:ind w:left="1428"/>
      </w:pPr>
      <w:r w:rsidRPr="004957B2">
        <w:t>the CAB shall be notified of its removal from Annex C by the ASEAN Secretariat;</w:t>
      </w:r>
    </w:p>
    <w:p w14:paraId="1F2BB0D7" w14:textId="77777777" w:rsidR="004957B2" w:rsidRPr="004957B2" w:rsidRDefault="004957B2" w:rsidP="004957B2">
      <w:pPr>
        <w:tabs>
          <w:tab w:val="center" w:pos="4513"/>
        </w:tabs>
        <w:spacing w:before="0" w:after="0"/>
      </w:pPr>
    </w:p>
    <w:p w14:paraId="3A5EC42B" w14:textId="77777777" w:rsidR="00DF0F38" w:rsidRDefault="004957B2" w:rsidP="00DF0F38">
      <w:pPr>
        <w:pStyle w:val="ListParagraph"/>
        <w:numPr>
          <w:ilvl w:val="0"/>
          <w:numId w:val="26"/>
        </w:numPr>
        <w:tabs>
          <w:tab w:val="center" w:pos="4513"/>
        </w:tabs>
        <w:spacing w:before="0" w:after="0"/>
      </w:pPr>
      <w:r w:rsidRPr="004957B2">
        <w:t>if the JSC finds sufficient grounds based on the evidence submitted, it may decide to carry out a joint verification of the body concerned. Pending completion of the joint verification, the CAB shall not be removed from the respective lists of accepted CABs; and</w:t>
      </w:r>
    </w:p>
    <w:p w14:paraId="5652F88C" w14:textId="77777777" w:rsidR="00DF0F38" w:rsidRDefault="00DF0F38" w:rsidP="00DF0F38">
      <w:pPr>
        <w:pStyle w:val="ListParagraph"/>
        <w:tabs>
          <w:tab w:val="center" w:pos="4513"/>
        </w:tabs>
        <w:spacing w:before="0" w:after="0"/>
      </w:pPr>
    </w:p>
    <w:p w14:paraId="34BB1971" w14:textId="064C5B7F" w:rsidR="004957B2" w:rsidRDefault="004957B2" w:rsidP="00DF0F38">
      <w:pPr>
        <w:pStyle w:val="ListParagraph"/>
        <w:numPr>
          <w:ilvl w:val="0"/>
          <w:numId w:val="26"/>
        </w:numPr>
        <w:tabs>
          <w:tab w:val="center" w:pos="4513"/>
        </w:tabs>
        <w:spacing w:before="0" w:after="0"/>
      </w:pPr>
      <w:r w:rsidRPr="004957B2">
        <w:t>prior to the removal of a CAB listed in this Sectoral MRA, Member States shall, subject to Article 8, continue to accept the test reports or certifications issued by that CAB.</w:t>
      </w:r>
    </w:p>
    <w:p w14:paraId="4C8125B6" w14:textId="77777777" w:rsidR="00DF0F38" w:rsidRDefault="00DF0F38" w:rsidP="00DF0F38">
      <w:pPr>
        <w:pStyle w:val="ListParagraph"/>
      </w:pPr>
    </w:p>
    <w:p w14:paraId="4A9F89AF" w14:textId="77777777" w:rsidR="00DF0F38" w:rsidRPr="00DF0F38" w:rsidRDefault="00DF0F38" w:rsidP="003879EA">
      <w:pPr>
        <w:pStyle w:val="Heading1"/>
      </w:pPr>
      <w:bookmarkStart w:id="21" w:name="_Toc222494217"/>
      <w:r w:rsidRPr="00DF0F38">
        <w:t>SECTION D</w:t>
      </w:r>
      <w:bookmarkEnd w:id="21"/>
    </w:p>
    <w:p w14:paraId="5BA7CAC1" w14:textId="77777777" w:rsidR="00DF0F38" w:rsidRPr="00DF0F38" w:rsidRDefault="00DF0F38" w:rsidP="003879EA">
      <w:pPr>
        <w:pStyle w:val="Heading1"/>
      </w:pPr>
      <w:bookmarkStart w:id="22" w:name="_Toc222494218"/>
      <w:r w:rsidRPr="00DF0F38">
        <w:t>VERIFICATION OF TECHNICAL COMPETENCE AND COMPLIANCE OF CONFORMITY ASSESSMENT BODIES</w:t>
      </w:r>
      <w:bookmarkEnd w:id="22"/>
    </w:p>
    <w:p w14:paraId="4F1A46E6" w14:textId="77777777" w:rsidR="00DF0F38" w:rsidRPr="00DF0F38" w:rsidRDefault="00DF0F38" w:rsidP="00DF0F38">
      <w:pPr>
        <w:tabs>
          <w:tab w:val="center" w:pos="4513"/>
        </w:tabs>
        <w:spacing w:before="0" w:after="0"/>
        <w:rPr>
          <w:b/>
        </w:rPr>
      </w:pPr>
    </w:p>
    <w:p w14:paraId="3E1EB7E7" w14:textId="057E4ECE" w:rsidR="00DF0F38" w:rsidRPr="00DF0F38" w:rsidRDefault="00DF0F38" w:rsidP="00CB1859">
      <w:pPr>
        <w:pStyle w:val="ListParagraph"/>
        <w:numPr>
          <w:ilvl w:val="0"/>
          <w:numId w:val="48"/>
        </w:numPr>
        <w:tabs>
          <w:tab w:val="center" w:pos="4513"/>
        </w:tabs>
        <w:spacing w:before="0" w:after="0"/>
        <w:ind w:left="438" w:hanging="438"/>
      </w:pPr>
      <w:r w:rsidRPr="00DF0F38">
        <w:t>The Designating Body shall ensure that the identified CAB shall be available for verification of its technical competence and compliance with applicable requirements when required by the JSC.</w:t>
      </w:r>
    </w:p>
    <w:p w14:paraId="3B81E44C" w14:textId="77777777" w:rsidR="00DF0F38" w:rsidRPr="00DF0F38" w:rsidRDefault="00DF0F38" w:rsidP="00CB1859">
      <w:pPr>
        <w:tabs>
          <w:tab w:val="center" w:pos="4513"/>
        </w:tabs>
        <w:spacing w:before="0" w:after="0"/>
        <w:ind w:hanging="438"/>
      </w:pPr>
    </w:p>
    <w:p w14:paraId="5ED404DE" w14:textId="4ED34D34" w:rsidR="00DF0F38" w:rsidRDefault="00DF0F38" w:rsidP="00CB1859">
      <w:pPr>
        <w:numPr>
          <w:ilvl w:val="0"/>
          <w:numId w:val="48"/>
        </w:numPr>
        <w:tabs>
          <w:tab w:val="center" w:pos="4513"/>
        </w:tabs>
        <w:spacing w:before="0" w:after="0"/>
        <w:ind w:left="438" w:hanging="438"/>
      </w:pPr>
      <w:r w:rsidRPr="00DF0F38">
        <w:t>Written justification shall be submitted to the ASEAN Secretariat for any request for verification of technical competence or complianc</w:t>
      </w:r>
      <w:r>
        <w:t xml:space="preserve">e </w:t>
      </w:r>
      <w:r w:rsidRPr="00DF0F38">
        <w:t>of the CAB, which shall be promptly forwarded to the JSC for a decision.</w:t>
      </w:r>
      <w:r>
        <w:t xml:space="preserve"> </w:t>
      </w:r>
    </w:p>
    <w:p w14:paraId="5B19A593" w14:textId="77777777" w:rsidR="00CB1859" w:rsidRDefault="00CB1859" w:rsidP="00CB1859">
      <w:pPr>
        <w:tabs>
          <w:tab w:val="center" w:pos="4513"/>
        </w:tabs>
        <w:spacing w:before="0" w:after="0"/>
        <w:ind w:left="438" w:hanging="438"/>
      </w:pPr>
    </w:p>
    <w:p w14:paraId="1143269F" w14:textId="1261CDC7" w:rsidR="00DF0F38" w:rsidRDefault="00DF0F38" w:rsidP="00CB1859">
      <w:pPr>
        <w:numPr>
          <w:ilvl w:val="0"/>
          <w:numId w:val="48"/>
        </w:numPr>
        <w:tabs>
          <w:tab w:val="center" w:pos="4513"/>
        </w:tabs>
        <w:spacing w:before="0" w:after="0"/>
        <w:ind w:left="438" w:hanging="438"/>
      </w:pPr>
      <w:r>
        <w:t>Where the JSC decides that verification of technical competence or compliance is required, it shall be carried out in a timely manner, based on the procedures and criteria set forth in Section E.</w:t>
      </w:r>
    </w:p>
    <w:p w14:paraId="582D4F51" w14:textId="77777777" w:rsidR="00DF0F38" w:rsidRDefault="00DF0F38" w:rsidP="00CB1859">
      <w:pPr>
        <w:tabs>
          <w:tab w:val="center" w:pos="4513"/>
        </w:tabs>
        <w:spacing w:before="0" w:after="0"/>
        <w:ind w:left="438" w:hanging="438"/>
      </w:pPr>
    </w:p>
    <w:p w14:paraId="5D48C10C" w14:textId="77777777" w:rsidR="00DF0F38" w:rsidRDefault="00DF0F38" w:rsidP="00CB1859">
      <w:pPr>
        <w:numPr>
          <w:ilvl w:val="0"/>
          <w:numId w:val="48"/>
        </w:numPr>
        <w:tabs>
          <w:tab w:val="center" w:pos="4513"/>
        </w:tabs>
        <w:spacing w:before="0" w:after="0"/>
        <w:ind w:left="438" w:hanging="438"/>
      </w:pPr>
      <w:r>
        <w:t>The result of this verification shall be discussed by the JSC with a view to resolving any issue arising as soon as possible.</w:t>
      </w:r>
    </w:p>
    <w:p w14:paraId="38825744" w14:textId="77777777" w:rsidR="00DF0F38" w:rsidRDefault="00DF0F38" w:rsidP="00DF0F38">
      <w:pPr>
        <w:tabs>
          <w:tab w:val="center" w:pos="4513"/>
        </w:tabs>
        <w:spacing w:before="0" w:after="0"/>
      </w:pPr>
    </w:p>
    <w:p w14:paraId="08FAC5F0" w14:textId="77777777" w:rsidR="00DF0F38" w:rsidRPr="00DF0F38" w:rsidRDefault="00DF0F38" w:rsidP="00D30AE4">
      <w:pPr>
        <w:pStyle w:val="Heading1"/>
      </w:pPr>
      <w:bookmarkStart w:id="23" w:name="_Toc222494219"/>
      <w:r w:rsidRPr="00DF0F38">
        <w:t>SECTION E</w:t>
      </w:r>
      <w:bookmarkEnd w:id="23"/>
    </w:p>
    <w:p w14:paraId="119BF9E1" w14:textId="77777777" w:rsidR="00DF0F38" w:rsidRDefault="00DF0F38" w:rsidP="00D30AE4">
      <w:pPr>
        <w:pStyle w:val="Heading1"/>
      </w:pPr>
      <w:bookmarkStart w:id="24" w:name="_Toc222494220"/>
      <w:r w:rsidRPr="00DF0F38">
        <w:t>TECHNICAL COMPETENCE OF CONFORMITY ASSESSMENT BODIES</w:t>
      </w:r>
      <w:bookmarkEnd w:id="24"/>
    </w:p>
    <w:p w14:paraId="3BED7855" w14:textId="3FDF2455" w:rsidR="00DF0F38" w:rsidRDefault="00DF0F38" w:rsidP="00D30AE4">
      <w:pPr>
        <w:pStyle w:val="ListParagraph"/>
        <w:numPr>
          <w:ilvl w:val="0"/>
          <w:numId w:val="49"/>
        </w:numPr>
        <w:tabs>
          <w:tab w:val="center" w:pos="4513"/>
        </w:tabs>
        <w:spacing w:before="0" w:after="0"/>
        <w:ind w:left="360" w:hanging="348"/>
      </w:pPr>
      <w:r w:rsidRPr="00DF0F38">
        <w:t xml:space="preserve">The general requirements for demonstration of technical competence of CABs shall be based </w:t>
      </w:r>
      <w:r>
        <w:t>on</w:t>
      </w:r>
    </w:p>
    <w:p w14:paraId="0304BB57" w14:textId="77777777" w:rsidR="00DF0F38" w:rsidRPr="00DF0F38" w:rsidRDefault="00DF0F38" w:rsidP="00DF0F38">
      <w:pPr>
        <w:pStyle w:val="ListParagraph"/>
        <w:tabs>
          <w:tab w:val="center" w:pos="4513"/>
        </w:tabs>
        <w:spacing w:before="0" w:after="0"/>
        <w:ind w:left="1063"/>
      </w:pPr>
    </w:p>
    <w:p w14:paraId="202E3085" w14:textId="77777777" w:rsidR="00DF0F38" w:rsidRPr="00DF0F38" w:rsidRDefault="00DF0F38" w:rsidP="00DF0F38">
      <w:pPr>
        <w:numPr>
          <w:ilvl w:val="1"/>
          <w:numId w:val="29"/>
        </w:numPr>
        <w:tabs>
          <w:tab w:val="center" w:pos="4513"/>
        </w:tabs>
        <w:spacing w:before="0" w:after="0"/>
      </w:pPr>
      <w:r w:rsidRPr="00DF0F38">
        <w:t>technical knowledge of the relevant products and processes;</w:t>
      </w:r>
    </w:p>
    <w:p w14:paraId="2708176A" w14:textId="77777777" w:rsidR="00DF0F38" w:rsidRPr="00DF0F38" w:rsidRDefault="00DF0F38" w:rsidP="00DF0F38">
      <w:pPr>
        <w:tabs>
          <w:tab w:val="center" w:pos="4513"/>
        </w:tabs>
        <w:spacing w:before="0" w:after="0"/>
      </w:pPr>
    </w:p>
    <w:p w14:paraId="7C7700B7" w14:textId="77777777" w:rsidR="00DF0F38" w:rsidRDefault="00DF0F38" w:rsidP="00DF0F38">
      <w:pPr>
        <w:numPr>
          <w:ilvl w:val="1"/>
          <w:numId w:val="29"/>
        </w:numPr>
        <w:tabs>
          <w:tab w:val="center" w:pos="4513"/>
        </w:tabs>
        <w:spacing w:before="0" w:after="0"/>
      </w:pPr>
      <w:r w:rsidRPr="00DF0F38">
        <w:t>the understanding of the technical standards and the health, safety, and environmental requirements for which designation is sought;</w:t>
      </w:r>
    </w:p>
    <w:p w14:paraId="7E0F3711" w14:textId="77777777" w:rsidR="00DF0F38" w:rsidRPr="00DF0F38" w:rsidRDefault="00DF0F38" w:rsidP="00DF0F38">
      <w:pPr>
        <w:tabs>
          <w:tab w:val="center" w:pos="4513"/>
        </w:tabs>
        <w:spacing w:before="0" w:after="0"/>
      </w:pPr>
    </w:p>
    <w:p w14:paraId="7C636A0F" w14:textId="77777777" w:rsidR="00DF0F38" w:rsidRPr="00DF0F38" w:rsidRDefault="00DF0F38" w:rsidP="00DF0F38">
      <w:pPr>
        <w:numPr>
          <w:ilvl w:val="1"/>
          <w:numId w:val="29"/>
        </w:numPr>
        <w:tabs>
          <w:tab w:val="center" w:pos="4513"/>
        </w:tabs>
        <w:spacing w:before="0" w:after="0"/>
      </w:pPr>
      <w:r w:rsidRPr="00DF0F38">
        <w:t>the experience relevant to the applicable legislative, regulatory, and administrative provisions;</w:t>
      </w:r>
    </w:p>
    <w:p w14:paraId="0CE8ABC7" w14:textId="77777777" w:rsidR="00DF0F38" w:rsidRPr="00DF0F38" w:rsidRDefault="00DF0F38" w:rsidP="00DF0F38">
      <w:pPr>
        <w:tabs>
          <w:tab w:val="center" w:pos="4513"/>
        </w:tabs>
        <w:spacing w:before="0" w:after="0"/>
      </w:pPr>
    </w:p>
    <w:p w14:paraId="55129B2D" w14:textId="77777777" w:rsidR="00DF0F38" w:rsidRPr="00DF0F38" w:rsidRDefault="00DF0F38" w:rsidP="00DF0F38">
      <w:pPr>
        <w:numPr>
          <w:ilvl w:val="1"/>
          <w:numId w:val="29"/>
        </w:numPr>
        <w:tabs>
          <w:tab w:val="center" w:pos="4513"/>
        </w:tabs>
        <w:spacing w:before="0" w:after="0"/>
      </w:pPr>
      <w:r w:rsidRPr="00DF0F38">
        <w:t>the physical capability to perform the relevant tests; and</w:t>
      </w:r>
    </w:p>
    <w:p w14:paraId="45D7FBCB" w14:textId="77777777" w:rsidR="00DF0F38" w:rsidRPr="00DF0F38" w:rsidRDefault="00DF0F38" w:rsidP="00DF0F38">
      <w:pPr>
        <w:tabs>
          <w:tab w:val="center" w:pos="4513"/>
        </w:tabs>
        <w:spacing w:before="0" w:after="0"/>
      </w:pPr>
    </w:p>
    <w:p w14:paraId="09E36A8C" w14:textId="77777777" w:rsidR="00DF0F38" w:rsidRDefault="00DF0F38" w:rsidP="00DF0F38">
      <w:pPr>
        <w:numPr>
          <w:ilvl w:val="1"/>
          <w:numId w:val="29"/>
        </w:numPr>
        <w:tabs>
          <w:tab w:val="center" w:pos="4513"/>
        </w:tabs>
        <w:spacing w:before="0" w:after="0"/>
      </w:pPr>
      <w:r w:rsidRPr="00DF0F38">
        <w:t xml:space="preserve">any other circumstance </w:t>
      </w:r>
      <w:proofErr w:type="gramStart"/>
      <w:r w:rsidRPr="00DF0F38">
        <w:t>necessary</w:t>
      </w:r>
      <w:proofErr w:type="gramEnd"/>
      <w:r w:rsidRPr="00DF0F38">
        <w:t xml:space="preserve"> to give assurance that the test will be adequately performed and managed on a consistent basis.</w:t>
      </w:r>
    </w:p>
    <w:p w14:paraId="28FDDF21" w14:textId="77777777" w:rsidR="00DF0F38" w:rsidRPr="00DF0F38" w:rsidRDefault="00DF0F38" w:rsidP="00DF0F38">
      <w:pPr>
        <w:tabs>
          <w:tab w:val="center" w:pos="4513"/>
        </w:tabs>
        <w:spacing w:before="0" w:after="0"/>
      </w:pPr>
    </w:p>
    <w:p w14:paraId="747B417E" w14:textId="77777777" w:rsidR="00DF0F38" w:rsidRPr="00DF0F38" w:rsidRDefault="00DF0F38" w:rsidP="00D30AE4">
      <w:pPr>
        <w:pStyle w:val="ListParagraph"/>
        <w:numPr>
          <w:ilvl w:val="0"/>
          <w:numId w:val="49"/>
        </w:numPr>
        <w:tabs>
          <w:tab w:val="center" w:pos="4513"/>
        </w:tabs>
        <w:spacing w:before="0" w:after="0"/>
        <w:ind w:left="360" w:hanging="348"/>
      </w:pPr>
      <w:r w:rsidRPr="00DF0F38">
        <w:t>The CABs seeking to be listed under this Sectoral MRA shall fulfil the following requirements of technical competence:</w:t>
      </w:r>
    </w:p>
    <w:p w14:paraId="378C674D" w14:textId="77777777" w:rsidR="00DF0F38" w:rsidRPr="00DF0F38" w:rsidRDefault="00DF0F38" w:rsidP="00DF0F38">
      <w:pPr>
        <w:tabs>
          <w:tab w:val="center" w:pos="4513"/>
        </w:tabs>
        <w:spacing w:before="0" w:after="0"/>
      </w:pPr>
    </w:p>
    <w:p w14:paraId="2063B770" w14:textId="77777777" w:rsidR="00DF0F38" w:rsidRPr="00DF0F38" w:rsidRDefault="00DF0F38" w:rsidP="00D30AE4">
      <w:pPr>
        <w:numPr>
          <w:ilvl w:val="0"/>
          <w:numId w:val="50"/>
        </w:numPr>
        <w:tabs>
          <w:tab w:val="center" w:pos="4513"/>
        </w:tabs>
        <w:spacing w:before="0" w:after="0"/>
      </w:pPr>
      <w:r w:rsidRPr="00DF0F38">
        <w:t>obtain either a:</w:t>
      </w:r>
    </w:p>
    <w:p w14:paraId="2C80FB96" w14:textId="77777777" w:rsidR="00DF0F38" w:rsidRPr="00DF0F38" w:rsidRDefault="00DF0F38" w:rsidP="00D30AE4">
      <w:pPr>
        <w:spacing w:before="0" w:after="0"/>
      </w:pPr>
    </w:p>
    <w:p w14:paraId="62A52BA3" w14:textId="77777777" w:rsidR="00DF0F38" w:rsidRDefault="00DF0F38" w:rsidP="00D30AE4">
      <w:pPr>
        <w:numPr>
          <w:ilvl w:val="2"/>
          <w:numId w:val="29"/>
        </w:numPr>
        <w:spacing w:before="0" w:after="0"/>
        <w:ind w:left="1440"/>
      </w:pPr>
      <w:r w:rsidRPr="00DF0F38">
        <w:t xml:space="preserve">Certificate of Accreditation to ISO/IEC 17025-General requirements for the competence of testing and calibration laboratories for testing </w:t>
      </w:r>
      <w:proofErr w:type="gramStart"/>
      <w:r w:rsidRPr="00DF0F38">
        <w:t>laboratory</w:t>
      </w:r>
      <w:proofErr w:type="gramEnd"/>
      <w:r w:rsidRPr="00DF0F38">
        <w:t>; or</w:t>
      </w:r>
    </w:p>
    <w:p w14:paraId="50F4BE10" w14:textId="77777777" w:rsidR="000F2488" w:rsidRDefault="000F2488" w:rsidP="000F2488">
      <w:pPr>
        <w:spacing w:before="0" w:after="0"/>
        <w:ind w:left="1440"/>
      </w:pPr>
    </w:p>
    <w:p w14:paraId="5B0785E3" w14:textId="3E0970E2" w:rsidR="00DF0F38" w:rsidRDefault="00DF0F38" w:rsidP="00D30AE4">
      <w:pPr>
        <w:numPr>
          <w:ilvl w:val="2"/>
          <w:numId w:val="29"/>
        </w:numPr>
        <w:spacing w:before="0" w:after="0"/>
        <w:ind w:left="1440"/>
      </w:pPr>
      <w:r w:rsidRPr="00DF0F38">
        <w:t>Certificate of Accreditation to ISO/IEC 17065-Requirements for bodies certifying products, processes and services for product certification</w:t>
      </w:r>
    </w:p>
    <w:p w14:paraId="2CC8CE21" w14:textId="77777777" w:rsidR="00DF0F38" w:rsidRDefault="00DF0F38" w:rsidP="00DF0F38">
      <w:pPr>
        <w:tabs>
          <w:tab w:val="center" w:pos="4513"/>
        </w:tabs>
        <w:spacing w:before="0" w:after="0"/>
        <w:ind w:left="2462"/>
      </w:pPr>
    </w:p>
    <w:p w14:paraId="77D7FFB4" w14:textId="77777777" w:rsidR="00DF0F38" w:rsidRDefault="00DF0F38" w:rsidP="00D30AE4">
      <w:pPr>
        <w:pStyle w:val="ListParagraph"/>
        <w:numPr>
          <w:ilvl w:val="0"/>
          <w:numId w:val="50"/>
        </w:numPr>
        <w:tabs>
          <w:tab w:val="center" w:pos="4513"/>
        </w:tabs>
        <w:spacing w:before="0" w:after="0"/>
      </w:pPr>
      <w:r>
        <w:t>accredited by the accreditation body who is a signatory of the Asia Pacific Accreditation Cooperation (APAC) Multilateral Recognition Arrangement; and</w:t>
      </w:r>
    </w:p>
    <w:p w14:paraId="36EF76C2" w14:textId="77777777" w:rsidR="00DF0F38" w:rsidRDefault="00DF0F38" w:rsidP="00DF0F38">
      <w:pPr>
        <w:pStyle w:val="ListParagraph"/>
        <w:tabs>
          <w:tab w:val="center" w:pos="4513"/>
        </w:tabs>
        <w:spacing w:before="0" w:after="0"/>
        <w:ind w:left="1767"/>
      </w:pPr>
    </w:p>
    <w:p w14:paraId="3709D6E8" w14:textId="17A38953" w:rsidR="00DF0F38" w:rsidRDefault="00DF0F38" w:rsidP="00D30AE4">
      <w:pPr>
        <w:pStyle w:val="ListParagraph"/>
        <w:numPr>
          <w:ilvl w:val="0"/>
          <w:numId w:val="50"/>
        </w:numPr>
        <w:tabs>
          <w:tab w:val="center" w:pos="4513"/>
        </w:tabs>
        <w:spacing w:before="0" w:after="0"/>
      </w:pPr>
      <w:r>
        <w:t>scope of accreditation of the CABs.</w:t>
      </w:r>
    </w:p>
    <w:p w14:paraId="28681EFC" w14:textId="77777777" w:rsidR="000E3D65" w:rsidRDefault="000E3D65" w:rsidP="000E3D65">
      <w:pPr>
        <w:tabs>
          <w:tab w:val="center" w:pos="4513"/>
        </w:tabs>
        <w:spacing w:before="0" w:after="0"/>
      </w:pPr>
    </w:p>
    <w:p w14:paraId="6526C64D" w14:textId="77777777" w:rsidR="00D30AE4" w:rsidRDefault="00D30AE4">
      <w:pPr>
        <w:spacing w:before="0" w:after="0" w:line="240" w:lineRule="auto"/>
        <w:jc w:val="left"/>
        <w:rPr>
          <w:rFonts w:eastAsia="Times New Roman"/>
          <w:b/>
          <w:bCs/>
          <w:caps/>
          <w:sz w:val="28"/>
          <w:szCs w:val="28"/>
        </w:rPr>
      </w:pPr>
      <w:r>
        <w:br w:type="page"/>
      </w:r>
    </w:p>
    <w:p w14:paraId="4341EB67" w14:textId="793E4695" w:rsidR="004957B2" w:rsidRPr="00E423E4" w:rsidRDefault="000E3D65" w:rsidP="000E3D65">
      <w:pPr>
        <w:pStyle w:val="Heading1"/>
      </w:pPr>
      <w:bookmarkStart w:id="25" w:name="_Toc222494221"/>
      <w:r>
        <w:lastRenderedPageBreak/>
        <w:t>ANNEX C</w:t>
      </w:r>
      <w:r>
        <w:br/>
      </w:r>
      <w:r w:rsidRPr="000E3D65">
        <w:t>LISTED CONFORMITY ASSESSMENT BODIE</w:t>
      </w:r>
      <w:r>
        <w:t>s</w:t>
      </w:r>
      <w:bookmarkEnd w:id="25"/>
    </w:p>
    <w:sectPr w:rsidR="004957B2"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CA9A" w14:textId="77777777" w:rsidR="0032427E" w:rsidRDefault="0032427E" w:rsidP="00F61B4F">
      <w:pPr>
        <w:spacing w:before="0" w:after="0" w:line="240" w:lineRule="auto"/>
      </w:pPr>
      <w:r>
        <w:separator/>
      </w:r>
    </w:p>
  </w:endnote>
  <w:endnote w:type="continuationSeparator" w:id="0">
    <w:p w14:paraId="22767F50" w14:textId="77777777" w:rsidR="0032427E" w:rsidRDefault="0032427E"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6E57" w14:textId="77777777" w:rsidR="00B532E2" w:rsidRDefault="00B532E2" w:rsidP="00F61B4F">
    <w:pPr>
      <w:pStyle w:val="Footer"/>
      <w:tabs>
        <w:tab w:val="clear" w:pos="9360"/>
        <w:tab w:val="right" w:pos="8931"/>
      </w:tabs>
      <w:jc w:val="right"/>
    </w:pPr>
  </w:p>
  <w:p w14:paraId="6784BC1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EA20" w14:textId="77777777" w:rsidR="00B532E2" w:rsidRDefault="00B532E2" w:rsidP="00F61B4F">
    <w:pPr>
      <w:pStyle w:val="Footer"/>
      <w:tabs>
        <w:tab w:val="clear" w:pos="9360"/>
        <w:tab w:val="right" w:pos="8931"/>
      </w:tabs>
      <w:jc w:val="right"/>
    </w:pPr>
  </w:p>
  <w:p w14:paraId="23EE8839"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0473" w14:textId="77777777" w:rsidR="0032427E" w:rsidRDefault="0032427E" w:rsidP="00F61B4F">
      <w:pPr>
        <w:spacing w:before="0" w:after="0" w:line="240" w:lineRule="auto"/>
      </w:pPr>
      <w:r>
        <w:separator/>
      </w:r>
    </w:p>
  </w:footnote>
  <w:footnote w:type="continuationSeparator" w:id="0">
    <w:p w14:paraId="6FA28D95" w14:textId="77777777" w:rsidR="0032427E" w:rsidRDefault="0032427E"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A83E" w14:textId="67503FDB" w:rsidR="00B532E2" w:rsidRPr="000E3D65" w:rsidRDefault="000E3D65" w:rsidP="00CD6026">
    <w:pPr>
      <w:pStyle w:val="Header"/>
      <w:pBdr>
        <w:bottom w:val="single" w:sz="4" w:space="1" w:color="auto"/>
      </w:pBdr>
      <w:rPr>
        <w:rFonts w:cs="Arial"/>
        <w:bCs/>
        <w:caps/>
        <w:color w:val="808080"/>
        <w:sz w:val="16"/>
        <w:szCs w:val="16"/>
      </w:rPr>
    </w:pPr>
    <w:r>
      <w:rPr>
        <w:rFonts w:cs="Arial"/>
        <w:bCs/>
        <w:caps/>
        <w:color w:val="808080"/>
        <w:sz w:val="16"/>
        <w:szCs w:val="16"/>
      </w:rPr>
      <w:t>2024 A</w:t>
    </w:r>
    <w:r w:rsidRPr="000E3D65">
      <w:rPr>
        <w:rFonts w:cs="Arial"/>
        <w:bCs/>
        <w:caps/>
        <w:color w:val="808080"/>
        <w:sz w:val="16"/>
        <w:szCs w:val="16"/>
      </w:rPr>
      <w:t>SEAN SECTORAL MUTUAL RECOGNITION ARRANGEMENT FOR BUILDING AND CONSTRUCTION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36B61"/>
    <w:multiLevelType w:val="hybridMultilevel"/>
    <w:tmpl w:val="64FA4874"/>
    <w:lvl w:ilvl="0" w:tplc="1E04DEFE">
      <w:start w:val="1"/>
      <w:numFmt w:val="lowerLetter"/>
      <w:lvlText w:val="(%1)"/>
      <w:lvlJc w:val="left"/>
      <w:pPr>
        <w:ind w:left="1754" w:hanging="723"/>
      </w:pPr>
      <w:rPr>
        <w:rFonts w:hint="default"/>
        <w:spacing w:val="-1"/>
        <w:w w:val="98"/>
        <w:lang w:val="en-US" w:eastAsia="en-US" w:bidi="ar-SA"/>
      </w:rPr>
    </w:lvl>
    <w:lvl w:ilvl="1" w:tplc="5A606E34">
      <w:start w:val="1"/>
      <w:numFmt w:val="lowerRoman"/>
      <w:lvlText w:val="(%2)"/>
      <w:lvlJc w:val="left"/>
      <w:pPr>
        <w:ind w:left="2496" w:hanging="708"/>
      </w:pPr>
      <w:rPr>
        <w:rFonts w:ascii="Arial" w:eastAsia="Arial" w:hAnsi="Arial" w:cs="Arial" w:hint="default"/>
        <w:b w:val="0"/>
        <w:bCs w:val="0"/>
        <w:i w:val="0"/>
        <w:iCs w:val="0"/>
        <w:color w:val="313133"/>
        <w:spacing w:val="-1"/>
        <w:w w:val="97"/>
        <w:sz w:val="24"/>
        <w:szCs w:val="24"/>
        <w:lang w:val="en-US" w:eastAsia="en-US" w:bidi="ar-SA"/>
      </w:rPr>
    </w:lvl>
    <w:lvl w:ilvl="2" w:tplc="1820FB48">
      <w:numFmt w:val="bullet"/>
      <w:lvlText w:val="•"/>
      <w:lvlJc w:val="left"/>
      <w:pPr>
        <w:ind w:left="3167" w:hanging="708"/>
      </w:pPr>
      <w:rPr>
        <w:rFonts w:hint="default"/>
        <w:lang w:val="en-US" w:eastAsia="en-US" w:bidi="ar-SA"/>
      </w:rPr>
    </w:lvl>
    <w:lvl w:ilvl="3" w:tplc="944A4B8C">
      <w:numFmt w:val="bullet"/>
      <w:lvlText w:val="•"/>
      <w:lvlJc w:val="left"/>
      <w:pPr>
        <w:ind w:left="3834" w:hanging="708"/>
      </w:pPr>
      <w:rPr>
        <w:rFonts w:hint="default"/>
        <w:lang w:val="en-US" w:eastAsia="en-US" w:bidi="ar-SA"/>
      </w:rPr>
    </w:lvl>
    <w:lvl w:ilvl="4" w:tplc="9DE877DC">
      <w:numFmt w:val="bullet"/>
      <w:lvlText w:val="•"/>
      <w:lvlJc w:val="left"/>
      <w:pPr>
        <w:ind w:left="4502" w:hanging="708"/>
      </w:pPr>
      <w:rPr>
        <w:rFonts w:hint="default"/>
        <w:lang w:val="en-US" w:eastAsia="en-US" w:bidi="ar-SA"/>
      </w:rPr>
    </w:lvl>
    <w:lvl w:ilvl="5" w:tplc="B8BCBD3A">
      <w:numFmt w:val="bullet"/>
      <w:lvlText w:val="•"/>
      <w:lvlJc w:val="left"/>
      <w:pPr>
        <w:ind w:left="5169" w:hanging="708"/>
      </w:pPr>
      <w:rPr>
        <w:rFonts w:hint="default"/>
        <w:lang w:val="en-US" w:eastAsia="en-US" w:bidi="ar-SA"/>
      </w:rPr>
    </w:lvl>
    <w:lvl w:ilvl="6" w:tplc="13B44750">
      <w:numFmt w:val="bullet"/>
      <w:lvlText w:val="•"/>
      <w:lvlJc w:val="left"/>
      <w:pPr>
        <w:ind w:left="5836" w:hanging="708"/>
      </w:pPr>
      <w:rPr>
        <w:rFonts w:hint="default"/>
        <w:lang w:val="en-US" w:eastAsia="en-US" w:bidi="ar-SA"/>
      </w:rPr>
    </w:lvl>
    <w:lvl w:ilvl="7" w:tplc="3A30B470">
      <w:numFmt w:val="bullet"/>
      <w:lvlText w:val="•"/>
      <w:lvlJc w:val="left"/>
      <w:pPr>
        <w:ind w:left="6504" w:hanging="708"/>
      </w:pPr>
      <w:rPr>
        <w:rFonts w:hint="default"/>
        <w:lang w:val="en-US" w:eastAsia="en-US" w:bidi="ar-SA"/>
      </w:rPr>
    </w:lvl>
    <w:lvl w:ilvl="8" w:tplc="C9A669AC">
      <w:numFmt w:val="bullet"/>
      <w:lvlText w:val="•"/>
      <w:lvlJc w:val="left"/>
      <w:pPr>
        <w:ind w:left="7171" w:hanging="708"/>
      </w:pPr>
      <w:rPr>
        <w:rFonts w:hint="default"/>
        <w:lang w:val="en-US" w:eastAsia="en-US" w:bidi="ar-SA"/>
      </w:rPr>
    </w:lvl>
  </w:abstractNum>
  <w:abstractNum w:abstractNumId="11" w15:restartNumberingAfterBreak="0">
    <w:nsid w:val="02C43622"/>
    <w:multiLevelType w:val="hybridMultilevel"/>
    <w:tmpl w:val="AD901D54"/>
    <w:lvl w:ilvl="0" w:tplc="0E402E16">
      <w:start w:val="1"/>
      <w:numFmt w:val="lowerLetter"/>
      <w:lvlText w:val="(%1)"/>
      <w:lvlJc w:val="left"/>
      <w:pPr>
        <w:ind w:left="1080" w:hanging="360"/>
      </w:pPr>
      <w:rPr>
        <w:rFonts w:hint="default"/>
      </w:rPr>
    </w:lvl>
    <w:lvl w:ilvl="1" w:tplc="48090019">
      <w:start w:val="1"/>
      <w:numFmt w:val="lowerLetter"/>
      <w:lvlText w:val="%2."/>
      <w:lvlJc w:val="left"/>
      <w:pPr>
        <w:ind w:left="1800" w:hanging="360"/>
      </w:pPr>
    </w:lvl>
    <w:lvl w:ilvl="2" w:tplc="6DC21E04">
      <w:start w:val="1"/>
      <w:numFmt w:val="decimal"/>
      <w:lvlText w:val="%3."/>
      <w:lvlJc w:val="left"/>
      <w:pPr>
        <w:ind w:left="2700" w:hanging="360"/>
      </w:pPr>
      <w:rPr>
        <w:rFonts w:hint="default"/>
      </w:r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 w15:restartNumberingAfterBreak="0">
    <w:nsid w:val="03F17011"/>
    <w:multiLevelType w:val="hybridMultilevel"/>
    <w:tmpl w:val="26422EB6"/>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04542D40"/>
    <w:multiLevelType w:val="hybridMultilevel"/>
    <w:tmpl w:val="21CA9D04"/>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05D85867"/>
    <w:multiLevelType w:val="hybridMultilevel"/>
    <w:tmpl w:val="4DF0758E"/>
    <w:lvl w:ilvl="0" w:tplc="4BBE358A">
      <w:start w:val="1"/>
      <w:numFmt w:val="decimal"/>
      <w:lvlText w:val="%1."/>
      <w:lvlJc w:val="left"/>
      <w:pPr>
        <w:ind w:left="1036" w:hanging="709"/>
      </w:pPr>
      <w:rPr>
        <w:rFonts w:hint="default"/>
        <w:spacing w:val="-1"/>
        <w:w w:val="101"/>
        <w:lang w:val="en-US" w:eastAsia="en-US" w:bidi="ar-SA"/>
      </w:rPr>
    </w:lvl>
    <w:lvl w:ilvl="1" w:tplc="7CA674BC">
      <w:start w:val="1"/>
      <w:numFmt w:val="lowerLetter"/>
      <w:lvlText w:val="(%2)"/>
      <w:lvlJc w:val="left"/>
      <w:pPr>
        <w:ind w:left="1724" w:hanging="718"/>
        <w:jc w:val="right"/>
      </w:pPr>
      <w:rPr>
        <w:rFonts w:hint="default"/>
        <w:spacing w:val="-1"/>
        <w:w w:val="98"/>
        <w:lang w:val="en-US" w:eastAsia="en-US" w:bidi="ar-SA"/>
      </w:rPr>
    </w:lvl>
    <w:lvl w:ilvl="2" w:tplc="D1227FF4">
      <w:start w:val="1"/>
      <w:numFmt w:val="lowerRoman"/>
      <w:lvlText w:val="(%3)"/>
      <w:lvlJc w:val="left"/>
      <w:pPr>
        <w:ind w:left="2454" w:hanging="718"/>
      </w:pPr>
      <w:rPr>
        <w:rFonts w:hint="default"/>
        <w:spacing w:val="-1"/>
        <w:w w:val="102"/>
        <w:lang w:val="en-US" w:eastAsia="en-US" w:bidi="ar-SA"/>
      </w:rPr>
    </w:lvl>
    <w:lvl w:ilvl="3" w:tplc="4F700234">
      <w:numFmt w:val="bullet"/>
      <w:lvlText w:val="•"/>
      <w:lvlJc w:val="left"/>
      <w:pPr>
        <w:ind w:left="2460" w:hanging="718"/>
      </w:pPr>
      <w:rPr>
        <w:rFonts w:hint="default"/>
        <w:lang w:val="en-US" w:eastAsia="en-US" w:bidi="ar-SA"/>
      </w:rPr>
    </w:lvl>
    <w:lvl w:ilvl="4" w:tplc="D982E6B8">
      <w:numFmt w:val="bullet"/>
      <w:lvlText w:val="•"/>
      <w:lvlJc w:val="left"/>
      <w:pPr>
        <w:ind w:left="3323" w:hanging="718"/>
      </w:pPr>
      <w:rPr>
        <w:rFonts w:hint="default"/>
        <w:lang w:val="en-US" w:eastAsia="en-US" w:bidi="ar-SA"/>
      </w:rPr>
    </w:lvl>
    <w:lvl w:ilvl="5" w:tplc="BD1C4D18">
      <w:numFmt w:val="bullet"/>
      <w:lvlText w:val="•"/>
      <w:lvlJc w:val="left"/>
      <w:pPr>
        <w:ind w:left="4187" w:hanging="718"/>
      </w:pPr>
      <w:rPr>
        <w:rFonts w:hint="default"/>
        <w:lang w:val="en-US" w:eastAsia="en-US" w:bidi="ar-SA"/>
      </w:rPr>
    </w:lvl>
    <w:lvl w:ilvl="6" w:tplc="E88CE6B2">
      <w:numFmt w:val="bullet"/>
      <w:lvlText w:val="•"/>
      <w:lvlJc w:val="left"/>
      <w:pPr>
        <w:ind w:left="5051" w:hanging="718"/>
      </w:pPr>
      <w:rPr>
        <w:rFonts w:hint="default"/>
        <w:lang w:val="en-US" w:eastAsia="en-US" w:bidi="ar-SA"/>
      </w:rPr>
    </w:lvl>
    <w:lvl w:ilvl="7" w:tplc="C338F22C">
      <w:numFmt w:val="bullet"/>
      <w:lvlText w:val="•"/>
      <w:lvlJc w:val="left"/>
      <w:pPr>
        <w:ind w:left="5915" w:hanging="718"/>
      </w:pPr>
      <w:rPr>
        <w:rFonts w:hint="default"/>
        <w:lang w:val="en-US" w:eastAsia="en-US" w:bidi="ar-SA"/>
      </w:rPr>
    </w:lvl>
    <w:lvl w:ilvl="8" w:tplc="1CCC10C8">
      <w:numFmt w:val="bullet"/>
      <w:lvlText w:val="•"/>
      <w:lvlJc w:val="left"/>
      <w:pPr>
        <w:ind w:left="6778" w:hanging="718"/>
      </w:pPr>
      <w:rPr>
        <w:rFonts w:hint="default"/>
        <w:lang w:val="en-US" w:eastAsia="en-US" w:bidi="ar-SA"/>
      </w:rPr>
    </w:lvl>
  </w:abstractNum>
  <w:abstractNum w:abstractNumId="15" w15:restartNumberingAfterBreak="0">
    <w:nsid w:val="0F4C12A8"/>
    <w:multiLevelType w:val="hybridMultilevel"/>
    <w:tmpl w:val="70A020D6"/>
    <w:lvl w:ilvl="0" w:tplc="A5D2FC7E">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2049F9"/>
    <w:multiLevelType w:val="hybridMultilevel"/>
    <w:tmpl w:val="093817D2"/>
    <w:lvl w:ilvl="0" w:tplc="4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DA4EBB"/>
    <w:multiLevelType w:val="hybridMultilevel"/>
    <w:tmpl w:val="21CA9D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81A587E"/>
    <w:multiLevelType w:val="hybridMultilevel"/>
    <w:tmpl w:val="2ADCC7B8"/>
    <w:lvl w:ilvl="0" w:tplc="87902900">
      <w:start w:val="11"/>
      <w:numFmt w:val="lowerLetter"/>
      <w:lvlText w:val="(%1)"/>
      <w:lvlJc w:val="left"/>
      <w:pPr>
        <w:ind w:left="1718" w:hanging="718"/>
      </w:pPr>
      <w:rPr>
        <w:rFonts w:ascii="Arial" w:eastAsia="Arial" w:hAnsi="Arial" w:cs="Arial" w:hint="default"/>
        <w:b w:val="0"/>
        <w:bCs w:val="0"/>
        <w:i w:val="0"/>
        <w:iCs w:val="0"/>
        <w:color w:val="38383A"/>
        <w:spacing w:val="0"/>
        <w:w w:val="101"/>
        <w:sz w:val="28"/>
        <w:szCs w:val="28"/>
        <w:lang w:val="en-US" w:eastAsia="en-US" w:bidi="ar-SA"/>
      </w:rPr>
    </w:lvl>
    <w:lvl w:ilvl="1" w:tplc="2C94A680">
      <w:start w:val="1"/>
      <w:numFmt w:val="upperRoman"/>
      <w:lvlText w:val="(%2)"/>
      <w:lvlJc w:val="left"/>
      <w:pPr>
        <w:ind w:left="1713" w:hanging="717"/>
      </w:pPr>
      <w:rPr>
        <w:rFonts w:ascii="Arial" w:eastAsia="Arial" w:hAnsi="Arial" w:cs="Arial" w:hint="default"/>
        <w:b w:val="0"/>
        <w:bCs w:val="0"/>
        <w:i w:val="0"/>
        <w:iCs w:val="0"/>
        <w:color w:val="38383A"/>
        <w:spacing w:val="-1"/>
        <w:w w:val="95"/>
        <w:sz w:val="28"/>
        <w:szCs w:val="28"/>
        <w:lang w:val="en-US" w:eastAsia="en-US" w:bidi="ar-SA"/>
      </w:rPr>
    </w:lvl>
    <w:lvl w:ilvl="2" w:tplc="10609B32">
      <w:numFmt w:val="bullet"/>
      <w:lvlText w:val="•"/>
      <w:lvlJc w:val="left"/>
      <w:pPr>
        <w:ind w:left="3077" w:hanging="717"/>
      </w:pPr>
      <w:rPr>
        <w:rFonts w:hint="default"/>
        <w:lang w:val="en-US" w:eastAsia="en-US" w:bidi="ar-SA"/>
      </w:rPr>
    </w:lvl>
    <w:lvl w:ilvl="3" w:tplc="6BB21D1C">
      <w:numFmt w:val="bullet"/>
      <w:lvlText w:val="•"/>
      <w:lvlJc w:val="left"/>
      <w:pPr>
        <w:ind w:left="3755" w:hanging="717"/>
      </w:pPr>
      <w:rPr>
        <w:rFonts w:hint="default"/>
        <w:lang w:val="en-US" w:eastAsia="en-US" w:bidi="ar-SA"/>
      </w:rPr>
    </w:lvl>
    <w:lvl w:ilvl="4" w:tplc="388259BC">
      <w:numFmt w:val="bullet"/>
      <w:lvlText w:val="•"/>
      <w:lvlJc w:val="left"/>
      <w:pPr>
        <w:ind w:left="4434" w:hanging="717"/>
      </w:pPr>
      <w:rPr>
        <w:rFonts w:hint="default"/>
        <w:lang w:val="en-US" w:eastAsia="en-US" w:bidi="ar-SA"/>
      </w:rPr>
    </w:lvl>
    <w:lvl w:ilvl="5" w:tplc="EB76C076">
      <w:numFmt w:val="bullet"/>
      <w:lvlText w:val="•"/>
      <w:lvlJc w:val="left"/>
      <w:pPr>
        <w:ind w:left="5113" w:hanging="717"/>
      </w:pPr>
      <w:rPr>
        <w:rFonts w:hint="default"/>
        <w:lang w:val="en-US" w:eastAsia="en-US" w:bidi="ar-SA"/>
      </w:rPr>
    </w:lvl>
    <w:lvl w:ilvl="6" w:tplc="F3F20BE0">
      <w:numFmt w:val="bullet"/>
      <w:lvlText w:val="•"/>
      <w:lvlJc w:val="left"/>
      <w:pPr>
        <w:ind w:left="5791" w:hanging="717"/>
      </w:pPr>
      <w:rPr>
        <w:rFonts w:hint="default"/>
        <w:lang w:val="en-US" w:eastAsia="en-US" w:bidi="ar-SA"/>
      </w:rPr>
    </w:lvl>
    <w:lvl w:ilvl="7" w:tplc="071623F2">
      <w:numFmt w:val="bullet"/>
      <w:lvlText w:val="•"/>
      <w:lvlJc w:val="left"/>
      <w:pPr>
        <w:ind w:left="6470" w:hanging="717"/>
      </w:pPr>
      <w:rPr>
        <w:rFonts w:hint="default"/>
        <w:lang w:val="en-US" w:eastAsia="en-US" w:bidi="ar-SA"/>
      </w:rPr>
    </w:lvl>
    <w:lvl w:ilvl="8" w:tplc="60621CDA">
      <w:numFmt w:val="bullet"/>
      <w:lvlText w:val="•"/>
      <w:lvlJc w:val="left"/>
      <w:pPr>
        <w:ind w:left="7149" w:hanging="717"/>
      </w:pPr>
      <w:rPr>
        <w:rFonts w:hint="default"/>
        <w:lang w:val="en-US" w:eastAsia="en-US" w:bidi="ar-SA"/>
      </w:rPr>
    </w:lvl>
  </w:abstractNum>
  <w:abstractNum w:abstractNumId="19" w15:restartNumberingAfterBreak="0">
    <w:nsid w:val="1A8C137E"/>
    <w:multiLevelType w:val="hybridMultilevel"/>
    <w:tmpl w:val="EF8ED802"/>
    <w:lvl w:ilvl="0" w:tplc="4288B0F4">
      <w:start w:val="1"/>
      <w:numFmt w:val="decimal"/>
      <w:lvlText w:val="%1."/>
      <w:lvlJc w:val="left"/>
      <w:pPr>
        <w:ind w:left="1039" w:hanging="708"/>
      </w:pPr>
      <w:rPr>
        <w:rFonts w:hint="default"/>
        <w:spacing w:val="-1"/>
        <w:w w:val="104"/>
        <w:lang w:val="en-US" w:eastAsia="en-US" w:bidi="ar-SA"/>
      </w:rPr>
    </w:lvl>
    <w:lvl w:ilvl="1" w:tplc="14649332">
      <w:numFmt w:val="bullet"/>
      <w:lvlText w:val="•"/>
      <w:lvlJc w:val="left"/>
      <w:pPr>
        <w:ind w:left="1786" w:hanging="708"/>
      </w:pPr>
      <w:rPr>
        <w:rFonts w:hint="default"/>
        <w:lang w:val="en-US" w:eastAsia="en-US" w:bidi="ar-SA"/>
      </w:rPr>
    </w:lvl>
    <w:lvl w:ilvl="2" w:tplc="6E7C2AB6">
      <w:numFmt w:val="bullet"/>
      <w:lvlText w:val="•"/>
      <w:lvlJc w:val="left"/>
      <w:pPr>
        <w:ind w:left="2533" w:hanging="708"/>
      </w:pPr>
      <w:rPr>
        <w:rFonts w:hint="default"/>
        <w:lang w:val="en-US" w:eastAsia="en-US" w:bidi="ar-SA"/>
      </w:rPr>
    </w:lvl>
    <w:lvl w:ilvl="3" w:tplc="D6143A82">
      <w:numFmt w:val="bullet"/>
      <w:lvlText w:val="•"/>
      <w:lvlJc w:val="left"/>
      <w:pPr>
        <w:ind w:left="3279" w:hanging="708"/>
      </w:pPr>
      <w:rPr>
        <w:rFonts w:hint="default"/>
        <w:lang w:val="en-US" w:eastAsia="en-US" w:bidi="ar-SA"/>
      </w:rPr>
    </w:lvl>
    <w:lvl w:ilvl="4" w:tplc="0C0A29D4">
      <w:numFmt w:val="bullet"/>
      <w:lvlText w:val="•"/>
      <w:lvlJc w:val="left"/>
      <w:pPr>
        <w:ind w:left="4026" w:hanging="708"/>
      </w:pPr>
      <w:rPr>
        <w:rFonts w:hint="default"/>
        <w:lang w:val="en-US" w:eastAsia="en-US" w:bidi="ar-SA"/>
      </w:rPr>
    </w:lvl>
    <w:lvl w:ilvl="5" w:tplc="2B7C82EA">
      <w:numFmt w:val="bullet"/>
      <w:lvlText w:val="•"/>
      <w:lvlJc w:val="left"/>
      <w:pPr>
        <w:ind w:left="4773" w:hanging="708"/>
      </w:pPr>
      <w:rPr>
        <w:rFonts w:hint="default"/>
        <w:lang w:val="en-US" w:eastAsia="en-US" w:bidi="ar-SA"/>
      </w:rPr>
    </w:lvl>
    <w:lvl w:ilvl="6" w:tplc="C4880A1C">
      <w:numFmt w:val="bullet"/>
      <w:lvlText w:val="•"/>
      <w:lvlJc w:val="left"/>
      <w:pPr>
        <w:ind w:left="5519" w:hanging="708"/>
      </w:pPr>
      <w:rPr>
        <w:rFonts w:hint="default"/>
        <w:lang w:val="en-US" w:eastAsia="en-US" w:bidi="ar-SA"/>
      </w:rPr>
    </w:lvl>
    <w:lvl w:ilvl="7" w:tplc="1318FA02">
      <w:numFmt w:val="bullet"/>
      <w:lvlText w:val="•"/>
      <w:lvlJc w:val="left"/>
      <w:pPr>
        <w:ind w:left="6266" w:hanging="708"/>
      </w:pPr>
      <w:rPr>
        <w:rFonts w:hint="default"/>
        <w:lang w:val="en-US" w:eastAsia="en-US" w:bidi="ar-SA"/>
      </w:rPr>
    </w:lvl>
    <w:lvl w:ilvl="8" w:tplc="C28AC0A2">
      <w:numFmt w:val="bullet"/>
      <w:lvlText w:val="•"/>
      <w:lvlJc w:val="left"/>
      <w:pPr>
        <w:ind w:left="7013" w:hanging="708"/>
      </w:pPr>
      <w:rPr>
        <w:rFonts w:hint="default"/>
        <w:lang w:val="en-US" w:eastAsia="en-US" w:bidi="ar-SA"/>
      </w:rPr>
    </w:lvl>
  </w:abstractNum>
  <w:abstractNum w:abstractNumId="20" w15:restartNumberingAfterBreak="0">
    <w:nsid w:val="1F9E35C9"/>
    <w:multiLevelType w:val="hybridMultilevel"/>
    <w:tmpl w:val="63182B70"/>
    <w:lvl w:ilvl="0" w:tplc="FFFFFFFF">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1" w15:restartNumberingAfterBreak="0">
    <w:nsid w:val="219A4457"/>
    <w:multiLevelType w:val="hybridMultilevel"/>
    <w:tmpl w:val="DCE8443C"/>
    <w:lvl w:ilvl="0" w:tplc="62AE26E2">
      <w:start w:val="1"/>
      <w:numFmt w:val="decimal"/>
      <w:lvlText w:val="%1."/>
      <w:lvlJc w:val="left"/>
      <w:pPr>
        <w:ind w:left="1063" w:hanging="718"/>
      </w:pPr>
      <w:rPr>
        <w:rFonts w:hint="default"/>
        <w:b w:val="0"/>
        <w:bCs w:val="0"/>
        <w:i w:val="0"/>
        <w:iCs w:val="0"/>
        <w:color w:val="313334"/>
        <w:spacing w:val="-1"/>
        <w:w w:val="97"/>
        <w:sz w:val="24"/>
        <w:szCs w:val="24"/>
        <w:lang w:val="en-US" w:eastAsia="en-US" w:bidi="ar-SA"/>
      </w:rPr>
    </w:lvl>
    <w:lvl w:ilvl="1" w:tplc="FFFFFFFF">
      <w:start w:val="1"/>
      <w:numFmt w:val="lowerLetter"/>
      <w:lvlText w:val="(%2)"/>
      <w:lvlJc w:val="left"/>
      <w:pPr>
        <w:ind w:left="1767" w:hanging="709"/>
      </w:pPr>
      <w:rPr>
        <w:rFonts w:hint="default"/>
        <w:spacing w:val="-1"/>
        <w:w w:val="98"/>
        <w:lang w:val="en-US" w:eastAsia="en-US" w:bidi="ar-SA"/>
      </w:rPr>
    </w:lvl>
    <w:lvl w:ilvl="2" w:tplc="FFFFFFFF">
      <w:start w:val="1"/>
      <w:numFmt w:val="lowerRoman"/>
      <w:lvlText w:val="(%3)"/>
      <w:lvlJc w:val="left"/>
      <w:pPr>
        <w:ind w:left="2462" w:hanging="715"/>
      </w:pPr>
      <w:rPr>
        <w:rFonts w:hint="default"/>
        <w:spacing w:val="-1"/>
        <w:w w:val="97"/>
        <w:lang w:val="en-US" w:eastAsia="en-US" w:bidi="ar-SA"/>
      </w:rPr>
    </w:lvl>
    <w:lvl w:ilvl="3" w:tplc="FFFFFFFF">
      <w:numFmt w:val="bullet"/>
      <w:lvlText w:val="•"/>
      <w:lvlJc w:val="left"/>
      <w:pPr>
        <w:ind w:left="2460" w:hanging="715"/>
      </w:pPr>
      <w:rPr>
        <w:rFonts w:hint="default"/>
        <w:lang w:val="en-US" w:eastAsia="en-US" w:bidi="ar-SA"/>
      </w:rPr>
    </w:lvl>
    <w:lvl w:ilvl="4" w:tplc="FFFFFFFF">
      <w:numFmt w:val="bullet"/>
      <w:lvlText w:val="•"/>
      <w:lvlJc w:val="left"/>
      <w:pPr>
        <w:ind w:left="3323" w:hanging="715"/>
      </w:pPr>
      <w:rPr>
        <w:rFonts w:hint="default"/>
        <w:lang w:val="en-US" w:eastAsia="en-US" w:bidi="ar-SA"/>
      </w:rPr>
    </w:lvl>
    <w:lvl w:ilvl="5" w:tplc="FFFFFFFF">
      <w:numFmt w:val="bullet"/>
      <w:lvlText w:val="•"/>
      <w:lvlJc w:val="left"/>
      <w:pPr>
        <w:ind w:left="4187" w:hanging="715"/>
      </w:pPr>
      <w:rPr>
        <w:rFonts w:hint="default"/>
        <w:lang w:val="en-US" w:eastAsia="en-US" w:bidi="ar-SA"/>
      </w:rPr>
    </w:lvl>
    <w:lvl w:ilvl="6" w:tplc="FFFFFFFF">
      <w:numFmt w:val="bullet"/>
      <w:lvlText w:val="•"/>
      <w:lvlJc w:val="left"/>
      <w:pPr>
        <w:ind w:left="5051" w:hanging="715"/>
      </w:pPr>
      <w:rPr>
        <w:rFonts w:hint="default"/>
        <w:lang w:val="en-US" w:eastAsia="en-US" w:bidi="ar-SA"/>
      </w:rPr>
    </w:lvl>
    <w:lvl w:ilvl="7" w:tplc="FFFFFFFF">
      <w:numFmt w:val="bullet"/>
      <w:lvlText w:val="•"/>
      <w:lvlJc w:val="left"/>
      <w:pPr>
        <w:ind w:left="5915" w:hanging="715"/>
      </w:pPr>
      <w:rPr>
        <w:rFonts w:hint="default"/>
        <w:lang w:val="en-US" w:eastAsia="en-US" w:bidi="ar-SA"/>
      </w:rPr>
    </w:lvl>
    <w:lvl w:ilvl="8" w:tplc="FFFFFFFF">
      <w:numFmt w:val="bullet"/>
      <w:lvlText w:val="•"/>
      <w:lvlJc w:val="left"/>
      <w:pPr>
        <w:ind w:left="6778" w:hanging="715"/>
      </w:pPr>
      <w:rPr>
        <w:rFonts w:hint="default"/>
        <w:lang w:val="en-US" w:eastAsia="en-US" w:bidi="ar-SA"/>
      </w:rPr>
    </w:lvl>
  </w:abstractNum>
  <w:abstractNum w:abstractNumId="22" w15:restartNumberingAfterBreak="0">
    <w:nsid w:val="27517AFB"/>
    <w:multiLevelType w:val="hybridMultilevel"/>
    <w:tmpl w:val="B858B0B4"/>
    <w:lvl w:ilvl="0" w:tplc="117C1EEC">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E052DF"/>
    <w:multiLevelType w:val="hybridMultilevel"/>
    <w:tmpl w:val="564405B8"/>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2E8305BE"/>
    <w:multiLevelType w:val="hybridMultilevel"/>
    <w:tmpl w:val="A19A1BB4"/>
    <w:lvl w:ilvl="0" w:tplc="117C1EE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2F9E71A7"/>
    <w:multiLevelType w:val="hybridMultilevel"/>
    <w:tmpl w:val="093817D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34E6BB9"/>
    <w:multiLevelType w:val="hybridMultilevel"/>
    <w:tmpl w:val="A9A0F8C2"/>
    <w:lvl w:ilvl="0" w:tplc="117C1EE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15:restartNumberingAfterBreak="0">
    <w:nsid w:val="3A0D341B"/>
    <w:multiLevelType w:val="hybridMultilevel"/>
    <w:tmpl w:val="60F63F62"/>
    <w:lvl w:ilvl="0" w:tplc="117C1EEC">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0271F2"/>
    <w:multiLevelType w:val="hybridMultilevel"/>
    <w:tmpl w:val="616CD896"/>
    <w:lvl w:ilvl="0" w:tplc="0E402E1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5602B5A"/>
    <w:multiLevelType w:val="hybridMultilevel"/>
    <w:tmpl w:val="093817D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59D6650"/>
    <w:multiLevelType w:val="hybridMultilevel"/>
    <w:tmpl w:val="919A5E94"/>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4B106ED2"/>
    <w:multiLevelType w:val="hybridMultilevel"/>
    <w:tmpl w:val="593CD39A"/>
    <w:lvl w:ilvl="0" w:tplc="4809000F">
      <w:start w:val="1"/>
      <w:numFmt w:val="decimal"/>
      <w:lvlText w:val="%1."/>
      <w:lvlJc w:val="left"/>
      <w:pPr>
        <w:ind w:left="360" w:hanging="360"/>
      </w:pPr>
      <w:rPr>
        <w:rFonts w:hint="default"/>
      </w:rPr>
    </w:lvl>
    <w:lvl w:ilvl="1" w:tplc="3F04E3C6">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E4614C"/>
    <w:multiLevelType w:val="hybridMultilevel"/>
    <w:tmpl w:val="2C1A34AC"/>
    <w:lvl w:ilvl="0" w:tplc="FFFFFFFF">
      <w:start w:val="1"/>
      <w:numFmt w:val="decimal"/>
      <w:lvlText w:val="%1."/>
      <w:lvlJc w:val="left"/>
      <w:pPr>
        <w:ind w:left="708" w:hanging="708"/>
      </w:pPr>
      <w:rPr>
        <w:rFonts w:hint="default"/>
        <w:spacing w:val="-1"/>
        <w:w w:val="104"/>
        <w:lang w:val="en-US" w:eastAsia="en-US" w:bidi="ar-SA"/>
      </w:rPr>
    </w:lvl>
    <w:lvl w:ilvl="1" w:tplc="FFFFFFFF">
      <w:numFmt w:val="bullet"/>
      <w:lvlText w:val="•"/>
      <w:lvlJc w:val="left"/>
      <w:pPr>
        <w:ind w:left="1455" w:hanging="708"/>
      </w:pPr>
      <w:rPr>
        <w:rFonts w:hint="default"/>
        <w:lang w:val="en-US" w:eastAsia="en-US" w:bidi="ar-SA"/>
      </w:rPr>
    </w:lvl>
    <w:lvl w:ilvl="2" w:tplc="FFFFFFFF">
      <w:numFmt w:val="bullet"/>
      <w:lvlText w:val="•"/>
      <w:lvlJc w:val="left"/>
      <w:pPr>
        <w:ind w:left="2202" w:hanging="708"/>
      </w:pPr>
      <w:rPr>
        <w:rFonts w:hint="default"/>
        <w:lang w:val="en-US" w:eastAsia="en-US" w:bidi="ar-SA"/>
      </w:rPr>
    </w:lvl>
    <w:lvl w:ilvl="3" w:tplc="FFFFFFFF">
      <w:numFmt w:val="bullet"/>
      <w:lvlText w:val="•"/>
      <w:lvlJc w:val="left"/>
      <w:pPr>
        <w:ind w:left="2948" w:hanging="708"/>
      </w:pPr>
      <w:rPr>
        <w:rFonts w:hint="default"/>
        <w:lang w:val="en-US" w:eastAsia="en-US" w:bidi="ar-SA"/>
      </w:rPr>
    </w:lvl>
    <w:lvl w:ilvl="4" w:tplc="FFFFFFFF">
      <w:numFmt w:val="bullet"/>
      <w:lvlText w:val="•"/>
      <w:lvlJc w:val="left"/>
      <w:pPr>
        <w:ind w:left="3695" w:hanging="708"/>
      </w:pPr>
      <w:rPr>
        <w:rFonts w:hint="default"/>
        <w:lang w:val="en-US" w:eastAsia="en-US" w:bidi="ar-SA"/>
      </w:rPr>
    </w:lvl>
    <w:lvl w:ilvl="5" w:tplc="FFFFFFFF">
      <w:numFmt w:val="bullet"/>
      <w:lvlText w:val="•"/>
      <w:lvlJc w:val="left"/>
      <w:pPr>
        <w:ind w:left="4442" w:hanging="708"/>
      </w:pPr>
      <w:rPr>
        <w:rFonts w:hint="default"/>
        <w:lang w:val="en-US" w:eastAsia="en-US" w:bidi="ar-SA"/>
      </w:rPr>
    </w:lvl>
    <w:lvl w:ilvl="6" w:tplc="FFFFFFFF">
      <w:numFmt w:val="bullet"/>
      <w:lvlText w:val="•"/>
      <w:lvlJc w:val="left"/>
      <w:pPr>
        <w:ind w:left="5188" w:hanging="708"/>
      </w:pPr>
      <w:rPr>
        <w:rFonts w:hint="default"/>
        <w:lang w:val="en-US" w:eastAsia="en-US" w:bidi="ar-SA"/>
      </w:rPr>
    </w:lvl>
    <w:lvl w:ilvl="7" w:tplc="FFFFFFFF">
      <w:numFmt w:val="bullet"/>
      <w:lvlText w:val="•"/>
      <w:lvlJc w:val="left"/>
      <w:pPr>
        <w:ind w:left="5935" w:hanging="708"/>
      </w:pPr>
      <w:rPr>
        <w:rFonts w:hint="default"/>
        <w:lang w:val="en-US" w:eastAsia="en-US" w:bidi="ar-SA"/>
      </w:rPr>
    </w:lvl>
    <w:lvl w:ilvl="8" w:tplc="FFFFFFFF">
      <w:numFmt w:val="bullet"/>
      <w:lvlText w:val="•"/>
      <w:lvlJc w:val="left"/>
      <w:pPr>
        <w:ind w:left="6682" w:hanging="708"/>
      </w:pPr>
      <w:rPr>
        <w:rFonts w:hint="default"/>
        <w:lang w:val="en-US" w:eastAsia="en-US" w:bidi="ar-SA"/>
      </w:rPr>
    </w:lvl>
  </w:abstractNum>
  <w:abstractNum w:abstractNumId="35" w15:restartNumberingAfterBreak="0">
    <w:nsid w:val="52FA07C8"/>
    <w:multiLevelType w:val="hybridMultilevel"/>
    <w:tmpl w:val="EB58187E"/>
    <w:lvl w:ilvl="0" w:tplc="8D86C020">
      <w:start w:val="1"/>
      <w:numFmt w:val="decimal"/>
      <w:lvlText w:val="%1."/>
      <w:lvlJc w:val="left"/>
      <w:pPr>
        <w:ind w:left="1063" w:hanging="718"/>
      </w:pPr>
      <w:rPr>
        <w:rFonts w:hint="default"/>
        <w:b w:val="0"/>
        <w:bCs w:val="0"/>
        <w:i w:val="0"/>
        <w:iCs w:val="0"/>
        <w:color w:val="313334"/>
        <w:spacing w:val="-1"/>
        <w:w w:val="100"/>
        <w:sz w:val="24"/>
        <w:szCs w:val="24"/>
        <w:lang w:val="en-US" w:eastAsia="en-US" w:bidi="ar-SA"/>
      </w:rPr>
    </w:lvl>
    <w:lvl w:ilvl="1" w:tplc="FFFFFFFF">
      <w:start w:val="1"/>
      <w:numFmt w:val="lowerLetter"/>
      <w:lvlText w:val="(%2)"/>
      <w:lvlJc w:val="left"/>
      <w:pPr>
        <w:ind w:left="1767" w:hanging="709"/>
      </w:pPr>
      <w:rPr>
        <w:rFonts w:hint="default"/>
        <w:spacing w:val="-1"/>
        <w:w w:val="98"/>
        <w:lang w:val="en-US" w:eastAsia="en-US" w:bidi="ar-SA"/>
      </w:rPr>
    </w:lvl>
    <w:lvl w:ilvl="2" w:tplc="FFFFFFFF">
      <w:start w:val="1"/>
      <w:numFmt w:val="lowerRoman"/>
      <w:lvlText w:val="(%3)"/>
      <w:lvlJc w:val="left"/>
      <w:pPr>
        <w:ind w:left="2462" w:hanging="715"/>
      </w:pPr>
      <w:rPr>
        <w:rFonts w:hint="default"/>
        <w:spacing w:val="-1"/>
        <w:w w:val="97"/>
        <w:lang w:val="en-US" w:eastAsia="en-US" w:bidi="ar-SA"/>
      </w:rPr>
    </w:lvl>
    <w:lvl w:ilvl="3" w:tplc="FFFFFFFF">
      <w:numFmt w:val="bullet"/>
      <w:lvlText w:val="•"/>
      <w:lvlJc w:val="left"/>
      <w:pPr>
        <w:ind w:left="2460" w:hanging="715"/>
      </w:pPr>
      <w:rPr>
        <w:rFonts w:hint="default"/>
        <w:lang w:val="en-US" w:eastAsia="en-US" w:bidi="ar-SA"/>
      </w:rPr>
    </w:lvl>
    <w:lvl w:ilvl="4" w:tplc="FFFFFFFF">
      <w:numFmt w:val="bullet"/>
      <w:lvlText w:val="•"/>
      <w:lvlJc w:val="left"/>
      <w:pPr>
        <w:ind w:left="3323" w:hanging="715"/>
      </w:pPr>
      <w:rPr>
        <w:rFonts w:hint="default"/>
        <w:lang w:val="en-US" w:eastAsia="en-US" w:bidi="ar-SA"/>
      </w:rPr>
    </w:lvl>
    <w:lvl w:ilvl="5" w:tplc="FFFFFFFF">
      <w:numFmt w:val="bullet"/>
      <w:lvlText w:val="•"/>
      <w:lvlJc w:val="left"/>
      <w:pPr>
        <w:ind w:left="4187" w:hanging="715"/>
      </w:pPr>
      <w:rPr>
        <w:rFonts w:hint="default"/>
        <w:lang w:val="en-US" w:eastAsia="en-US" w:bidi="ar-SA"/>
      </w:rPr>
    </w:lvl>
    <w:lvl w:ilvl="6" w:tplc="FFFFFFFF">
      <w:numFmt w:val="bullet"/>
      <w:lvlText w:val="•"/>
      <w:lvlJc w:val="left"/>
      <w:pPr>
        <w:ind w:left="5051" w:hanging="715"/>
      </w:pPr>
      <w:rPr>
        <w:rFonts w:hint="default"/>
        <w:lang w:val="en-US" w:eastAsia="en-US" w:bidi="ar-SA"/>
      </w:rPr>
    </w:lvl>
    <w:lvl w:ilvl="7" w:tplc="FFFFFFFF">
      <w:numFmt w:val="bullet"/>
      <w:lvlText w:val="•"/>
      <w:lvlJc w:val="left"/>
      <w:pPr>
        <w:ind w:left="5915" w:hanging="715"/>
      </w:pPr>
      <w:rPr>
        <w:rFonts w:hint="default"/>
        <w:lang w:val="en-US" w:eastAsia="en-US" w:bidi="ar-SA"/>
      </w:rPr>
    </w:lvl>
    <w:lvl w:ilvl="8" w:tplc="FFFFFFFF">
      <w:numFmt w:val="bullet"/>
      <w:lvlText w:val="•"/>
      <w:lvlJc w:val="left"/>
      <w:pPr>
        <w:ind w:left="6778" w:hanging="715"/>
      </w:pPr>
      <w:rPr>
        <w:rFonts w:hint="default"/>
        <w:lang w:val="en-US" w:eastAsia="en-US" w:bidi="ar-SA"/>
      </w:rPr>
    </w:lvl>
  </w:abstractNum>
  <w:abstractNum w:abstractNumId="36" w15:restartNumberingAfterBreak="0">
    <w:nsid w:val="58073EAE"/>
    <w:multiLevelType w:val="hybridMultilevel"/>
    <w:tmpl w:val="13E48D7E"/>
    <w:lvl w:ilvl="0" w:tplc="A5D2FC7E">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5AC32D38"/>
    <w:multiLevelType w:val="hybridMultilevel"/>
    <w:tmpl w:val="E7DA3048"/>
    <w:lvl w:ilvl="0" w:tplc="90C2C624">
      <w:start w:val="1"/>
      <w:numFmt w:val="decimal"/>
      <w:lvlText w:val="%1."/>
      <w:lvlJc w:val="left"/>
      <w:pPr>
        <w:ind w:left="1053" w:hanging="707"/>
      </w:pPr>
      <w:rPr>
        <w:rFonts w:ascii="Arial" w:eastAsia="Arial" w:hAnsi="Arial" w:cs="Arial" w:hint="default"/>
        <w:b w:val="0"/>
        <w:bCs w:val="0"/>
        <w:i w:val="0"/>
        <w:iCs w:val="0"/>
        <w:color w:val="363638"/>
        <w:spacing w:val="-1"/>
        <w:w w:val="100"/>
        <w:sz w:val="28"/>
        <w:szCs w:val="28"/>
        <w:lang w:val="en-US" w:eastAsia="en-US" w:bidi="ar-SA"/>
      </w:rPr>
    </w:lvl>
    <w:lvl w:ilvl="1" w:tplc="D1DA228E">
      <w:numFmt w:val="bullet"/>
      <w:lvlText w:val="•"/>
      <w:lvlJc w:val="left"/>
      <w:pPr>
        <w:ind w:left="1804" w:hanging="707"/>
      </w:pPr>
      <w:rPr>
        <w:rFonts w:hint="default"/>
        <w:lang w:val="en-US" w:eastAsia="en-US" w:bidi="ar-SA"/>
      </w:rPr>
    </w:lvl>
    <w:lvl w:ilvl="2" w:tplc="11EA8C8A">
      <w:numFmt w:val="bullet"/>
      <w:lvlText w:val="•"/>
      <w:lvlJc w:val="left"/>
      <w:pPr>
        <w:ind w:left="2549" w:hanging="707"/>
      </w:pPr>
      <w:rPr>
        <w:rFonts w:hint="default"/>
        <w:lang w:val="en-US" w:eastAsia="en-US" w:bidi="ar-SA"/>
      </w:rPr>
    </w:lvl>
    <w:lvl w:ilvl="3" w:tplc="1DD61954">
      <w:numFmt w:val="bullet"/>
      <w:lvlText w:val="•"/>
      <w:lvlJc w:val="left"/>
      <w:pPr>
        <w:ind w:left="3293" w:hanging="707"/>
      </w:pPr>
      <w:rPr>
        <w:rFonts w:hint="default"/>
        <w:lang w:val="en-US" w:eastAsia="en-US" w:bidi="ar-SA"/>
      </w:rPr>
    </w:lvl>
    <w:lvl w:ilvl="4" w:tplc="0E4CBEEA">
      <w:numFmt w:val="bullet"/>
      <w:lvlText w:val="•"/>
      <w:lvlJc w:val="left"/>
      <w:pPr>
        <w:ind w:left="4038" w:hanging="707"/>
      </w:pPr>
      <w:rPr>
        <w:rFonts w:hint="default"/>
        <w:lang w:val="en-US" w:eastAsia="en-US" w:bidi="ar-SA"/>
      </w:rPr>
    </w:lvl>
    <w:lvl w:ilvl="5" w:tplc="8AC295DA">
      <w:numFmt w:val="bullet"/>
      <w:lvlText w:val="•"/>
      <w:lvlJc w:val="left"/>
      <w:pPr>
        <w:ind w:left="4783" w:hanging="707"/>
      </w:pPr>
      <w:rPr>
        <w:rFonts w:hint="default"/>
        <w:lang w:val="en-US" w:eastAsia="en-US" w:bidi="ar-SA"/>
      </w:rPr>
    </w:lvl>
    <w:lvl w:ilvl="6" w:tplc="53A40D0E">
      <w:numFmt w:val="bullet"/>
      <w:lvlText w:val="•"/>
      <w:lvlJc w:val="left"/>
      <w:pPr>
        <w:ind w:left="5527" w:hanging="707"/>
      </w:pPr>
      <w:rPr>
        <w:rFonts w:hint="default"/>
        <w:lang w:val="en-US" w:eastAsia="en-US" w:bidi="ar-SA"/>
      </w:rPr>
    </w:lvl>
    <w:lvl w:ilvl="7" w:tplc="4E18660C">
      <w:numFmt w:val="bullet"/>
      <w:lvlText w:val="•"/>
      <w:lvlJc w:val="left"/>
      <w:pPr>
        <w:ind w:left="6272" w:hanging="707"/>
      </w:pPr>
      <w:rPr>
        <w:rFonts w:hint="default"/>
        <w:lang w:val="en-US" w:eastAsia="en-US" w:bidi="ar-SA"/>
      </w:rPr>
    </w:lvl>
    <w:lvl w:ilvl="8" w:tplc="455AE752">
      <w:numFmt w:val="bullet"/>
      <w:lvlText w:val="•"/>
      <w:lvlJc w:val="left"/>
      <w:pPr>
        <w:ind w:left="7017" w:hanging="707"/>
      </w:pPr>
      <w:rPr>
        <w:rFonts w:hint="default"/>
        <w:lang w:val="en-US" w:eastAsia="en-US" w:bidi="ar-SA"/>
      </w:rPr>
    </w:lvl>
  </w:abstractNum>
  <w:abstractNum w:abstractNumId="38" w15:restartNumberingAfterBreak="0">
    <w:nsid w:val="5C6B335F"/>
    <w:multiLevelType w:val="hybridMultilevel"/>
    <w:tmpl w:val="EBE0A81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9" w15:restartNumberingAfterBreak="0">
    <w:nsid w:val="601E3A92"/>
    <w:multiLevelType w:val="hybridMultilevel"/>
    <w:tmpl w:val="C8B42D70"/>
    <w:lvl w:ilvl="0" w:tplc="899E03FA">
      <w:start w:val="1"/>
      <w:numFmt w:val="lowerLetter"/>
      <w:lvlText w:val="(%1)"/>
      <w:lvlJc w:val="left"/>
      <w:pPr>
        <w:ind w:left="724" w:hanging="724"/>
      </w:pPr>
      <w:rPr>
        <w:rFonts w:ascii="Arial" w:eastAsia="Calibri" w:hAnsi="Arial" w:cs="Times New Roman"/>
        <w:spacing w:val="-1"/>
        <w:w w:val="102"/>
        <w:lang w:val="en-US" w:eastAsia="en-US" w:bidi="ar-SA"/>
      </w:rPr>
    </w:lvl>
    <w:lvl w:ilvl="1" w:tplc="FD82185A">
      <w:numFmt w:val="bullet"/>
      <w:lvlText w:val="•"/>
      <w:lvlJc w:val="left"/>
      <w:pPr>
        <w:ind w:left="1411" w:hanging="724"/>
      </w:pPr>
      <w:rPr>
        <w:rFonts w:hint="default"/>
        <w:lang w:val="en-US" w:eastAsia="en-US" w:bidi="ar-SA"/>
      </w:rPr>
    </w:lvl>
    <w:lvl w:ilvl="2" w:tplc="8CCC094E">
      <w:numFmt w:val="bullet"/>
      <w:lvlText w:val="•"/>
      <w:lvlJc w:val="left"/>
      <w:pPr>
        <w:ind w:left="2090" w:hanging="724"/>
      </w:pPr>
      <w:rPr>
        <w:rFonts w:hint="default"/>
        <w:lang w:val="en-US" w:eastAsia="en-US" w:bidi="ar-SA"/>
      </w:rPr>
    </w:lvl>
    <w:lvl w:ilvl="3" w:tplc="695AFB84">
      <w:numFmt w:val="bullet"/>
      <w:lvlText w:val="•"/>
      <w:lvlJc w:val="left"/>
      <w:pPr>
        <w:ind w:left="2768" w:hanging="724"/>
      </w:pPr>
      <w:rPr>
        <w:rFonts w:hint="default"/>
        <w:lang w:val="en-US" w:eastAsia="en-US" w:bidi="ar-SA"/>
      </w:rPr>
    </w:lvl>
    <w:lvl w:ilvl="4" w:tplc="7D547D12">
      <w:numFmt w:val="bullet"/>
      <w:lvlText w:val="•"/>
      <w:lvlJc w:val="left"/>
      <w:pPr>
        <w:ind w:left="3447" w:hanging="724"/>
      </w:pPr>
      <w:rPr>
        <w:rFonts w:hint="default"/>
        <w:lang w:val="en-US" w:eastAsia="en-US" w:bidi="ar-SA"/>
      </w:rPr>
    </w:lvl>
    <w:lvl w:ilvl="5" w:tplc="96FA7F4C">
      <w:numFmt w:val="bullet"/>
      <w:lvlText w:val="•"/>
      <w:lvlJc w:val="left"/>
      <w:pPr>
        <w:ind w:left="4126" w:hanging="724"/>
      </w:pPr>
      <w:rPr>
        <w:rFonts w:hint="default"/>
        <w:lang w:val="en-US" w:eastAsia="en-US" w:bidi="ar-SA"/>
      </w:rPr>
    </w:lvl>
    <w:lvl w:ilvl="6" w:tplc="13807E50">
      <w:numFmt w:val="bullet"/>
      <w:lvlText w:val="•"/>
      <w:lvlJc w:val="left"/>
      <w:pPr>
        <w:ind w:left="4804" w:hanging="724"/>
      </w:pPr>
      <w:rPr>
        <w:rFonts w:hint="default"/>
        <w:lang w:val="en-US" w:eastAsia="en-US" w:bidi="ar-SA"/>
      </w:rPr>
    </w:lvl>
    <w:lvl w:ilvl="7" w:tplc="33DCD064">
      <w:numFmt w:val="bullet"/>
      <w:lvlText w:val="•"/>
      <w:lvlJc w:val="left"/>
      <w:pPr>
        <w:ind w:left="5483" w:hanging="724"/>
      </w:pPr>
      <w:rPr>
        <w:rFonts w:hint="default"/>
        <w:lang w:val="en-US" w:eastAsia="en-US" w:bidi="ar-SA"/>
      </w:rPr>
    </w:lvl>
    <w:lvl w:ilvl="8" w:tplc="465472EE">
      <w:numFmt w:val="bullet"/>
      <w:lvlText w:val="•"/>
      <w:lvlJc w:val="left"/>
      <w:pPr>
        <w:ind w:left="6162" w:hanging="724"/>
      </w:pPr>
      <w:rPr>
        <w:rFonts w:hint="default"/>
        <w:lang w:val="en-US" w:eastAsia="en-US" w:bidi="ar-SA"/>
      </w:rPr>
    </w:lvl>
  </w:abstractNum>
  <w:abstractNum w:abstractNumId="40" w15:restartNumberingAfterBreak="0">
    <w:nsid w:val="607236C8"/>
    <w:multiLevelType w:val="hybridMultilevel"/>
    <w:tmpl w:val="C71CF53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1" w15:restartNumberingAfterBreak="0">
    <w:nsid w:val="6C0E3662"/>
    <w:multiLevelType w:val="hybridMultilevel"/>
    <w:tmpl w:val="112E8934"/>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2" w15:restartNumberingAfterBreak="0">
    <w:nsid w:val="72F56208"/>
    <w:multiLevelType w:val="hybridMultilevel"/>
    <w:tmpl w:val="28024E4E"/>
    <w:lvl w:ilvl="0" w:tplc="0E402E16">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732235AB"/>
    <w:multiLevelType w:val="hybridMultilevel"/>
    <w:tmpl w:val="2C1A34AC"/>
    <w:lvl w:ilvl="0" w:tplc="4809000F">
      <w:start w:val="1"/>
      <w:numFmt w:val="decimal"/>
      <w:lvlText w:val="%1."/>
      <w:lvlJc w:val="left"/>
      <w:pPr>
        <w:ind w:left="1039" w:hanging="708"/>
      </w:pPr>
      <w:rPr>
        <w:rFonts w:hint="default"/>
        <w:spacing w:val="-1"/>
        <w:w w:val="104"/>
        <w:lang w:val="en-US" w:eastAsia="en-US" w:bidi="ar-SA"/>
      </w:rPr>
    </w:lvl>
    <w:lvl w:ilvl="1" w:tplc="FFFFFFFF">
      <w:numFmt w:val="bullet"/>
      <w:lvlText w:val="•"/>
      <w:lvlJc w:val="left"/>
      <w:pPr>
        <w:ind w:left="1786" w:hanging="708"/>
      </w:pPr>
      <w:rPr>
        <w:rFonts w:hint="default"/>
        <w:lang w:val="en-US" w:eastAsia="en-US" w:bidi="ar-SA"/>
      </w:rPr>
    </w:lvl>
    <w:lvl w:ilvl="2" w:tplc="FFFFFFFF">
      <w:numFmt w:val="bullet"/>
      <w:lvlText w:val="•"/>
      <w:lvlJc w:val="left"/>
      <w:pPr>
        <w:ind w:left="2533" w:hanging="708"/>
      </w:pPr>
      <w:rPr>
        <w:rFonts w:hint="default"/>
        <w:lang w:val="en-US" w:eastAsia="en-US" w:bidi="ar-SA"/>
      </w:rPr>
    </w:lvl>
    <w:lvl w:ilvl="3" w:tplc="FFFFFFFF">
      <w:numFmt w:val="bullet"/>
      <w:lvlText w:val="•"/>
      <w:lvlJc w:val="left"/>
      <w:pPr>
        <w:ind w:left="3279" w:hanging="708"/>
      </w:pPr>
      <w:rPr>
        <w:rFonts w:hint="default"/>
        <w:lang w:val="en-US" w:eastAsia="en-US" w:bidi="ar-SA"/>
      </w:rPr>
    </w:lvl>
    <w:lvl w:ilvl="4" w:tplc="FFFFFFFF">
      <w:numFmt w:val="bullet"/>
      <w:lvlText w:val="•"/>
      <w:lvlJc w:val="left"/>
      <w:pPr>
        <w:ind w:left="4026" w:hanging="708"/>
      </w:pPr>
      <w:rPr>
        <w:rFonts w:hint="default"/>
        <w:lang w:val="en-US" w:eastAsia="en-US" w:bidi="ar-SA"/>
      </w:rPr>
    </w:lvl>
    <w:lvl w:ilvl="5" w:tplc="FFFFFFFF">
      <w:numFmt w:val="bullet"/>
      <w:lvlText w:val="•"/>
      <w:lvlJc w:val="left"/>
      <w:pPr>
        <w:ind w:left="4773" w:hanging="708"/>
      </w:pPr>
      <w:rPr>
        <w:rFonts w:hint="default"/>
        <w:lang w:val="en-US" w:eastAsia="en-US" w:bidi="ar-SA"/>
      </w:rPr>
    </w:lvl>
    <w:lvl w:ilvl="6" w:tplc="FFFFFFFF">
      <w:numFmt w:val="bullet"/>
      <w:lvlText w:val="•"/>
      <w:lvlJc w:val="left"/>
      <w:pPr>
        <w:ind w:left="5519" w:hanging="708"/>
      </w:pPr>
      <w:rPr>
        <w:rFonts w:hint="default"/>
        <w:lang w:val="en-US" w:eastAsia="en-US" w:bidi="ar-SA"/>
      </w:rPr>
    </w:lvl>
    <w:lvl w:ilvl="7" w:tplc="FFFFFFFF">
      <w:numFmt w:val="bullet"/>
      <w:lvlText w:val="•"/>
      <w:lvlJc w:val="left"/>
      <w:pPr>
        <w:ind w:left="6266" w:hanging="708"/>
      </w:pPr>
      <w:rPr>
        <w:rFonts w:hint="default"/>
        <w:lang w:val="en-US" w:eastAsia="en-US" w:bidi="ar-SA"/>
      </w:rPr>
    </w:lvl>
    <w:lvl w:ilvl="8" w:tplc="FFFFFFFF">
      <w:numFmt w:val="bullet"/>
      <w:lvlText w:val="•"/>
      <w:lvlJc w:val="left"/>
      <w:pPr>
        <w:ind w:left="7013" w:hanging="708"/>
      </w:pPr>
      <w:rPr>
        <w:rFonts w:hint="default"/>
        <w:lang w:val="en-US" w:eastAsia="en-US" w:bidi="ar-SA"/>
      </w:rPr>
    </w:lvl>
  </w:abstractNum>
  <w:abstractNum w:abstractNumId="44" w15:restartNumberingAfterBreak="0">
    <w:nsid w:val="740826C9"/>
    <w:multiLevelType w:val="hybridMultilevel"/>
    <w:tmpl w:val="7C044940"/>
    <w:lvl w:ilvl="0" w:tplc="4809000F">
      <w:start w:val="1"/>
      <w:numFmt w:val="decimal"/>
      <w:lvlText w:val="%1."/>
      <w:lvlJc w:val="left"/>
      <w:pPr>
        <w:ind w:left="1063" w:hanging="718"/>
      </w:pPr>
      <w:rPr>
        <w:rFonts w:hint="default"/>
        <w:b w:val="0"/>
        <w:bCs w:val="0"/>
        <w:i w:val="0"/>
        <w:iCs w:val="0"/>
        <w:color w:val="313334"/>
        <w:spacing w:val="-1"/>
        <w:w w:val="97"/>
        <w:sz w:val="24"/>
        <w:szCs w:val="24"/>
        <w:lang w:val="en-US" w:eastAsia="en-US" w:bidi="ar-SA"/>
      </w:rPr>
    </w:lvl>
    <w:lvl w:ilvl="1" w:tplc="FFFFFFFF">
      <w:start w:val="1"/>
      <w:numFmt w:val="lowerLetter"/>
      <w:lvlText w:val="(%2)"/>
      <w:lvlJc w:val="left"/>
      <w:pPr>
        <w:ind w:left="1767" w:hanging="709"/>
      </w:pPr>
      <w:rPr>
        <w:rFonts w:hint="default"/>
        <w:spacing w:val="-1"/>
        <w:w w:val="98"/>
        <w:lang w:val="en-US" w:eastAsia="en-US" w:bidi="ar-SA"/>
      </w:rPr>
    </w:lvl>
    <w:lvl w:ilvl="2" w:tplc="FFFFFFFF">
      <w:start w:val="1"/>
      <w:numFmt w:val="lowerRoman"/>
      <w:lvlText w:val="(%3)"/>
      <w:lvlJc w:val="left"/>
      <w:pPr>
        <w:ind w:left="2462" w:hanging="715"/>
      </w:pPr>
      <w:rPr>
        <w:rFonts w:hint="default"/>
        <w:spacing w:val="-1"/>
        <w:w w:val="97"/>
        <w:lang w:val="en-US" w:eastAsia="en-US" w:bidi="ar-SA"/>
      </w:rPr>
    </w:lvl>
    <w:lvl w:ilvl="3" w:tplc="FFFFFFFF">
      <w:numFmt w:val="bullet"/>
      <w:lvlText w:val="•"/>
      <w:lvlJc w:val="left"/>
      <w:pPr>
        <w:ind w:left="2460" w:hanging="715"/>
      </w:pPr>
      <w:rPr>
        <w:rFonts w:hint="default"/>
        <w:lang w:val="en-US" w:eastAsia="en-US" w:bidi="ar-SA"/>
      </w:rPr>
    </w:lvl>
    <w:lvl w:ilvl="4" w:tplc="FFFFFFFF">
      <w:numFmt w:val="bullet"/>
      <w:lvlText w:val="•"/>
      <w:lvlJc w:val="left"/>
      <w:pPr>
        <w:ind w:left="3323" w:hanging="715"/>
      </w:pPr>
      <w:rPr>
        <w:rFonts w:hint="default"/>
        <w:lang w:val="en-US" w:eastAsia="en-US" w:bidi="ar-SA"/>
      </w:rPr>
    </w:lvl>
    <w:lvl w:ilvl="5" w:tplc="FFFFFFFF">
      <w:numFmt w:val="bullet"/>
      <w:lvlText w:val="•"/>
      <w:lvlJc w:val="left"/>
      <w:pPr>
        <w:ind w:left="4187" w:hanging="715"/>
      </w:pPr>
      <w:rPr>
        <w:rFonts w:hint="default"/>
        <w:lang w:val="en-US" w:eastAsia="en-US" w:bidi="ar-SA"/>
      </w:rPr>
    </w:lvl>
    <w:lvl w:ilvl="6" w:tplc="FFFFFFFF">
      <w:numFmt w:val="bullet"/>
      <w:lvlText w:val="•"/>
      <w:lvlJc w:val="left"/>
      <w:pPr>
        <w:ind w:left="5051" w:hanging="715"/>
      </w:pPr>
      <w:rPr>
        <w:rFonts w:hint="default"/>
        <w:lang w:val="en-US" w:eastAsia="en-US" w:bidi="ar-SA"/>
      </w:rPr>
    </w:lvl>
    <w:lvl w:ilvl="7" w:tplc="FFFFFFFF">
      <w:numFmt w:val="bullet"/>
      <w:lvlText w:val="•"/>
      <w:lvlJc w:val="left"/>
      <w:pPr>
        <w:ind w:left="5915" w:hanging="715"/>
      </w:pPr>
      <w:rPr>
        <w:rFonts w:hint="default"/>
        <w:lang w:val="en-US" w:eastAsia="en-US" w:bidi="ar-SA"/>
      </w:rPr>
    </w:lvl>
    <w:lvl w:ilvl="8" w:tplc="FFFFFFFF">
      <w:numFmt w:val="bullet"/>
      <w:lvlText w:val="•"/>
      <w:lvlJc w:val="left"/>
      <w:pPr>
        <w:ind w:left="6778" w:hanging="715"/>
      </w:pPr>
      <w:rPr>
        <w:rFonts w:hint="default"/>
        <w:lang w:val="en-US" w:eastAsia="en-US" w:bidi="ar-SA"/>
      </w:rPr>
    </w:lvl>
  </w:abstractNum>
  <w:abstractNum w:abstractNumId="45" w15:restartNumberingAfterBreak="0">
    <w:nsid w:val="74971D10"/>
    <w:multiLevelType w:val="hybridMultilevel"/>
    <w:tmpl w:val="45C02442"/>
    <w:lvl w:ilvl="0" w:tplc="0E402E16">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5773756"/>
    <w:multiLevelType w:val="hybridMultilevel"/>
    <w:tmpl w:val="196459DA"/>
    <w:lvl w:ilvl="0" w:tplc="90CA2F9C">
      <w:start w:val="13"/>
      <w:numFmt w:val="lowerLetter"/>
      <w:lvlText w:val="(%1)"/>
      <w:lvlJc w:val="left"/>
      <w:pPr>
        <w:ind w:left="1711" w:hanging="720"/>
        <w:jc w:val="right"/>
      </w:pPr>
      <w:rPr>
        <w:rFonts w:hint="default"/>
        <w:spacing w:val="0"/>
        <w:w w:val="102"/>
        <w:lang w:val="en-US" w:eastAsia="en-US" w:bidi="ar-SA"/>
      </w:rPr>
    </w:lvl>
    <w:lvl w:ilvl="1" w:tplc="EF54F17A">
      <w:numFmt w:val="bullet"/>
      <w:lvlText w:val="•"/>
      <w:lvlJc w:val="left"/>
      <w:pPr>
        <w:ind w:left="2398" w:hanging="720"/>
      </w:pPr>
      <w:rPr>
        <w:rFonts w:hint="default"/>
        <w:lang w:val="en-US" w:eastAsia="en-US" w:bidi="ar-SA"/>
      </w:rPr>
    </w:lvl>
    <w:lvl w:ilvl="2" w:tplc="9086D57C">
      <w:numFmt w:val="bullet"/>
      <w:lvlText w:val="•"/>
      <w:lvlJc w:val="left"/>
      <w:pPr>
        <w:ind w:left="3077" w:hanging="720"/>
      </w:pPr>
      <w:rPr>
        <w:rFonts w:hint="default"/>
        <w:lang w:val="en-US" w:eastAsia="en-US" w:bidi="ar-SA"/>
      </w:rPr>
    </w:lvl>
    <w:lvl w:ilvl="3" w:tplc="A0020C84">
      <w:numFmt w:val="bullet"/>
      <w:lvlText w:val="•"/>
      <w:lvlJc w:val="left"/>
      <w:pPr>
        <w:ind w:left="3755" w:hanging="720"/>
      </w:pPr>
      <w:rPr>
        <w:rFonts w:hint="default"/>
        <w:lang w:val="en-US" w:eastAsia="en-US" w:bidi="ar-SA"/>
      </w:rPr>
    </w:lvl>
    <w:lvl w:ilvl="4" w:tplc="9B3E2672">
      <w:numFmt w:val="bullet"/>
      <w:lvlText w:val="•"/>
      <w:lvlJc w:val="left"/>
      <w:pPr>
        <w:ind w:left="4434" w:hanging="720"/>
      </w:pPr>
      <w:rPr>
        <w:rFonts w:hint="default"/>
        <w:lang w:val="en-US" w:eastAsia="en-US" w:bidi="ar-SA"/>
      </w:rPr>
    </w:lvl>
    <w:lvl w:ilvl="5" w:tplc="592C7EC0">
      <w:numFmt w:val="bullet"/>
      <w:lvlText w:val="•"/>
      <w:lvlJc w:val="left"/>
      <w:pPr>
        <w:ind w:left="5113" w:hanging="720"/>
      </w:pPr>
      <w:rPr>
        <w:rFonts w:hint="default"/>
        <w:lang w:val="en-US" w:eastAsia="en-US" w:bidi="ar-SA"/>
      </w:rPr>
    </w:lvl>
    <w:lvl w:ilvl="6" w:tplc="FC9A6ABA">
      <w:numFmt w:val="bullet"/>
      <w:lvlText w:val="•"/>
      <w:lvlJc w:val="left"/>
      <w:pPr>
        <w:ind w:left="5791" w:hanging="720"/>
      </w:pPr>
      <w:rPr>
        <w:rFonts w:hint="default"/>
        <w:lang w:val="en-US" w:eastAsia="en-US" w:bidi="ar-SA"/>
      </w:rPr>
    </w:lvl>
    <w:lvl w:ilvl="7" w:tplc="F08849B6">
      <w:numFmt w:val="bullet"/>
      <w:lvlText w:val="•"/>
      <w:lvlJc w:val="left"/>
      <w:pPr>
        <w:ind w:left="6470" w:hanging="720"/>
      </w:pPr>
      <w:rPr>
        <w:rFonts w:hint="default"/>
        <w:lang w:val="en-US" w:eastAsia="en-US" w:bidi="ar-SA"/>
      </w:rPr>
    </w:lvl>
    <w:lvl w:ilvl="8" w:tplc="5E485C7E">
      <w:numFmt w:val="bullet"/>
      <w:lvlText w:val="•"/>
      <w:lvlJc w:val="left"/>
      <w:pPr>
        <w:ind w:left="7149" w:hanging="720"/>
      </w:pPr>
      <w:rPr>
        <w:rFonts w:hint="default"/>
        <w:lang w:val="en-US" w:eastAsia="en-US" w:bidi="ar-SA"/>
      </w:rPr>
    </w:lvl>
  </w:abstractNum>
  <w:abstractNum w:abstractNumId="47" w15:restartNumberingAfterBreak="0">
    <w:nsid w:val="7D086588"/>
    <w:multiLevelType w:val="hybridMultilevel"/>
    <w:tmpl w:val="564405B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E4D264A"/>
    <w:multiLevelType w:val="hybridMultilevel"/>
    <w:tmpl w:val="0A7214AE"/>
    <w:lvl w:ilvl="0" w:tplc="3FB21280">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9" w15:restartNumberingAfterBreak="0">
    <w:nsid w:val="7E973BEF"/>
    <w:multiLevelType w:val="hybridMultilevel"/>
    <w:tmpl w:val="4EB4D134"/>
    <w:lvl w:ilvl="0" w:tplc="82323FF0">
      <w:start w:val="1"/>
      <w:numFmt w:val="decimal"/>
      <w:lvlText w:val="%1."/>
      <w:lvlJc w:val="left"/>
      <w:pPr>
        <w:ind w:left="1063" w:hanging="718"/>
      </w:pPr>
      <w:rPr>
        <w:rFonts w:ascii="Arial" w:eastAsia="Arial" w:hAnsi="Arial" w:cs="Arial" w:hint="default"/>
        <w:b w:val="0"/>
        <w:bCs w:val="0"/>
        <w:i w:val="0"/>
        <w:iCs w:val="0"/>
        <w:color w:val="313334"/>
        <w:spacing w:val="-1"/>
        <w:w w:val="104"/>
        <w:sz w:val="24"/>
        <w:szCs w:val="24"/>
        <w:lang w:val="en-US" w:eastAsia="en-US" w:bidi="ar-SA"/>
      </w:rPr>
    </w:lvl>
    <w:lvl w:ilvl="1" w:tplc="0E402E16">
      <w:start w:val="1"/>
      <w:numFmt w:val="lowerLetter"/>
      <w:lvlText w:val="(%2)"/>
      <w:lvlJc w:val="left"/>
      <w:pPr>
        <w:ind w:left="720" w:hanging="360"/>
      </w:pPr>
      <w:rPr>
        <w:rFonts w:hint="default"/>
      </w:rPr>
    </w:lvl>
    <w:lvl w:ilvl="2" w:tplc="DF066726">
      <w:start w:val="1"/>
      <w:numFmt w:val="lowerRoman"/>
      <w:lvlText w:val="(%3)"/>
      <w:lvlJc w:val="left"/>
      <w:pPr>
        <w:ind w:left="2462" w:hanging="715"/>
      </w:pPr>
      <w:rPr>
        <w:rFonts w:hint="default"/>
        <w:spacing w:val="-1"/>
        <w:w w:val="97"/>
        <w:lang w:val="en-US" w:eastAsia="en-US" w:bidi="ar-SA"/>
      </w:rPr>
    </w:lvl>
    <w:lvl w:ilvl="3" w:tplc="9182C00E">
      <w:numFmt w:val="bullet"/>
      <w:lvlText w:val="•"/>
      <w:lvlJc w:val="left"/>
      <w:pPr>
        <w:ind w:left="2460" w:hanging="715"/>
      </w:pPr>
      <w:rPr>
        <w:rFonts w:hint="default"/>
        <w:lang w:val="en-US" w:eastAsia="en-US" w:bidi="ar-SA"/>
      </w:rPr>
    </w:lvl>
    <w:lvl w:ilvl="4" w:tplc="5CF819E2">
      <w:numFmt w:val="bullet"/>
      <w:lvlText w:val="•"/>
      <w:lvlJc w:val="left"/>
      <w:pPr>
        <w:ind w:left="3323" w:hanging="715"/>
      </w:pPr>
      <w:rPr>
        <w:rFonts w:hint="default"/>
        <w:lang w:val="en-US" w:eastAsia="en-US" w:bidi="ar-SA"/>
      </w:rPr>
    </w:lvl>
    <w:lvl w:ilvl="5" w:tplc="57AE15C8">
      <w:numFmt w:val="bullet"/>
      <w:lvlText w:val="•"/>
      <w:lvlJc w:val="left"/>
      <w:pPr>
        <w:ind w:left="4187" w:hanging="715"/>
      </w:pPr>
      <w:rPr>
        <w:rFonts w:hint="default"/>
        <w:lang w:val="en-US" w:eastAsia="en-US" w:bidi="ar-SA"/>
      </w:rPr>
    </w:lvl>
    <w:lvl w:ilvl="6" w:tplc="209A3062">
      <w:numFmt w:val="bullet"/>
      <w:lvlText w:val="•"/>
      <w:lvlJc w:val="left"/>
      <w:pPr>
        <w:ind w:left="5051" w:hanging="715"/>
      </w:pPr>
      <w:rPr>
        <w:rFonts w:hint="default"/>
        <w:lang w:val="en-US" w:eastAsia="en-US" w:bidi="ar-SA"/>
      </w:rPr>
    </w:lvl>
    <w:lvl w:ilvl="7" w:tplc="89F2994A">
      <w:numFmt w:val="bullet"/>
      <w:lvlText w:val="•"/>
      <w:lvlJc w:val="left"/>
      <w:pPr>
        <w:ind w:left="5915" w:hanging="715"/>
      </w:pPr>
      <w:rPr>
        <w:rFonts w:hint="default"/>
        <w:lang w:val="en-US" w:eastAsia="en-US" w:bidi="ar-SA"/>
      </w:rPr>
    </w:lvl>
    <w:lvl w:ilvl="8" w:tplc="234C9530">
      <w:numFmt w:val="bullet"/>
      <w:lvlText w:val="•"/>
      <w:lvlJc w:val="left"/>
      <w:pPr>
        <w:ind w:left="6778" w:hanging="715"/>
      </w:pPr>
      <w:rPr>
        <w:rFonts w:hint="default"/>
        <w:lang w:val="en-US" w:eastAsia="en-US" w:bidi="ar-SA"/>
      </w:rPr>
    </w:lvl>
  </w:abstractNum>
  <w:num w:numId="1" w16cid:durableId="566575316">
    <w:abstractNumId w:val="33"/>
  </w:num>
  <w:num w:numId="2" w16cid:durableId="360320398">
    <w:abstractNumId w:val="28"/>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450392094">
    <w:abstractNumId w:val="39"/>
  </w:num>
  <w:num w:numId="14" w16cid:durableId="438527244">
    <w:abstractNumId w:val="46"/>
  </w:num>
  <w:num w:numId="15" w16cid:durableId="537087126">
    <w:abstractNumId w:val="18"/>
  </w:num>
  <w:num w:numId="16" w16cid:durableId="1737818767">
    <w:abstractNumId w:val="37"/>
  </w:num>
  <w:num w:numId="17" w16cid:durableId="780686410">
    <w:abstractNumId w:val="36"/>
  </w:num>
  <w:num w:numId="18" w16cid:durableId="452359815">
    <w:abstractNumId w:val="38"/>
  </w:num>
  <w:num w:numId="19" w16cid:durableId="1674723979">
    <w:abstractNumId w:val="32"/>
  </w:num>
  <w:num w:numId="20" w16cid:durableId="1830094967">
    <w:abstractNumId w:val="40"/>
  </w:num>
  <w:num w:numId="21" w16cid:durableId="1244561076">
    <w:abstractNumId w:val="24"/>
  </w:num>
  <w:num w:numId="22" w16cid:durableId="1757902172">
    <w:abstractNumId w:val="48"/>
  </w:num>
  <w:num w:numId="23" w16cid:durableId="47803559">
    <w:abstractNumId w:val="14"/>
  </w:num>
  <w:num w:numId="24" w16cid:durableId="2055541481">
    <w:abstractNumId w:val="27"/>
  </w:num>
  <w:num w:numId="25" w16cid:durableId="919675807">
    <w:abstractNumId w:val="10"/>
  </w:num>
  <w:num w:numId="26" w16cid:durableId="2111470097">
    <w:abstractNumId w:val="26"/>
  </w:num>
  <w:num w:numId="27" w16cid:durableId="1518233711">
    <w:abstractNumId w:val="15"/>
  </w:num>
  <w:num w:numId="28" w16cid:durableId="929463122">
    <w:abstractNumId w:val="22"/>
  </w:num>
  <w:num w:numId="29" w16cid:durableId="131291862">
    <w:abstractNumId w:val="49"/>
  </w:num>
  <w:num w:numId="30" w16cid:durableId="1951160953">
    <w:abstractNumId w:val="19"/>
  </w:num>
  <w:num w:numId="31" w16cid:durableId="710501702">
    <w:abstractNumId w:val="35"/>
  </w:num>
  <w:num w:numId="32" w16cid:durableId="1876579422">
    <w:abstractNumId w:val="21"/>
  </w:num>
  <w:num w:numId="33" w16cid:durableId="360208934">
    <w:abstractNumId w:val="44"/>
  </w:num>
  <w:num w:numId="34" w16cid:durableId="1615400436">
    <w:abstractNumId w:val="11"/>
  </w:num>
  <w:num w:numId="35" w16cid:durableId="734427658">
    <w:abstractNumId w:val="23"/>
  </w:num>
  <w:num w:numId="36" w16cid:durableId="660885470">
    <w:abstractNumId w:val="16"/>
  </w:num>
  <w:num w:numId="37" w16cid:durableId="631404298">
    <w:abstractNumId w:val="20"/>
  </w:num>
  <w:num w:numId="38" w16cid:durableId="1414860856">
    <w:abstractNumId w:val="25"/>
  </w:num>
  <w:num w:numId="39" w16cid:durableId="1348213467">
    <w:abstractNumId w:val="47"/>
  </w:num>
  <w:num w:numId="40" w16cid:durableId="1347512797">
    <w:abstractNumId w:val="13"/>
  </w:num>
  <w:num w:numId="41" w16cid:durableId="1908956118">
    <w:abstractNumId w:val="42"/>
  </w:num>
  <w:num w:numId="42" w16cid:durableId="471215704">
    <w:abstractNumId w:val="17"/>
  </w:num>
  <w:num w:numId="43" w16cid:durableId="1726447032">
    <w:abstractNumId w:val="31"/>
  </w:num>
  <w:num w:numId="44" w16cid:durableId="1529105205">
    <w:abstractNumId w:val="41"/>
  </w:num>
  <w:num w:numId="45" w16cid:durableId="1642885740">
    <w:abstractNumId w:val="45"/>
  </w:num>
  <w:num w:numId="46" w16cid:durableId="882181980">
    <w:abstractNumId w:val="12"/>
  </w:num>
  <w:num w:numId="47" w16cid:durableId="1289387046">
    <w:abstractNumId w:val="30"/>
  </w:num>
  <w:num w:numId="48" w16cid:durableId="453447794">
    <w:abstractNumId w:val="43"/>
  </w:num>
  <w:num w:numId="49" w16cid:durableId="1624387483">
    <w:abstractNumId w:val="34"/>
  </w:num>
  <w:num w:numId="50" w16cid:durableId="1642885168">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F3"/>
    <w:rsid w:val="00000FB0"/>
    <w:rsid w:val="00002446"/>
    <w:rsid w:val="000043E5"/>
    <w:rsid w:val="00011723"/>
    <w:rsid w:val="00013D73"/>
    <w:rsid w:val="000173F4"/>
    <w:rsid w:val="00022AE1"/>
    <w:rsid w:val="00023AFA"/>
    <w:rsid w:val="00025831"/>
    <w:rsid w:val="000260A8"/>
    <w:rsid w:val="00032218"/>
    <w:rsid w:val="00032623"/>
    <w:rsid w:val="000328E2"/>
    <w:rsid w:val="00032C84"/>
    <w:rsid w:val="0003432F"/>
    <w:rsid w:val="00034442"/>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E3D65"/>
    <w:rsid w:val="000F0226"/>
    <w:rsid w:val="000F2488"/>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2BF2"/>
    <w:rsid w:val="002C506E"/>
    <w:rsid w:val="002C5925"/>
    <w:rsid w:val="002C67E0"/>
    <w:rsid w:val="002D3A06"/>
    <w:rsid w:val="002E0A92"/>
    <w:rsid w:val="002E2640"/>
    <w:rsid w:val="002E6283"/>
    <w:rsid w:val="002F0C0F"/>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427E"/>
    <w:rsid w:val="00325A2D"/>
    <w:rsid w:val="00326D39"/>
    <w:rsid w:val="003316EF"/>
    <w:rsid w:val="0033544F"/>
    <w:rsid w:val="00336CA3"/>
    <w:rsid w:val="003374CC"/>
    <w:rsid w:val="00340339"/>
    <w:rsid w:val="0034084B"/>
    <w:rsid w:val="00343E97"/>
    <w:rsid w:val="00345C4C"/>
    <w:rsid w:val="003463F9"/>
    <w:rsid w:val="00351FC7"/>
    <w:rsid w:val="00355356"/>
    <w:rsid w:val="003557B3"/>
    <w:rsid w:val="00361211"/>
    <w:rsid w:val="00363CA6"/>
    <w:rsid w:val="00363E88"/>
    <w:rsid w:val="0036654E"/>
    <w:rsid w:val="003762D5"/>
    <w:rsid w:val="00382037"/>
    <w:rsid w:val="00384CCD"/>
    <w:rsid w:val="00386AC0"/>
    <w:rsid w:val="003870B6"/>
    <w:rsid w:val="003879EA"/>
    <w:rsid w:val="0039419F"/>
    <w:rsid w:val="003A2096"/>
    <w:rsid w:val="003A2B2D"/>
    <w:rsid w:val="003A2E2D"/>
    <w:rsid w:val="003A36C1"/>
    <w:rsid w:val="003A4607"/>
    <w:rsid w:val="003A46AB"/>
    <w:rsid w:val="003A6709"/>
    <w:rsid w:val="003B172D"/>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45484"/>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7B2"/>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3595"/>
    <w:rsid w:val="00784830"/>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CDD"/>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C7638"/>
    <w:rsid w:val="008D292D"/>
    <w:rsid w:val="008D3F77"/>
    <w:rsid w:val="008E41DC"/>
    <w:rsid w:val="008E5D7B"/>
    <w:rsid w:val="008E6E93"/>
    <w:rsid w:val="008E7703"/>
    <w:rsid w:val="008F5246"/>
    <w:rsid w:val="008F5F21"/>
    <w:rsid w:val="008F7A5C"/>
    <w:rsid w:val="009052CB"/>
    <w:rsid w:val="00916361"/>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1CE9"/>
    <w:rsid w:val="009E21A2"/>
    <w:rsid w:val="009E2828"/>
    <w:rsid w:val="009E4818"/>
    <w:rsid w:val="009E6790"/>
    <w:rsid w:val="009E6EB7"/>
    <w:rsid w:val="009E763F"/>
    <w:rsid w:val="009F07B2"/>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6601C"/>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35D2"/>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D6091"/>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2E6"/>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4FC"/>
    <w:rsid w:val="00CA5A41"/>
    <w:rsid w:val="00CB0C6C"/>
    <w:rsid w:val="00CB1859"/>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17F3"/>
    <w:rsid w:val="00D0625E"/>
    <w:rsid w:val="00D07EE1"/>
    <w:rsid w:val="00D13015"/>
    <w:rsid w:val="00D133A2"/>
    <w:rsid w:val="00D13F5C"/>
    <w:rsid w:val="00D14607"/>
    <w:rsid w:val="00D15AD4"/>
    <w:rsid w:val="00D1649F"/>
    <w:rsid w:val="00D20538"/>
    <w:rsid w:val="00D211DC"/>
    <w:rsid w:val="00D250B0"/>
    <w:rsid w:val="00D30AE4"/>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0F3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675AA"/>
    <w:rsid w:val="00E71017"/>
    <w:rsid w:val="00E71A6F"/>
    <w:rsid w:val="00E71AEC"/>
    <w:rsid w:val="00E73E13"/>
    <w:rsid w:val="00E759C9"/>
    <w:rsid w:val="00E77D8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4667"/>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D7D21"/>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D16FC"/>
  <w15:docId w15:val="{0335FDF4-1800-40D7-95E4-D850357E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2E2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lee\Desktop\2025%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CIL DB Formatting Template</Template>
  <TotalTime>126</TotalTime>
  <Pages>14</Pages>
  <Words>4072</Words>
  <Characters>22277</Characters>
  <Application>Microsoft Office Word</Application>
  <DocSecurity>0</DocSecurity>
  <Lines>495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26128</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Shi-En, Lisa</dc:creator>
  <cp:keywords/>
  <dc:description/>
  <cp:lastModifiedBy>Foo Cher Li Yvette</cp:lastModifiedBy>
  <cp:revision>20</cp:revision>
  <cp:lastPrinted>2019-01-29T09:08:00Z</cp:lastPrinted>
  <dcterms:created xsi:type="dcterms:W3CDTF">2026-01-26T07:14:00Z</dcterms:created>
  <dcterms:modified xsi:type="dcterms:W3CDTF">2026-02-20T07:37:00Z</dcterms:modified>
</cp:coreProperties>
</file>