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99084" w14:textId="6A0BB4E7" w:rsidR="00231D12" w:rsidRDefault="006770E5" w:rsidP="004F1000">
      <w:pPr>
        <w:pStyle w:val="CILTitle"/>
        <w:rPr>
          <w:lang w:val="en-US"/>
        </w:rPr>
      </w:pPr>
      <w:r>
        <w:rPr>
          <w:lang w:val="en-US"/>
        </w:rPr>
        <w:t xml:space="preserve">2024 </w:t>
      </w:r>
      <w:r w:rsidRPr="006770E5">
        <w:rPr>
          <w:lang w:val="en-US"/>
        </w:rPr>
        <w:t xml:space="preserve">VIENTIANE JOINT DECLARATION OF THE </w:t>
      </w:r>
      <w:r>
        <w:rPr>
          <w:lang w:val="en-US"/>
        </w:rPr>
        <w:br/>
      </w:r>
      <w:r w:rsidRPr="006770E5">
        <w:rPr>
          <w:lang w:val="en-US"/>
        </w:rPr>
        <w:t xml:space="preserve">ASEAN DEFENCE MINISTERS’ MEETING ON ASEAN: </w:t>
      </w:r>
      <w:r>
        <w:rPr>
          <w:lang w:val="en-US"/>
        </w:rPr>
        <w:br/>
      </w:r>
      <w:r w:rsidRPr="006770E5">
        <w:rPr>
          <w:lang w:val="en-US"/>
        </w:rPr>
        <w:t>TOGETHER FOR PEACE, SECURITY AND RESILIENCE</w:t>
      </w:r>
    </w:p>
    <w:p w14:paraId="402CD49C" w14:textId="1B8D28A0" w:rsidR="00092F88" w:rsidRDefault="00D82713" w:rsidP="00231D12">
      <w:pPr>
        <w:pStyle w:val="CILSubtitle"/>
      </w:pPr>
      <w:r>
        <w:t>Adopted in</w:t>
      </w:r>
      <w:r w:rsidR="004C2BFD">
        <w:t xml:space="preserve"> </w:t>
      </w:r>
      <w:r w:rsidR="004C2BFD" w:rsidRPr="004C2BFD">
        <w:t>Vientiane, Lao PDR</w:t>
      </w:r>
      <w:r w:rsidR="004C2BFD">
        <w:t xml:space="preserve"> on</w:t>
      </w:r>
      <w:r w:rsidR="009108FC">
        <w:t xml:space="preserve"> </w:t>
      </w:r>
      <w:r w:rsidR="004C2BFD">
        <w:t>20 November</w:t>
      </w:r>
      <w:r w:rsidR="00231D12" w:rsidRPr="00231D12">
        <w:t xml:space="preserve"> 202</w:t>
      </w:r>
      <w:r w:rsidR="004C2BFD">
        <w:t>4</w:t>
      </w:r>
    </w:p>
    <w:p w14:paraId="71B42C56" w14:textId="77777777" w:rsidR="004C2BFD" w:rsidRDefault="004C2BFD" w:rsidP="004C2BFD">
      <w:pPr>
        <w:pStyle w:val="ListParagraph"/>
        <w:numPr>
          <w:ilvl w:val="0"/>
          <w:numId w:val="46"/>
        </w:numPr>
      </w:pPr>
      <w:r w:rsidRPr="004C2BFD">
        <w:t xml:space="preserve">The Eighteenth ASEAN Defence Ministers’ Meeting (hereinafter referred to as “ADMM”), was convened on 20 November 2024 in Vientiane, the Lao People’s Democratic Republic; </w:t>
      </w:r>
    </w:p>
    <w:p w14:paraId="6641972A" w14:textId="77777777" w:rsidR="004C2BFD" w:rsidRDefault="004C2BFD" w:rsidP="004C2BFD">
      <w:pPr>
        <w:pStyle w:val="ListParagraph"/>
        <w:ind w:left="360"/>
      </w:pPr>
    </w:p>
    <w:p w14:paraId="3033F16D" w14:textId="77777777" w:rsidR="004C2BFD" w:rsidRDefault="004C2BFD" w:rsidP="004C2BFD">
      <w:pPr>
        <w:pStyle w:val="ListParagraph"/>
        <w:numPr>
          <w:ilvl w:val="0"/>
          <w:numId w:val="46"/>
        </w:numPr>
      </w:pPr>
      <w:r w:rsidRPr="004C2BFD">
        <w:rPr>
          <w:b/>
          <w:bCs/>
        </w:rPr>
        <w:t>RECOGNISING</w:t>
      </w:r>
      <w:r w:rsidRPr="004C2BFD">
        <w:t xml:space="preserve"> that the complexity posed by geopolitical and geostrategic dynamics affect regional and global peace and stability; </w:t>
      </w:r>
    </w:p>
    <w:p w14:paraId="53C1AEF3" w14:textId="77777777" w:rsidR="004C2BFD" w:rsidRDefault="004C2BFD" w:rsidP="004C2BFD">
      <w:pPr>
        <w:pStyle w:val="ListParagraph"/>
      </w:pPr>
    </w:p>
    <w:p w14:paraId="51B12B35" w14:textId="77777777" w:rsidR="004C2BFD" w:rsidRDefault="004C2BFD" w:rsidP="004C2BFD">
      <w:pPr>
        <w:pStyle w:val="ListParagraph"/>
        <w:numPr>
          <w:ilvl w:val="0"/>
          <w:numId w:val="46"/>
        </w:numPr>
      </w:pPr>
      <w:r w:rsidRPr="004C2BFD">
        <w:rPr>
          <w:b/>
          <w:bCs/>
        </w:rPr>
        <w:t>ACKNOWLEDGING</w:t>
      </w:r>
      <w:r w:rsidRPr="004C2BFD">
        <w:t xml:space="preserve"> that traditional and non-traditional security threats, including the impacts of climate change, energy insecurity and food scarcity, along with social and cultural changes, the deceleration of </w:t>
      </w:r>
      <w:proofErr w:type="gramStart"/>
      <w:r w:rsidRPr="004C2BFD">
        <w:t>the global</w:t>
      </w:r>
      <w:proofErr w:type="gramEnd"/>
      <w:r w:rsidRPr="004C2BFD">
        <w:t xml:space="preserve"> economic growth, and the advancement of information and communication technologies (ICTs) have continued to pose challenges to the peace, stability and security in the region and beyond; </w:t>
      </w:r>
    </w:p>
    <w:p w14:paraId="14D36779" w14:textId="77777777" w:rsidR="004C2BFD" w:rsidRDefault="004C2BFD" w:rsidP="004C2BFD">
      <w:pPr>
        <w:pStyle w:val="ListParagraph"/>
      </w:pPr>
    </w:p>
    <w:p w14:paraId="3BD36102" w14:textId="77777777" w:rsidR="004C2BFD" w:rsidRDefault="004C2BFD" w:rsidP="004C2BFD">
      <w:pPr>
        <w:pStyle w:val="ListParagraph"/>
        <w:numPr>
          <w:ilvl w:val="0"/>
          <w:numId w:val="46"/>
        </w:numPr>
      </w:pPr>
      <w:r w:rsidRPr="004C2BFD">
        <w:rPr>
          <w:b/>
          <w:bCs/>
        </w:rPr>
        <w:t>RECOGNISING</w:t>
      </w:r>
      <w:r w:rsidRPr="004C2BFD">
        <w:t xml:space="preserve"> that the multi-faceted impacts of climate change phenomenon, including extreme weather events and other climate-related disasters, are occurring with increasing frequency, intensity, and severity;</w:t>
      </w:r>
    </w:p>
    <w:p w14:paraId="373D6DAF" w14:textId="77777777" w:rsidR="004C2BFD" w:rsidRDefault="004C2BFD" w:rsidP="004C2BFD">
      <w:pPr>
        <w:pStyle w:val="ListParagraph"/>
      </w:pPr>
    </w:p>
    <w:p w14:paraId="2AD3F719" w14:textId="77777777" w:rsidR="004C2BFD" w:rsidRDefault="004C2BFD" w:rsidP="004C2BFD">
      <w:pPr>
        <w:pStyle w:val="ListParagraph"/>
        <w:numPr>
          <w:ilvl w:val="0"/>
          <w:numId w:val="46"/>
        </w:numPr>
      </w:pPr>
      <w:r w:rsidRPr="004C2BFD">
        <w:rPr>
          <w:b/>
          <w:bCs/>
        </w:rPr>
        <w:t>INSPIRED</w:t>
      </w:r>
      <w:r w:rsidRPr="004C2BFD">
        <w:t xml:space="preserve"> by the efforts and commitments of ASEAN Member States (AMS) in effectively responding to common security challenges, in order to contribute to maintaining regional peace, security and development, and further contribute to enhancing regional resilience;</w:t>
      </w:r>
    </w:p>
    <w:p w14:paraId="20BB56EC" w14:textId="77777777" w:rsidR="004C2BFD" w:rsidRDefault="004C2BFD" w:rsidP="004C2BFD">
      <w:pPr>
        <w:pStyle w:val="ListParagraph"/>
      </w:pPr>
    </w:p>
    <w:p w14:paraId="35B0B953" w14:textId="77777777" w:rsidR="004C2BFD" w:rsidRDefault="004C2BFD" w:rsidP="004C2BFD">
      <w:pPr>
        <w:pStyle w:val="ListParagraph"/>
        <w:numPr>
          <w:ilvl w:val="0"/>
          <w:numId w:val="46"/>
        </w:numPr>
      </w:pPr>
      <w:r w:rsidRPr="004C2BFD">
        <w:rPr>
          <w:b/>
          <w:bCs/>
        </w:rPr>
        <w:t>UNDERSCORING</w:t>
      </w:r>
      <w:r w:rsidRPr="004C2BFD">
        <w:t xml:space="preserve"> the importance of the ADMM and ADMM-Plus as the integral parts of the regional security architecture, which provide frameworks for strategic defence dialogue and practical cooperation with ASEAN at the centre; </w:t>
      </w:r>
    </w:p>
    <w:p w14:paraId="57C265AA" w14:textId="77777777" w:rsidR="004C2BFD" w:rsidRDefault="004C2BFD" w:rsidP="004C2BFD">
      <w:pPr>
        <w:pStyle w:val="ListParagraph"/>
      </w:pPr>
    </w:p>
    <w:p w14:paraId="1DC993DA" w14:textId="77777777" w:rsidR="004C2BFD" w:rsidRDefault="004C2BFD" w:rsidP="004C2BFD">
      <w:pPr>
        <w:pStyle w:val="ListParagraph"/>
        <w:numPr>
          <w:ilvl w:val="0"/>
          <w:numId w:val="46"/>
        </w:numPr>
      </w:pPr>
      <w:r w:rsidRPr="004C2BFD">
        <w:rPr>
          <w:b/>
          <w:bCs/>
        </w:rPr>
        <w:t>REITERATING</w:t>
      </w:r>
      <w:r w:rsidRPr="004C2BFD">
        <w:t xml:space="preserve"> that ASEAN is an outward-looking Community that values engagement and cooperation with ASEAN’s Dialogue Partners and friends through ASEAN-led mechanisms to promote mutual trust and confidence, while upholding and strengthening ASEAN Centrality and unity, thus contributing to the common objective of maintaining peace and security, as well as enhancing the resilience of the region and beyond; </w:t>
      </w:r>
    </w:p>
    <w:p w14:paraId="5939CD50" w14:textId="77777777" w:rsidR="004C2BFD" w:rsidRDefault="004C2BFD" w:rsidP="004C2BFD">
      <w:pPr>
        <w:pStyle w:val="ListParagraph"/>
      </w:pPr>
    </w:p>
    <w:p w14:paraId="1B589169" w14:textId="288552E3" w:rsidR="004C2BFD" w:rsidRDefault="004C2BFD" w:rsidP="004C2BFD">
      <w:pPr>
        <w:pStyle w:val="ListParagraph"/>
        <w:numPr>
          <w:ilvl w:val="0"/>
          <w:numId w:val="46"/>
        </w:numPr>
      </w:pPr>
      <w:r w:rsidRPr="004C2BFD">
        <w:rPr>
          <w:b/>
          <w:bCs/>
        </w:rPr>
        <w:t>REAFFIRMING</w:t>
      </w:r>
      <w:r w:rsidRPr="004C2BFD">
        <w:t xml:space="preserve"> our adherence to the fundamental principles and purposes enshrined in the United Nations (UN) Charter, ASEAN Charter, and the Treaty of Amity and Cooperation in Southeast Asia (TAC) in strengthening ASEAN Centrality and unity, and reinforcing a rules-based regional architecture with ASEAN at the centre that upholds international law for the benefit of the people; as well as the central role of ASEAN as the primary driving force in enhancing defence and security cooperation and confidence-building measures with its partners;</w:t>
      </w:r>
    </w:p>
    <w:p w14:paraId="42CA78D1" w14:textId="77777777" w:rsidR="004C2BFD" w:rsidRDefault="004C2BFD" w:rsidP="004C2BFD">
      <w:pPr>
        <w:pStyle w:val="ListParagraph"/>
      </w:pPr>
    </w:p>
    <w:p w14:paraId="0531D9AE" w14:textId="6617BCA6" w:rsidR="004C2BFD" w:rsidRDefault="004C2BFD" w:rsidP="004C2BFD">
      <w:pPr>
        <w:pStyle w:val="ListParagraph"/>
        <w:numPr>
          <w:ilvl w:val="0"/>
          <w:numId w:val="46"/>
        </w:numPr>
      </w:pPr>
      <w:r w:rsidRPr="004C2BFD">
        <w:rPr>
          <w:b/>
          <w:bCs/>
        </w:rPr>
        <w:t>REAFFIRMING</w:t>
      </w:r>
      <w:r w:rsidRPr="004C2BFD">
        <w:t xml:space="preserve"> the importance of the ASEAN Outlook on the Indo-Pacific (AOIP) as a guideline for ASEAN in its engagement with external partners; </w:t>
      </w:r>
    </w:p>
    <w:p w14:paraId="6478959E" w14:textId="77777777" w:rsidR="004C2BFD" w:rsidRDefault="004C2BFD" w:rsidP="004C2BFD">
      <w:pPr>
        <w:pStyle w:val="ListParagraph"/>
      </w:pPr>
    </w:p>
    <w:p w14:paraId="7506C1D9" w14:textId="77777777" w:rsidR="004C2BFD" w:rsidRDefault="004C2BFD" w:rsidP="004C2BFD">
      <w:pPr>
        <w:pStyle w:val="ListParagraph"/>
        <w:numPr>
          <w:ilvl w:val="0"/>
          <w:numId w:val="46"/>
        </w:numPr>
      </w:pPr>
      <w:r w:rsidRPr="004C2BFD">
        <w:rPr>
          <w:b/>
          <w:bCs/>
        </w:rPr>
        <w:t>COMMENDING</w:t>
      </w:r>
      <w:r w:rsidRPr="004C2BFD">
        <w:t xml:space="preserve"> the progress and achievements of all ADMM initiatives, which are reflected in the implementation of the ADMM Work Programme 2023-2026 and contribute to AMS’ joint efforts in realising the ASEAN Political-Security Community (APSC) Blueprint 2025; </w:t>
      </w:r>
    </w:p>
    <w:p w14:paraId="1F47A422" w14:textId="77777777" w:rsidR="004C2BFD" w:rsidRDefault="004C2BFD" w:rsidP="004C2BFD">
      <w:pPr>
        <w:pStyle w:val="ListParagraph"/>
      </w:pPr>
    </w:p>
    <w:p w14:paraId="3576E711" w14:textId="77777777" w:rsidR="004C2BFD" w:rsidRDefault="004C2BFD" w:rsidP="004C2BFD">
      <w:pPr>
        <w:pStyle w:val="ListParagraph"/>
        <w:numPr>
          <w:ilvl w:val="0"/>
          <w:numId w:val="46"/>
        </w:numPr>
      </w:pPr>
      <w:r w:rsidRPr="004C2BFD">
        <w:rPr>
          <w:b/>
          <w:bCs/>
        </w:rPr>
        <w:lastRenderedPageBreak/>
        <w:t>SUPPORTING</w:t>
      </w:r>
      <w:r w:rsidRPr="004C2BFD">
        <w:t xml:space="preserve"> the full implementation of the Five-Point Consensus in Myanmar and recalling Myanmar’s commitment to finding a peaceful and durable solution to the current situation; </w:t>
      </w:r>
    </w:p>
    <w:p w14:paraId="2D8B3CB7" w14:textId="77777777" w:rsidR="004C2BFD" w:rsidRDefault="004C2BFD" w:rsidP="004C2BFD">
      <w:pPr>
        <w:pStyle w:val="ListParagraph"/>
      </w:pPr>
    </w:p>
    <w:p w14:paraId="1CE59AD4" w14:textId="208CB374" w:rsidR="004C2BFD" w:rsidRDefault="004C2BFD" w:rsidP="004C2BFD">
      <w:pPr>
        <w:pStyle w:val="ListParagraph"/>
        <w:numPr>
          <w:ilvl w:val="0"/>
          <w:numId w:val="46"/>
        </w:numPr>
      </w:pPr>
      <w:r w:rsidRPr="004C2BFD">
        <w:rPr>
          <w:b/>
          <w:bCs/>
        </w:rPr>
        <w:t>REITERATING</w:t>
      </w:r>
      <w:r w:rsidRPr="004C2BFD">
        <w:t xml:space="preserve"> the commitment of all parties to cooperating in a constructive and peaceful manner to maintain the South China Sea as a sea of peace, stability, and prosperity through the full and effective implementation of the 2002 Declaration on the Conduct of Parties in the South China Sea (DOC), and the early conclusion of an effective and substantive Code of Conduct in the South China Sea (COC) in accordance with international law, including the 1982 UN Convention on the Law of the Sea (UNCLOS), within a mutually</w:t>
      </w:r>
      <w:r>
        <w:t>-</w:t>
      </w:r>
      <w:r w:rsidRPr="004C2BFD">
        <w:t xml:space="preserve">agreed timeline. In addition, the parties are committed to promoting maritime security, safety and freedom of navigation and overflight and creating a conducive environment for the peaceful settlement of disputes in the South China Sea; </w:t>
      </w:r>
    </w:p>
    <w:p w14:paraId="2F71743C" w14:textId="77777777" w:rsidR="004C2BFD" w:rsidRDefault="004C2BFD" w:rsidP="004C2BFD">
      <w:pPr>
        <w:pStyle w:val="ListParagraph"/>
      </w:pPr>
    </w:p>
    <w:p w14:paraId="07BFCB3E" w14:textId="54CB9129" w:rsidR="004C2BFD" w:rsidRDefault="004C2BFD" w:rsidP="004C2BFD">
      <w:pPr>
        <w:pStyle w:val="ListParagraph"/>
        <w:numPr>
          <w:ilvl w:val="0"/>
          <w:numId w:val="46"/>
        </w:numPr>
      </w:pPr>
      <w:r w:rsidRPr="004C2BFD">
        <w:rPr>
          <w:b/>
          <w:bCs/>
        </w:rPr>
        <w:t>COMMENDING</w:t>
      </w:r>
      <w:r w:rsidRPr="004C2BFD">
        <w:t xml:space="preserve"> the achievements of the seven ADMM-Plus Experts’ Working Groups (EWGs), namely on Humanitarian Assistance and Disaster Relief (HADR), Maritime Security (MS), Military Medicine (MM), Counter-Terrorism (CT), Peacekeeping Operations (PKO), Humanitarian Mine Action (HMA), and Cyber Security (CS) in the 2021-2023 cycle, which significantly contributed to the promotion of mutual capacity-building and interoperability among ADMM</w:t>
      </w:r>
      <w:r>
        <w:t>-</w:t>
      </w:r>
      <w:r w:rsidRPr="004C2BFD">
        <w:t xml:space="preserve">Plus Countries; </w:t>
      </w:r>
    </w:p>
    <w:p w14:paraId="63E4B4C1" w14:textId="77777777" w:rsidR="004C2BFD" w:rsidRDefault="004C2BFD" w:rsidP="004C2BFD">
      <w:pPr>
        <w:pStyle w:val="ListParagraph"/>
      </w:pPr>
    </w:p>
    <w:p w14:paraId="331DDD97" w14:textId="77777777" w:rsidR="004C2BFD" w:rsidRDefault="004C2BFD" w:rsidP="004C2BFD">
      <w:pPr>
        <w:pStyle w:val="ListParagraph"/>
        <w:numPr>
          <w:ilvl w:val="0"/>
          <w:numId w:val="46"/>
        </w:numPr>
      </w:pPr>
      <w:r w:rsidRPr="004C2BFD">
        <w:rPr>
          <w:b/>
          <w:bCs/>
        </w:rPr>
        <w:t>NOTING</w:t>
      </w:r>
      <w:r w:rsidRPr="004C2BFD">
        <w:t xml:space="preserve"> the progress of military cooperation under the ASEAN Chiefs of Defence Forces’ Meeting (ACDFM) and its related meetings and activities to promote mutual trust, understanding, confidence-building and capacity-building among the Defence Forces of AMS; </w:t>
      </w:r>
    </w:p>
    <w:p w14:paraId="1BCABAC8" w14:textId="77777777" w:rsidR="004C2BFD" w:rsidRDefault="004C2BFD" w:rsidP="004C2BFD">
      <w:pPr>
        <w:pStyle w:val="ListParagraph"/>
      </w:pPr>
    </w:p>
    <w:p w14:paraId="0C23DC98" w14:textId="77777777" w:rsidR="004C2BFD" w:rsidRDefault="004C2BFD" w:rsidP="004C2BFD">
      <w:pPr>
        <w:pStyle w:val="ListParagraph"/>
        <w:numPr>
          <w:ilvl w:val="0"/>
          <w:numId w:val="46"/>
        </w:numPr>
      </w:pPr>
      <w:r w:rsidRPr="004C2BFD">
        <w:rPr>
          <w:b/>
          <w:bCs/>
        </w:rPr>
        <w:t>ACKNOWLEDGING</w:t>
      </w:r>
      <w:r w:rsidRPr="004C2BFD">
        <w:t xml:space="preserve"> the outcomes of the 17th Annual Meeting of the Track II Network of ASEAN Defence and Security Institutions (NADI), as well as its role of Track II defence diplomacy in providing relevant input and recommendations in tackling current and emerging defence and security challenges; </w:t>
      </w:r>
    </w:p>
    <w:p w14:paraId="56D2663E" w14:textId="77777777" w:rsidR="004C2BFD" w:rsidRDefault="004C2BFD" w:rsidP="004C2BFD">
      <w:pPr>
        <w:pStyle w:val="ListParagraph"/>
      </w:pPr>
    </w:p>
    <w:p w14:paraId="663714B6" w14:textId="77777777" w:rsidR="004C2BFD" w:rsidRDefault="004C2BFD" w:rsidP="004C2BFD">
      <w:pPr>
        <w:pStyle w:val="ListParagraph"/>
        <w:numPr>
          <w:ilvl w:val="0"/>
          <w:numId w:val="46"/>
        </w:numPr>
      </w:pPr>
      <w:r w:rsidRPr="004C2BFD">
        <w:rPr>
          <w:b/>
          <w:bCs/>
        </w:rPr>
        <w:t>WELCOMING</w:t>
      </w:r>
      <w:r w:rsidRPr="004C2BFD">
        <w:t xml:space="preserve"> Timor-Leste’s continued commitment to the implementation of the Roadmap for Timor-Leste’s Full Membership in ASEAN adopted at the 42nd ASEAN Summit, including through its participation as an observer in the ADMM, ADMM-Plus and related meetings and activities at all levels. At the same time, CONTINUING to provide capacity-building assistance, as well as encouraging ASEAN’s Dialogue Partners and other external partners to support Timor-Leste while emphasising the need for Timor-Leste to achieve more practical progress that could fulfil the basic needs towards regional integration and Community-building efforts. </w:t>
      </w:r>
    </w:p>
    <w:p w14:paraId="6A22891E" w14:textId="77777777" w:rsidR="004C2BFD" w:rsidRDefault="004C2BFD" w:rsidP="004C2BFD">
      <w:pPr>
        <w:pStyle w:val="ListParagraph"/>
      </w:pPr>
    </w:p>
    <w:p w14:paraId="0C054F93" w14:textId="0A156E43" w:rsidR="004C2BFD" w:rsidRDefault="004C2BFD" w:rsidP="004C2BFD">
      <w:pPr>
        <w:pStyle w:val="ListParagraph"/>
        <w:numPr>
          <w:ilvl w:val="0"/>
          <w:numId w:val="46"/>
        </w:numPr>
      </w:pPr>
      <w:r w:rsidRPr="004C2BFD">
        <w:rPr>
          <w:b/>
          <w:bCs/>
        </w:rPr>
        <w:t>NOTING</w:t>
      </w:r>
      <w:r w:rsidRPr="004C2BFD">
        <w:t xml:space="preserve"> the effective implementation of the </w:t>
      </w:r>
      <w:proofErr w:type="spellStart"/>
      <w:r w:rsidRPr="004C2BFD">
        <w:t>Observership</w:t>
      </w:r>
      <w:proofErr w:type="spellEnd"/>
      <w:r w:rsidRPr="004C2BFD">
        <w:t xml:space="preserve"> Programme in 2023, where Canada, France and the United Kingdom (UK) took part as observers in the ADMM-Plus EWGs’ </w:t>
      </w:r>
      <w:r>
        <w:br/>
      </w:r>
      <w:r w:rsidRPr="004C2BFD">
        <w:t>capacity-building activities, reflecting the ADMM-Plus as an open and inclusive platform that is ASEAN-</w:t>
      </w:r>
      <w:proofErr w:type="spellStart"/>
      <w:r w:rsidRPr="004C2BFD">
        <w:t>centred</w:t>
      </w:r>
      <w:proofErr w:type="spellEnd"/>
      <w:r w:rsidRPr="004C2BFD">
        <w:t>.</w:t>
      </w:r>
    </w:p>
    <w:p w14:paraId="4942B220" w14:textId="69A98D9E" w:rsidR="004C2BFD" w:rsidRPr="004C2BFD" w:rsidRDefault="004C2BFD" w:rsidP="004C2BFD">
      <w:pPr>
        <w:rPr>
          <w:b/>
          <w:bCs/>
        </w:rPr>
      </w:pPr>
      <w:r w:rsidRPr="004C2BFD">
        <w:rPr>
          <w:b/>
          <w:bCs/>
        </w:rPr>
        <w:t>HEREBY DECLARES TO:</w:t>
      </w:r>
    </w:p>
    <w:p w14:paraId="79ACC650" w14:textId="77777777" w:rsidR="004C2BFD" w:rsidRDefault="004C2BFD" w:rsidP="004C2BFD">
      <w:pPr>
        <w:pStyle w:val="ListParagraph"/>
        <w:numPr>
          <w:ilvl w:val="0"/>
          <w:numId w:val="47"/>
        </w:numPr>
      </w:pPr>
      <w:r w:rsidRPr="004C2BFD">
        <w:rPr>
          <w:b/>
          <w:bCs/>
        </w:rPr>
        <w:t>STRENGTHEN</w:t>
      </w:r>
      <w:r w:rsidRPr="004C2BFD">
        <w:t xml:space="preserve"> ASEAN Centrality and unity, and the proactive role of ASEAN as the primary driving force in its relations and cooperation with its external partners in a regional architecture that is open, transparent and inclusive; </w:t>
      </w:r>
    </w:p>
    <w:p w14:paraId="782FB139" w14:textId="77777777" w:rsidR="004C2BFD" w:rsidRDefault="004C2BFD" w:rsidP="004C2BFD">
      <w:pPr>
        <w:pStyle w:val="ListParagraph"/>
        <w:ind w:left="360"/>
      </w:pPr>
    </w:p>
    <w:p w14:paraId="5A151985" w14:textId="77777777" w:rsidR="004C2BFD" w:rsidRDefault="004C2BFD" w:rsidP="004C2BFD">
      <w:pPr>
        <w:pStyle w:val="ListParagraph"/>
        <w:numPr>
          <w:ilvl w:val="0"/>
          <w:numId w:val="47"/>
        </w:numPr>
      </w:pPr>
      <w:r w:rsidRPr="004C2BFD">
        <w:rPr>
          <w:b/>
          <w:bCs/>
        </w:rPr>
        <w:t>DEEPEN</w:t>
      </w:r>
      <w:r w:rsidRPr="004C2BFD">
        <w:t xml:space="preserve"> defence and security cooperation and engagement between the ADMM and Plus Countries with ASEAN at the centre, in order to effectively respond to common security challenges faced by the region; </w:t>
      </w:r>
    </w:p>
    <w:p w14:paraId="7680E7CB" w14:textId="77777777" w:rsidR="004C2BFD" w:rsidRDefault="004C2BFD" w:rsidP="004C2BFD">
      <w:pPr>
        <w:pStyle w:val="ListParagraph"/>
      </w:pPr>
    </w:p>
    <w:p w14:paraId="3142A0F2" w14:textId="77777777" w:rsidR="004C2BFD" w:rsidRDefault="004C2BFD" w:rsidP="004C2BFD">
      <w:pPr>
        <w:pStyle w:val="ListParagraph"/>
      </w:pPr>
    </w:p>
    <w:p w14:paraId="7FB41557" w14:textId="77777777" w:rsidR="004C2BFD" w:rsidRDefault="004C2BFD" w:rsidP="004C2BFD">
      <w:pPr>
        <w:pStyle w:val="ListParagraph"/>
      </w:pPr>
    </w:p>
    <w:p w14:paraId="3B4D59A1" w14:textId="77777777" w:rsidR="004C2BFD" w:rsidRDefault="004C2BFD" w:rsidP="004C2BFD">
      <w:pPr>
        <w:pStyle w:val="ListParagraph"/>
        <w:numPr>
          <w:ilvl w:val="0"/>
          <w:numId w:val="47"/>
        </w:numPr>
      </w:pPr>
      <w:r w:rsidRPr="004C2BFD">
        <w:rPr>
          <w:b/>
          <w:bCs/>
        </w:rPr>
        <w:lastRenderedPageBreak/>
        <w:t>UNDERSCORE</w:t>
      </w:r>
      <w:r w:rsidRPr="004C2BFD">
        <w:t xml:space="preserve"> the significance of maintaining regional peace, stability, security, safety and freedom of navigation in and overflight above the South China Sea; pursuing peaceful resolution of disputes in accordance with international law, including the 1982 UNCLOS, exercising self-restraint in the conduct of activities that would complicate or escalate disputes and affect peace and stability; </w:t>
      </w:r>
    </w:p>
    <w:p w14:paraId="2174534D" w14:textId="77777777" w:rsidR="004C2BFD" w:rsidRDefault="004C2BFD" w:rsidP="004C2BFD">
      <w:pPr>
        <w:pStyle w:val="ListParagraph"/>
      </w:pPr>
    </w:p>
    <w:p w14:paraId="2B7518B4" w14:textId="77777777" w:rsidR="004C2BFD" w:rsidRDefault="004C2BFD" w:rsidP="004C2BFD">
      <w:pPr>
        <w:pStyle w:val="ListParagraph"/>
        <w:numPr>
          <w:ilvl w:val="0"/>
          <w:numId w:val="47"/>
        </w:numPr>
      </w:pPr>
      <w:r w:rsidRPr="004C2BFD">
        <w:rPr>
          <w:b/>
          <w:bCs/>
        </w:rPr>
        <w:t>EMPHASISE</w:t>
      </w:r>
      <w:r w:rsidRPr="004C2BFD">
        <w:t xml:space="preserve"> the need for the early conclusion of an effective and substantive COC in accordance with international law, including the 1982 UNCLOS while underlining the full and effective implementation of the DOC in the South China Sea in its entirety, thus commending existing confidence-building measures such as Code for Unplanned Encounters at Sea, Guidelines for Air Military Encounters, Guidelines for Maritime Interaction, ASEAN Direct Communications Infrastructure and other related activities under the DOC framework to promote communication, mutual trust and confidence and to reduce tensions and the risk of accidents, misunderstandings and miscalculation in the air and at sea; </w:t>
      </w:r>
    </w:p>
    <w:p w14:paraId="46417EF1" w14:textId="77777777" w:rsidR="004C2BFD" w:rsidRDefault="004C2BFD" w:rsidP="004C2BFD">
      <w:pPr>
        <w:pStyle w:val="ListParagraph"/>
      </w:pPr>
    </w:p>
    <w:p w14:paraId="287C8CBE" w14:textId="77777777" w:rsidR="004C2BFD" w:rsidRDefault="004C2BFD" w:rsidP="004C2BFD">
      <w:pPr>
        <w:pStyle w:val="ListParagraph"/>
        <w:numPr>
          <w:ilvl w:val="0"/>
          <w:numId w:val="47"/>
        </w:numPr>
      </w:pPr>
      <w:r w:rsidRPr="004C2BFD">
        <w:rPr>
          <w:b/>
          <w:bCs/>
        </w:rPr>
        <w:t>RECOGNISE</w:t>
      </w:r>
      <w:r w:rsidRPr="004C2BFD">
        <w:t xml:space="preserve"> ASEAN’s ongoing efforts and the ASEAN Leaders’ Review and Decision on the Implementation of the Five-Point Consensus to facilitate the restoration of peace and stability and the peaceful transition to normalcy in Myanmar, and towards this end, reiterate the need for a full implementation of the Five-Point Consensus; </w:t>
      </w:r>
    </w:p>
    <w:p w14:paraId="4D301BAE" w14:textId="77777777" w:rsidR="004C2BFD" w:rsidRDefault="004C2BFD" w:rsidP="004C2BFD">
      <w:pPr>
        <w:pStyle w:val="ListParagraph"/>
      </w:pPr>
    </w:p>
    <w:p w14:paraId="2484F5EE" w14:textId="77777777" w:rsidR="004C2BFD" w:rsidRDefault="004C2BFD" w:rsidP="004C2BFD">
      <w:pPr>
        <w:pStyle w:val="ListParagraph"/>
        <w:numPr>
          <w:ilvl w:val="0"/>
          <w:numId w:val="47"/>
        </w:numPr>
      </w:pPr>
      <w:r w:rsidRPr="004C2BFD">
        <w:rPr>
          <w:b/>
          <w:bCs/>
        </w:rPr>
        <w:t>WELCOME</w:t>
      </w:r>
      <w:r w:rsidRPr="004C2BFD">
        <w:t xml:space="preserve"> the designation of Defence Focal Points to encourage synergy and streamlining of ADMM and ADMM-Plus initiatives in a sustainable and resource-efficient manner; </w:t>
      </w:r>
    </w:p>
    <w:p w14:paraId="1BDB8467" w14:textId="77777777" w:rsidR="004C2BFD" w:rsidRDefault="004C2BFD" w:rsidP="004C2BFD">
      <w:pPr>
        <w:pStyle w:val="ListParagraph"/>
      </w:pPr>
    </w:p>
    <w:p w14:paraId="739A140B" w14:textId="77777777" w:rsidR="004C2BFD" w:rsidRDefault="004C2BFD" w:rsidP="004C2BFD">
      <w:pPr>
        <w:pStyle w:val="ListParagraph"/>
        <w:numPr>
          <w:ilvl w:val="0"/>
          <w:numId w:val="47"/>
        </w:numPr>
      </w:pPr>
      <w:r w:rsidRPr="004C2BFD">
        <w:rPr>
          <w:b/>
          <w:bCs/>
        </w:rPr>
        <w:t>ADOPT</w:t>
      </w:r>
      <w:r w:rsidRPr="004C2BFD">
        <w:t xml:space="preserve"> the ADMM-Plus EWGs </w:t>
      </w:r>
      <w:proofErr w:type="spellStart"/>
      <w:r w:rsidRPr="004C2BFD">
        <w:t>Observership</w:t>
      </w:r>
      <w:proofErr w:type="spellEnd"/>
      <w:r w:rsidRPr="004C2BFD">
        <w:t xml:space="preserve"> Protocol, which reaffirms ASEAN Centrality, as well as facilitates the participation and contribution of non-Plus Countries and other external partners to trust, confidence and capacity-building under the ADMM-Plus EWGs; </w:t>
      </w:r>
    </w:p>
    <w:p w14:paraId="78FFD032" w14:textId="77777777" w:rsidR="004C2BFD" w:rsidRDefault="004C2BFD" w:rsidP="004C2BFD">
      <w:pPr>
        <w:pStyle w:val="ListParagraph"/>
      </w:pPr>
    </w:p>
    <w:p w14:paraId="4DCA59F4" w14:textId="77777777" w:rsidR="004C2BFD" w:rsidRDefault="004C2BFD" w:rsidP="004C2BFD">
      <w:pPr>
        <w:pStyle w:val="ListParagraph"/>
        <w:numPr>
          <w:ilvl w:val="0"/>
          <w:numId w:val="47"/>
        </w:numPr>
      </w:pPr>
      <w:r w:rsidRPr="004C2BFD">
        <w:rPr>
          <w:b/>
          <w:bCs/>
        </w:rPr>
        <w:t>APPROVE</w:t>
      </w:r>
      <w:r w:rsidRPr="004C2BFD">
        <w:t xml:space="preserve"> the Strategy Paper on a Future-Ready ADMM and ADMM-Plus, which will guide the ADMM and ADMM-Plus defence engagement in support of ASEAN Leaders’ Declaration on Development of Strategic Plans to Implement ASEAN Community Vision 2045; </w:t>
      </w:r>
    </w:p>
    <w:p w14:paraId="66E9B450" w14:textId="77777777" w:rsidR="004C2BFD" w:rsidRDefault="004C2BFD" w:rsidP="004C2BFD">
      <w:pPr>
        <w:pStyle w:val="ListParagraph"/>
      </w:pPr>
    </w:p>
    <w:p w14:paraId="14D20105" w14:textId="77777777" w:rsidR="004C2BFD" w:rsidRDefault="004C2BFD" w:rsidP="004C2BFD">
      <w:pPr>
        <w:pStyle w:val="ListParagraph"/>
        <w:numPr>
          <w:ilvl w:val="0"/>
          <w:numId w:val="47"/>
        </w:numPr>
      </w:pPr>
      <w:r w:rsidRPr="004C2BFD">
        <w:rPr>
          <w:b/>
          <w:bCs/>
        </w:rPr>
        <w:t>APPROVE</w:t>
      </w:r>
      <w:r w:rsidRPr="004C2BFD">
        <w:t xml:space="preserve"> the Concept Note on Maritime Cooperation and Connectivity Conference as the pilot project of the Concept Paper on the Implementation of the AOIP from a Defence Perspective; </w:t>
      </w:r>
    </w:p>
    <w:p w14:paraId="577DD8D5" w14:textId="77777777" w:rsidR="004C2BFD" w:rsidRDefault="004C2BFD" w:rsidP="004C2BFD">
      <w:pPr>
        <w:pStyle w:val="ListParagraph"/>
      </w:pPr>
    </w:p>
    <w:p w14:paraId="0210AD53" w14:textId="77777777" w:rsidR="004C2BFD" w:rsidRDefault="004C2BFD" w:rsidP="004C2BFD">
      <w:pPr>
        <w:pStyle w:val="ListParagraph"/>
        <w:numPr>
          <w:ilvl w:val="0"/>
          <w:numId w:val="47"/>
        </w:numPr>
      </w:pPr>
      <w:r w:rsidRPr="004C2BFD">
        <w:rPr>
          <w:b/>
          <w:bCs/>
        </w:rPr>
        <w:t>APPROVE</w:t>
      </w:r>
      <w:r w:rsidRPr="004C2BFD">
        <w:t xml:space="preserve"> the Concept Note on the 2nd ASEAN-United States Maritime Exercise; </w:t>
      </w:r>
    </w:p>
    <w:p w14:paraId="54D5EBD8" w14:textId="77777777" w:rsidR="004C2BFD" w:rsidRDefault="004C2BFD" w:rsidP="004C2BFD">
      <w:pPr>
        <w:pStyle w:val="ListParagraph"/>
      </w:pPr>
    </w:p>
    <w:p w14:paraId="78B07578" w14:textId="77777777" w:rsidR="004C2BFD" w:rsidRDefault="004C2BFD" w:rsidP="004C2BFD">
      <w:pPr>
        <w:pStyle w:val="ListParagraph"/>
        <w:numPr>
          <w:ilvl w:val="0"/>
          <w:numId w:val="47"/>
        </w:numPr>
      </w:pPr>
      <w:r w:rsidRPr="004C2BFD">
        <w:rPr>
          <w:b/>
          <w:bCs/>
        </w:rPr>
        <w:t>WELCOME</w:t>
      </w:r>
      <w:r w:rsidRPr="004C2BFD">
        <w:t xml:space="preserve"> the Joint Statement by the ASEAN Defence Ministers on the ADMM’s Accomplishments in the Implementation of the ASEAN Political</w:t>
      </w:r>
      <w:r>
        <w:t>-</w:t>
      </w:r>
      <w:r w:rsidRPr="004C2BFD">
        <w:t>Security Community Blueprint 2025, which demonstrates notable</w:t>
      </w:r>
      <w:r>
        <w:t xml:space="preserve"> </w:t>
      </w:r>
      <w:r w:rsidRPr="004C2BFD">
        <w:t xml:space="preserve">developments and tangible outcomes, contributing to building capacity and resilience, and maintaining peace and security of the region; </w:t>
      </w:r>
    </w:p>
    <w:p w14:paraId="249784D1" w14:textId="77777777" w:rsidR="004C2BFD" w:rsidRDefault="004C2BFD" w:rsidP="004C2BFD">
      <w:pPr>
        <w:pStyle w:val="ListParagraph"/>
      </w:pPr>
    </w:p>
    <w:p w14:paraId="2CC8ABF0" w14:textId="77777777" w:rsidR="004C2BFD" w:rsidRDefault="004C2BFD" w:rsidP="004C2BFD">
      <w:pPr>
        <w:pStyle w:val="ListParagraph"/>
        <w:numPr>
          <w:ilvl w:val="0"/>
          <w:numId w:val="47"/>
        </w:numPr>
      </w:pPr>
      <w:r w:rsidRPr="004C2BFD">
        <w:rPr>
          <w:b/>
          <w:bCs/>
        </w:rPr>
        <w:t>WELCOME</w:t>
      </w:r>
      <w:r w:rsidRPr="004C2BFD">
        <w:t xml:space="preserve"> the Joint Statement of the 11th ADMM-Plus, which reaffirms the commitment of the ADMM-Plus to further enhancing capabilities through exploring potential cooperation to address the challenges of climate change in an effective and coordinated manner; </w:t>
      </w:r>
    </w:p>
    <w:p w14:paraId="2978D61A" w14:textId="77777777" w:rsidR="004C2BFD" w:rsidRDefault="004C2BFD" w:rsidP="004C2BFD">
      <w:pPr>
        <w:pStyle w:val="ListParagraph"/>
      </w:pPr>
    </w:p>
    <w:p w14:paraId="21CC6D21" w14:textId="524499AF" w:rsidR="004C2BFD" w:rsidRDefault="004C2BFD" w:rsidP="004C2BFD">
      <w:pPr>
        <w:pStyle w:val="ListParagraph"/>
        <w:numPr>
          <w:ilvl w:val="0"/>
          <w:numId w:val="47"/>
        </w:numPr>
      </w:pPr>
      <w:r w:rsidRPr="004C2BFD">
        <w:rPr>
          <w:b/>
          <w:bCs/>
        </w:rPr>
        <w:t>WELCOME</w:t>
      </w:r>
      <w:r w:rsidRPr="004C2BFD">
        <w:t xml:space="preserve"> the adoption of the new Work Plans </w:t>
      </w:r>
      <w:proofErr w:type="gramStart"/>
      <w:r w:rsidRPr="004C2BFD">
        <w:t>of</w:t>
      </w:r>
      <w:proofErr w:type="gramEnd"/>
      <w:r w:rsidRPr="004C2BFD">
        <w:t xml:space="preserve"> ADMM-Plus EWGs for the 2024-2027 cycle and </w:t>
      </w:r>
      <w:r w:rsidRPr="004C2BFD">
        <w:rPr>
          <w:b/>
          <w:bCs/>
        </w:rPr>
        <w:t>LOOK FORWARD</w:t>
      </w:r>
      <w:r w:rsidRPr="004C2BFD">
        <w:t xml:space="preserve"> to their successful implementation; </w:t>
      </w:r>
    </w:p>
    <w:p w14:paraId="3A834FFF" w14:textId="77777777" w:rsidR="004C2BFD" w:rsidRDefault="004C2BFD" w:rsidP="004C2BFD">
      <w:pPr>
        <w:pStyle w:val="ListParagraph"/>
      </w:pPr>
    </w:p>
    <w:p w14:paraId="720514EA" w14:textId="77777777" w:rsidR="004C2BFD" w:rsidRDefault="004C2BFD" w:rsidP="004C2BFD">
      <w:pPr>
        <w:pStyle w:val="ListParagraph"/>
        <w:numPr>
          <w:ilvl w:val="0"/>
          <w:numId w:val="47"/>
        </w:numPr>
      </w:pPr>
      <w:r w:rsidRPr="004C2BFD">
        <w:rPr>
          <w:b/>
          <w:bCs/>
        </w:rPr>
        <w:t>SUPPORT</w:t>
      </w:r>
      <w:r w:rsidRPr="004C2BFD">
        <w:t xml:space="preserve"> the proposed incorporation of the Standard Operating Procedure of the ASEAN Militaries Ready Group on Humanitarian Assistance and Disaster Relief as an annex to Chapter VI of the Standard Operating Procedure for Regional Standby Arrangements and Coordination of Joint Disaster Relief and Emergency Response Operations, in view of enhancing civil-military coordination; </w:t>
      </w:r>
    </w:p>
    <w:p w14:paraId="48004374" w14:textId="77777777" w:rsidR="004C2BFD" w:rsidRDefault="004C2BFD" w:rsidP="004C2BFD">
      <w:pPr>
        <w:pStyle w:val="ListParagraph"/>
      </w:pPr>
    </w:p>
    <w:p w14:paraId="61C0D05A" w14:textId="77777777" w:rsidR="004C2BFD" w:rsidRDefault="004C2BFD" w:rsidP="004C2BFD">
      <w:pPr>
        <w:pStyle w:val="ListParagraph"/>
        <w:numPr>
          <w:ilvl w:val="0"/>
          <w:numId w:val="47"/>
        </w:numPr>
      </w:pPr>
      <w:r w:rsidRPr="004C2BFD">
        <w:rPr>
          <w:b/>
          <w:bCs/>
        </w:rPr>
        <w:t>ENCOURAGE</w:t>
      </w:r>
      <w:r w:rsidRPr="004C2BFD">
        <w:t xml:space="preserve"> the full implementation of the Guidelines for the Implementation of the Observer Status Granted to Timor-Leste in ADMM, ADMM-Plus and Its Related Meetings, in order to assist Timor-Leste in its preparation and processes to achieve full membership in ASEAN after its full and effective fulfilment of all Roadmap criteria; </w:t>
      </w:r>
    </w:p>
    <w:p w14:paraId="3D05E8DC" w14:textId="77777777" w:rsidR="004C2BFD" w:rsidRDefault="004C2BFD" w:rsidP="004C2BFD">
      <w:pPr>
        <w:pStyle w:val="ListParagraph"/>
      </w:pPr>
    </w:p>
    <w:p w14:paraId="452AAEBC" w14:textId="77777777" w:rsidR="004C2BFD" w:rsidRDefault="004C2BFD" w:rsidP="004C2BFD">
      <w:pPr>
        <w:pStyle w:val="ListParagraph"/>
        <w:numPr>
          <w:ilvl w:val="0"/>
          <w:numId w:val="47"/>
        </w:numPr>
      </w:pPr>
      <w:r w:rsidRPr="004C2BFD">
        <w:rPr>
          <w:b/>
          <w:bCs/>
        </w:rPr>
        <w:t>REITERATE</w:t>
      </w:r>
      <w:r w:rsidRPr="004C2BFD">
        <w:t xml:space="preserve"> the importance of multilateralism and regionalism within the framework of the ADMM and ADMM-Plus in reaffirming ASEAN unity and resilience in addressing common challenges, in order to maintain peace and security of the region and beyond; </w:t>
      </w:r>
    </w:p>
    <w:p w14:paraId="117E4A27" w14:textId="77777777" w:rsidR="004C2BFD" w:rsidRDefault="004C2BFD" w:rsidP="004C2BFD">
      <w:pPr>
        <w:pStyle w:val="ListParagraph"/>
      </w:pPr>
    </w:p>
    <w:p w14:paraId="490B7EB0" w14:textId="77777777" w:rsidR="004C2BFD" w:rsidRDefault="004C2BFD" w:rsidP="004C2BFD">
      <w:pPr>
        <w:pStyle w:val="ListParagraph"/>
        <w:numPr>
          <w:ilvl w:val="0"/>
          <w:numId w:val="47"/>
        </w:numPr>
      </w:pPr>
      <w:r w:rsidRPr="004C2BFD">
        <w:rPr>
          <w:b/>
          <w:bCs/>
        </w:rPr>
        <w:t>EXPRESS</w:t>
      </w:r>
      <w:r w:rsidRPr="004C2BFD">
        <w:t xml:space="preserve"> the highest appreciation to the Republic of Indonesia for its Chairmanship of ASEAN in 2023 and to the Lao People’s Democratic Republic for the current ASEAN Chairmanship in 2024; </w:t>
      </w:r>
    </w:p>
    <w:p w14:paraId="5907F97B" w14:textId="77777777" w:rsidR="004C2BFD" w:rsidRDefault="004C2BFD" w:rsidP="004C2BFD">
      <w:pPr>
        <w:pStyle w:val="ListParagraph"/>
      </w:pPr>
    </w:p>
    <w:p w14:paraId="69E56F87" w14:textId="7333A5A7" w:rsidR="004C2BFD" w:rsidRDefault="004C2BFD" w:rsidP="004C2BFD">
      <w:pPr>
        <w:pStyle w:val="ListParagraph"/>
        <w:numPr>
          <w:ilvl w:val="0"/>
          <w:numId w:val="47"/>
        </w:numPr>
      </w:pPr>
      <w:r w:rsidRPr="004C2BFD">
        <w:rPr>
          <w:b/>
          <w:bCs/>
        </w:rPr>
        <w:t>WELCOME</w:t>
      </w:r>
      <w:r w:rsidRPr="004C2BFD">
        <w:t xml:space="preserve"> Malaysia as the next ASEAN Chair and its hosting of the 19th ADMM and the </w:t>
      </w:r>
      <w:r>
        <w:br/>
      </w:r>
      <w:r w:rsidRPr="004C2BFD">
        <w:t>12th ADMM-Plus in 2025;</w:t>
      </w:r>
    </w:p>
    <w:p w14:paraId="1F4C7177" w14:textId="5A72B868" w:rsidR="004C2BFD" w:rsidRDefault="004C2BFD" w:rsidP="004C2BFD">
      <w:r w:rsidRPr="004C2BFD">
        <w:rPr>
          <w:b/>
          <w:bCs/>
        </w:rPr>
        <w:t>DONE</w:t>
      </w:r>
      <w:r w:rsidRPr="004C2BFD">
        <w:t xml:space="preserve"> on this Twentieth Day of November in the Year Two Thousand and </w:t>
      </w:r>
      <w:proofErr w:type="gramStart"/>
      <w:r w:rsidRPr="004C2BFD">
        <w:t>Twenty Four</w:t>
      </w:r>
      <w:proofErr w:type="gramEnd"/>
      <w:r w:rsidRPr="004C2BFD">
        <w:t>, in a single original copy in the English language.</w:t>
      </w:r>
    </w:p>
    <w:sectPr w:rsidR="004C2BFD" w:rsidSect="00F61B4F">
      <w:headerReference w:type="default" r:id="rId8"/>
      <w:footerReference w:type="default" r:id="rId9"/>
      <w:footerReference w:type="first" r:id="rId10"/>
      <w:footnotePr>
        <w:numRestart w:val="eachPage"/>
      </w:footnotePr>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BE624" w14:textId="77777777" w:rsidR="00FF4A10" w:rsidRDefault="00FF4A10" w:rsidP="00F61B4F">
      <w:pPr>
        <w:spacing w:before="0" w:after="0" w:line="240" w:lineRule="auto"/>
      </w:pPr>
      <w:r>
        <w:separator/>
      </w:r>
    </w:p>
  </w:endnote>
  <w:endnote w:type="continuationSeparator" w:id="0">
    <w:p w14:paraId="41C6482A" w14:textId="77777777" w:rsidR="00FF4A10" w:rsidRDefault="00FF4A10" w:rsidP="00F61B4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D9736" w14:textId="77777777" w:rsidR="00B532E2" w:rsidRDefault="00B532E2" w:rsidP="00F61B4F">
    <w:pPr>
      <w:pStyle w:val="Footer"/>
      <w:tabs>
        <w:tab w:val="clear" w:pos="9360"/>
        <w:tab w:val="right" w:pos="8931"/>
      </w:tabs>
      <w:jc w:val="right"/>
    </w:pPr>
  </w:p>
  <w:p w14:paraId="2CCECC02" w14:textId="77777777"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r>
    <w:r w:rsidRPr="004943C3">
      <w:rPr>
        <w:rFonts w:cs="Arial"/>
        <w:color w:val="7F7F7F"/>
        <w:sz w:val="16"/>
        <w:szCs w:val="16"/>
      </w:rPr>
      <w:t xml:space="preserve">     Page </w:t>
    </w:r>
    <w:r w:rsidRPr="004943C3">
      <w:rPr>
        <w:rFonts w:cs="Arial"/>
        <w:color w:val="7F7F7F"/>
        <w:sz w:val="16"/>
        <w:szCs w:val="16"/>
      </w:rPr>
      <w:fldChar w:fldCharType="begin"/>
    </w:r>
    <w:r w:rsidRPr="004943C3">
      <w:rPr>
        <w:rFonts w:cs="Arial"/>
        <w:color w:val="7F7F7F"/>
        <w:sz w:val="16"/>
        <w:szCs w:val="16"/>
      </w:rPr>
      <w:instrText xml:space="preserve"> PAGE </w:instrText>
    </w:r>
    <w:r w:rsidRPr="004943C3">
      <w:rPr>
        <w:rFonts w:cs="Arial"/>
        <w:color w:val="7F7F7F"/>
        <w:sz w:val="16"/>
        <w:szCs w:val="16"/>
      </w:rPr>
      <w:fldChar w:fldCharType="separate"/>
    </w:r>
    <w:r w:rsidR="00DF288A">
      <w:rPr>
        <w:rFonts w:cs="Arial"/>
        <w:noProof/>
        <w:color w:val="7F7F7F"/>
        <w:sz w:val="16"/>
        <w:szCs w:val="16"/>
      </w:rPr>
      <w:t>2</w:t>
    </w:r>
    <w:r w:rsidRPr="004943C3">
      <w:rPr>
        <w:rFonts w:cs="Arial"/>
        <w:color w:val="7F7F7F"/>
        <w:sz w:val="16"/>
        <w:szCs w:val="16"/>
      </w:rPr>
      <w:fldChar w:fldCharType="end"/>
    </w:r>
    <w:r w:rsidRPr="004943C3">
      <w:rPr>
        <w:rFonts w:cs="Arial"/>
        <w:color w:val="7F7F7F"/>
        <w:sz w:val="16"/>
        <w:szCs w:val="16"/>
      </w:rPr>
      <w:t xml:space="preserve"> of </w:t>
    </w:r>
    <w:r w:rsidRPr="004943C3">
      <w:rPr>
        <w:rFonts w:cs="Arial"/>
        <w:color w:val="7F7F7F"/>
        <w:sz w:val="16"/>
        <w:szCs w:val="16"/>
      </w:rPr>
      <w:fldChar w:fldCharType="begin"/>
    </w:r>
    <w:r w:rsidRPr="004943C3">
      <w:rPr>
        <w:rFonts w:cs="Arial"/>
        <w:color w:val="7F7F7F"/>
        <w:sz w:val="16"/>
        <w:szCs w:val="16"/>
      </w:rPr>
      <w:instrText xml:space="preserve"> NUMPAGES  </w:instrText>
    </w:r>
    <w:r w:rsidRPr="004943C3">
      <w:rPr>
        <w:rFonts w:cs="Arial"/>
        <w:color w:val="7F7F7F"/>
        <w:sz w:val="16"/>
        <w:szCs w:val="16"/>
      </w:rPr>
      <w:fldChar w:fldCharType="separate"/>
    </w:r>
    <w:r w:rsidR="00DF288A">
      <w:rPr>
        <w:rFonts w:cs="Arial"/>
        <w:noProof/>
        <w:color w:val="7F7F7F"/>
        <w:sz w:val="16"/>
        <w:szCs w:val="16"/>
      </w:rPr>
      <w:t>2</w:t>
    </w:r>
    <w:r w:rsidRPr="004943C3">
      <w:rPr>
        <w:rFonts w:cs="Arial"/>
        <w:color w:val="7F7F7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74128" w14:textId="77777777" w:rsidR="00B532E2" w:rsidRDefault="00B532E2" w:rsidP="00F61B4F">
    <w:pPr>
      <w:pStyle w:val="Footer"/>
      <w:tabs>
        <w:tab w:val="clear" w:pos="9360"/>
        <w:tab w:val="right" w:pos="8931"/>
      </w:tabs>
      <w:jc w:val="right"/>
    </w:pPr>
  </w:p>
  <w:p w14:paraId="311B57A0" w14:textId="77777777"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01CBE" w14:textId="77777777" w:rsidR="00FF4A10" w:rsidRDefault="00FF4A10" w:rsidP="00F61B4F">
      <w:pPr>
        <w:spacing w:before="0" w:after="0" w:line="240" w:lineRule="auto"/>
      </w:pPr>
      <w:r>
        <w:separator/>
      </w:r>
    </w:p>
  </w:footnote>
  <w:footnote w:type="continuationSeparator" w:id="0">
    <w:p w14:paraId="1ACA8C76" w14:textId="77777777" w:rsidR="00FF4A10" w:rsidRDefault="00FF4A10" w:rsidP="00F61B4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86F80" w14:textId="2047CAE1" w:rsidR="00B532E2" w:rsidRPr="00CD6026" w:rsidRDefault="004736F7" w:rsidP="004736F7">
    <w:pPr>
      <w:pStyle w:val="Header"/>
      <w:pBdr>
        <w:bottom w:val="single" w:sz="4" w:space="1" w:color="auto"/>
      </w:pBdr>
      <w:rPr>
        <w:rFonts w:cs="Arial"/>
        <w:caps/>
        <w:color w:val="808080"/>
        <w:sz w:val="16"/>
        <w:szCs w:val="16"/>
      </w:rPr>
    </w:pPr>
    <w:r w:rsidRPr="004736F7">
      <w:rPr>
        <w:rFonts w:cs="Arial"/>
        <w:caps/>
        <w:color w:val="808080"/>
        <w:sz w:val="16"/>
        <w:szCs w:val="16"/>
      </w:rPr>
      <w:t xml:space="preserve">2024 VIENTIANE JOINT DECLARATION OF THE </w:t>
    </w:r>
    <w:r>
      <w:rPr>
        <w:rFonts w:cs="Arial"/>
        <w:caps/>
        <w:color w:val="808080"/>
        <w:sz w:val="16"/>
        <w:szCs w:val="16"/>
      </w:rPr>
      <w:t>ADMM</w:t>
    </w:r>
    <w:r w:rsidRPr="004736F7">
      <w:rPr>
        <w:rFonts w:cs="Arial"/>
        <w:caps/>
        <w:color w:val="808080"/>
        <w:sz w:val="16"/>
        <w:szCs w:val="16"/>
      </w:rPr>
      <w:t xml:space="preserve"> ON ASEAN: TOGETHER FOR PEACE, SECURITY AND RESILIENCE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80F85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9EE31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C06D23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A8DBB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E72C5A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40625B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1AB99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5DABAA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C6865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372919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FC1AC4"/>
    <w:multiLevelType w:val="hybridMultilevel"/>
    <w:tmpl w:val="EC32C5A8"/>
    <w:lvl w:ilvl="0" w:tplc="FDF6905C">
      <w:start w:val="1"/>
      <w:numFmt w:val="decimal"/>
      <w:lvlText w:val="%1."/>
      <w:lvlJc w:val="left"/>
      <w:pPr>
        <w:ind w:left="360" w:hanging="360"/>
      </w:pPr>
      <w:rPr>
        <w:rFonts w:hint="default"/>
      </w:rPr>
    </w:lvl>
    <w:lvl w:ilvl="1" w:tplc="499EA6BC">
      <w:start w:val="1"/>
      <w:numFmt w:val="lowerLetter"/>
      <w:lvlText w:val="(%2)"/>
      <w:lvlJc w:val="left"/>
      <w:pPr>
        <w:ind w:left="1080" w:hanging="360"/>
      </w:pPr>
      <w:rPr>
        <w:rFonts w:hint="default"/>
      </w:r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1" w15:restartNumberingAfterBreak="0">
    <w:nsid w:val="05DC76C6"/>
    <w:multiLevelType w:val="hybridMultilevel"/>
    <w:tmpl w:val="9FC4A27E"/>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08EE4225"/>
    <w:multiLevelType w:val="hybridMultilevel"/>
    <w:tmpl w:val="F9246832"/>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3" w15:restartNumberingAfterBreak="0">
    <w:nsid w:val="0E243C20"/>
    <w:multiLevelType w:val="hybridMultilevel"/>
    <w:tmpl w:val="3C32C9D0"/>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0FB5458C"/>
    <w:multiLevelType w:val="hybridMultilevel"/>
    <w:tmpl w:val="F3A83D0E"/>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5" w15:restartNumberingAfterBreak="0">
    <w:nsid w:val="12532795"/>
    <w:multiLevelType w:val="hybridMultilevel"/>
    <w:tmpl w:val="601A2758"/>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12A91E2D"/>
    <w:multiLevelType w:val="hybridMultilevel"/>
    <w:tmpl w:val="C0F86234"/>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15:restartNumberingAfterBreak="0">
    <w:nsid w:val="229262F5"/>
    <w:multiLevelType w:val="hybridMultilevel"/>
    <w:tmpl w:val="01C2B86C"/>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8" w15:restartNumberingAfterBreak="0">
    <w:nsid w:val="22F6782F"/>
    <w:multiLevelType w:val="hybridMultilevel"/>
    <w:tmpl w:val="46EAF1A4"/>
    <w:lvl w:ilvl="0" w:tplc="77A6A444">
      <w:start w:val="9"/>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9" w15:restartNumberingAfterBreak="0">
    <w:nsid w:val="23D26744"/>
    <w:multiLevelType w:val="hybridMultilevel"/>
    <w:tmpl w:val="3EE66112"/>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0" w15:restartNumberingAfterBreak="0">
    <w:nsid w:val="24AE5A1A"/>
    <w:multiLevelType w:val="hybridMultilevel"/>
    <w:tmpl w:val="E1307696"/>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24DD623F"/>
    <w:multiLevelType w:val="hybridMultilevel"/>
    <w:tmpl w:val="D6F0326C"/>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2" w15:restartNumberingAfterBreak="0">
    <w:nsid w:val="29F56604"/>
    <w:multiLevelType w:val="hybridMultilevel"/>
    <w:tmpl w:val="E06E5662"/>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3" w15:restartNumberingAfterBreak="0">
    <w:nsid w:val="29F84DD1"/>
    <w:multiLevelType w:val="hybridMultilevel"/>
    <w:tmpl w:val="D71CF014"/>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4" w15:restartNumberingAfterBreak="0">
    <w:nsid w:val="31C10633"/>
    <w:multiLevelType w:val="hybridMultilevel"/>
    <w:tmpl w:val="493E2594"/>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5" w15:restartNumberingAfterBreak="0">
    <w:nsid w:val="34D87F45"/>
    <w:multiLevelType w:val="hybridMultilevel"/>
    <w:tmpl w:val="793EDE06"/>
    <w:lvl w:ilvl="0" w:tplc="F9282438">
      <w:start w:val="9"/>
      <w:numFmt w:val="lowerRoman"/>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6" w15:restartNumberingAfterBreak="0">
    <w:nsid w:val="35635A3A"/>
    <w:multiLevelType w:val="hybridMultilevel"/>
    <w:tmpl w:val="73E0F9F0"/>
    <w:lvl w:ilvl="0" w:tplc="FDF6905C">
      <w:start w:val="1"/>
      <w:numFmt w:val="decimal"/>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7" w15:restartNumberingAfterBreak="0">
    <w:nsid w:val="375D309A"/>
    <w:multiLevelType w:val="hybridMultilevel"/>
    <w:tmpl w:val="23D28838"/>
    <w:lvl w:ilvl="0" w:tplc="4809000F">
      <w:start w:val="1"/>
      <w:numFmt w:val="decimal"/>
      <w:lvlText w:val="%1."/>
      <w:lvlJc w:val="left"/>
      <w:pPr>
        <w:ind w:left="720" w:hanging="360"/>
      </w:pPr>
    </w:lvl>
    <w:lvl w:ilvl="1" w:tplc="348C57FA">
      <w:start w:val="1"/>
      <w:numFmt w:val="lowerLetter"/>
      <w:lvlText w:val="(%2)"/>
      <w:lvlJc w:val="left"/>
      <w:pPr>
        <w:ind w:left="1440" w:hanging="360"/>
      </w:pPr>
      <w:rPr>
        <w:rFonts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8" w15:restartNumberingAfterBreak="0">
    <w:nsid w:val="406B03D2"/>
    <w:multiLevelType w:val="hybridMultilevel"/>
    <w:tmpl w:val="F0A8E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275871"/>
    <w:multiLevelType w:val="hybridMultilevel"/>
    <w:tmpl w:val="E728815E"/>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0" w15:restartNumberingAfterBreak="0">
    <w:nsid w:val="470974AE"/>
    <w:multiLevelType w:val="hybridMultilevel"/>
    <w:tmpl w:val="F7AC05F0"/>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1" w15:restartNumberingAfterBreak="0">
    <w:nsid w:val="483C79A6"/>
    <w:multiLevelType w:val="hybridMultilevel"/>
    <w:tmpl w:val="B07E510E"/>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2" w15:restartNumberingAfterBreak="0">
    <w:nsid w:val="4A100807"/>
    <w:multiLevelType w:val="hybridMultilevel"/>
    <w:tmpl w:val="BFFA6F04"/>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3" w15:restartNumberingAfterBreak="0">
    <w:nsid w:val="4A58675B"/>
    <w:multiLevelType w:val="hybridMultilevel"/>
    <w:tmpl w:val="949CB3D2"/>
    <w:lvl w:ilvl="0" w:tplc="1CF436E8">
      <w:start w:val="1"/>
      <w:numFmt w:val="decimal"/>
      <w:lvlText w:val="%1."/>
      <w:lvlJc w:val="left"/>
      <w:pPr>
        <w:ind w:left="360" w:hanging="360"/>
      </w:pPr>
      <w:rPr>
        <w:rFonts w:hint="default"/>
        <w:b w:val="0"/>
        <w:bCs w:val="0"/>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4" w15:restartNumberingAfterBreak="0">
    <w:nsid w:val="4C151307"/>
    <w:multiLevelType w:val="hybridMultilevel"/>
    <w:tmpl w:val="46BAC9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B31E13"/>
    <w:multiLevelType w:val="hybridMultilevel"/>
    <w:tmpl w:val="E126EE88"/>
    <w:lvl w:ilvl="0" w:tplc="1CCAE368">
      <w:start w:val="1"/>
      <w:numFmt w:val="lowerRoman"/>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6" w15:restartNumberingAfterBreak="0">
    <w:nsid w:val="54D53B6C"/>
    <w:multiLevelType w:val="hybridMultilevel"/>
    <w:tmpl w:val="7DE2B328"/>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7" w15:restartNumberingAfterBreak="0">
    <w:nsid w:val="590861AB"/>
    <w:multiLevelType w:val="hybridMultilevel"/>
    <w:tmpl w:val="6C50CADA"/>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8" w15:restartNumberingAfterBreak="0">
    <w:nsid w:val="658D2DA1"/>
    <w:multiLevelType w:val="hybridMultilevel"/>
    <w:tmpl w:val="0DE43770"/>
    <w:lvl w:ilvl="0" w:tplc="7E445B22">
      <w:start w:val="1"/>
      <w:numFmt w:val="decimal"/>
      <w:lvlText w:val="%1."/>
      <w:lvlJc w:val="left"/>
      <w:pPr>
        <w:ind w:left="720" w:hanging="360"/>
      </w:pPr>
      <w:rPr>
        <w:rFonts w:hint="default"/>
      </w:rPr>
    </w:lvl>
    <w:lvl w:ilvl="1" w:tplc="5E2AEE34">
      <w:start w:val="1"/>
      <w:numFmt w:val="lowerLetter"/>
      <w:lvlText w:val="(%2)"/>
      <w:lvlJc w:val="left"/>
      <w:pPr>
        <w:ind w:left="1440" w:hanging="360"/>
      </w:pPr>
      <w:rPr>
        <w:rFonts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9" w15:restartNumberingAfterBreak="0">
    <w:nsid w:val="661167D3"/>
    <w:multiLevelType w:val="hybridMultilevel"/>
    <w:tmpl w:val="383006F4"/>
    <w:lvl w:ilvl="0" w:tplc="D78A6E3E">
      <w:start w:val="4"/>
      <w:numFmt w:val="decimal"/>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0" w15:restartNumberingAfterBreak="0">
    <w:nsid w:val="6E8F2DB5"/>
    <w:multiLevelType w:val="hybridMultilevel"/>
    <w:tmpl w:val="51BE3DD4"/>
    <w:lvl w:ilvl="0" w:tplc="FDF6905C">
      <w:start w:val="1"/>
      <w:numFmt w:val="decimal"/>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1" w15:restartNumberingAfterBreak="0">
    <w:nsid w:val="6F322FDF"/>
    <w:multiLevelType w:val="hybridMultilevel"/>
    <w:tmpl w:val="5AEA14E6"/>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42" w15:restartNumberingAfterBreak="0">
    <w:nsid w:val="712F75E6"/>
    <w:multiLevelType w:val="hybridMultilevel"/>
    <w:tmpl w:val="79507CB8"/>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3" w15:restartNumberingAfterBreak="0">
    <w:nsid w:val="733A3AC8"/>
    <w:multiLevelType w:val="hybridMultilevel"/>
    <w:tmpl w:val="262EFC1C"/>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44" w15:restartNumberingAfterBreak="0">
    <w:nsid w:val="7A6A02D2"/>
    <w:multiLevelType w:val="hybridMultilevel"/>
    <w:tmpl w:val="AC327BA4"/>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5" w15:restartNumberingAfterBreak="0">
    <w:nsid w:val="7D767405"/>
    <w:multiLevelType w:val="hybridMultilevel"/>
    <w:tmpl w:val="581A4E6E"/>
    <w:lvl w:ilvl="0" w:tplc="1CCAE368">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6" w15:restartNumberingAfterBreak="0">
    <w:nsid w:val="7EF66ACA"/>
    <w:multiLevelType w:val="hybridMultilevel"/>
    <w:tmpl w:val="3C32C9D0"/>
    <w:lvl w:ilvl="0" w:tplc="4809000F">
      <w:start w:val="1"/>
      <w:numFmt w:val="decimal"/>
      <w:lvlText w:val="%1."/>
      <w:lvlJc w:val="left"/>
      <w:pPr>
        <w:ind w:left="360" w:hanging="360"/>
      </w:pPr>
      <w:rPr>
        <w:rFonts w:hint="default"/>
      </w:rPr>
    </w:lvl>
    <w:lvl w:ilvl="1" w:tplc="E24E4848">
      <w:start w:val="1"/>
      <w:numFmt w:val="lowerLetter"/>
      <w:lvlText w:val="(%2)"/>
      <w:lvlJc w:val="left"/>
      <w:pPr>
        <w:ind w:left="1080" w:hanging="360"/>
      </w:pPr>
      <w:rPr>
        <w:rFonts w:hint="default"/>
      </w:r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num w:numId="1" w16cid:durableId="566575316">
    <w:abstractNumId w:val="34"/>
  </w:num>
  <w:num w:numId="2" w16cid:durableId="360320398">
    <w:abstractNumId w:val="28"/>
  </w:num>
  <w:num w:numId="3" w16cid:durableId="1365135478">
    <w:abstractNumId w:val="9"/>
  </w:num>
  <w:num w:numId="4" w16cid:durableId="422728191">
    <w:abstractNumId w:val="7"/>
  </w:num>
  <w:num w:numId="5" w16cid:durableId="1791898566">
    <w:abstractNumId w:val="6"/>
  </w:num>
  <w:num w:numId="6" w16cid:durableId="575356698">
    <w:abstractNumId w:val="5"/>
  </w:num>
  <w:num w:numId="7" w16cid:durableId="1771004132">
    <w:abstractNumId w:val="4"/>
  </w:num>
  <w:num w:numId="8" w16cid:durableId="2024550645">
    <w:abstractNumId w:val="8"/>
  </w:num>
  <w:num w:numId="9" w16cid:durableId="1253127530">
    <w:abstractNumId w:val="3"/>
  </w:num>
  <w:num w:numId="10" w16cid:durableId="343827254">
    <w:abstractNumId w:val="2"/>
  </w:num>
  <w:num w:numId="11" w16cid:durableId="538207194">
    <w:abstractNumId w:val="1"/>
  </w:num>
  <w:num w:numId="12" w16cid:durableId="951783813">
    <w:abstractNumId w:val="0"/>
  </w:num>
  <w:num w:numId="13" w16cid:durableId="2091926687">
    <w:abstractNumId w:val="33"/>
  </w:num>
  <w:num w:numId="14" w16cid:durableId="2065837183">
    <w:abstractNumId w:val="30"/>
  </w:num>
  <w:num w:numId="15" w16cid:durableId="901906865">
    <w:abstractNumId w:val="38"/>
  </w:num>
  <w:num w:numId="16" w16cid:durableId="1901162854">
    <w:abstractNumId w:val="27"/>
  </w:num>
  <w:num w:numId="17" w16cid:durableId="177275221">
    <w:abstractNumId w:val="18"/>
  </w:num>
  <w:num w:numId="18" w16cid:durableId="2103141056">
    <w:abstractNumId w:val="25"/>
  </w:num>
  <w:num w:numId="19" w16cid:durableId="1766614688">
    <w:abstractNumId w:val="35"/>
  </w:num>
  <w:num w:numId="20" w16cid:durableId="1064328334">
    <w:abstractNumId w:val="45"/>
  </w:num>
  <w:num w:numId="21" w16cid:durableId="1042828726">
    <w:abstractNumId w:val="10"/>
  </w:num>
  <w:num w:numId="22" w16cid:durableId="370957775">
    <w:abstractNumId w:val="15"/>
  </w:num>
  <w:num w:numId="23" w16cid:durableId="1856576462">
    <w:abstractNumId w:val="29"/>
  </w:num>
  <w:num w:numId="24" w16cid:durableId="1192065467">
    <w:abstractNumId w:val="31"/>
  </w:num>
  <w:num w:numId="25" w16cid:durableId="1266186831">
    <w:abstractNumId w:val="44"/>
  </w:num>
  <w:num w:numId="26" w16cid:durableId="1331179776">
    <w:abstractNumId w:val="46"/>
  </w:num>
  <w:num w:numId="27" w16cid:durableId="1582984948">
    <w:abstractNumId w:val="37"/>
  </w:num>
  <w:num w:numId="28" w16cid:durableId="1589381653">
    <w:abstractNumId w:val="13"/>
  </w:num>
  <w:num w:numId="29" w16cid:durableId="1804225216">
    <w:abstractNumId w:val="39"/>
  </w:num>
  <w:num w:numId="30" w16cid:durableId="263080228">
    <w:abstractNumId w:val="41"/>
  </w:num>
  <w:num w:numId="31" w16cid:durableId="2034334307">
    <w:abstractNumId w:val="42"/>
  </w:num>
  <w:num w:numId="32" w16cid:durableId="704644852">
    <w:abstractNumId w:val="14"/>
  </w:num>
  <w:num w:numId="33" w16cid:durableId="188375773">
    <w:abstractNumId w:val="11"/>
  </w:num>
  <w:num w:numId="34" w16cid:durableId="187526395">
    <w:abstractNumId w:val="24"/>
  </w:num>
  <w:num w:numId="35" w16cid:durableId="659890260">
    <w:abstractNumId w:val="40"/>
  </w:num>
  <w:num w:numId="36" w16cid:durableId="306206857">
    <w:abstractNumId w:val="26"/>
  </w:num>
  <w:num w:numId="37" w16cid:durableId="1984459722">
    <w:abstractNumId w:val="32"/>
  </w:num>
  <w:num w:numId="38" w16cid:durableId="563872855">
    <w:abstractNumId w:val="22"/>
  </w:num>
  <w:num w:numId="39" w16cid:durableId="1267619952">
    <w:abstractNumId w:val="12"/>
  </w:num>
  <w:num w:numId="40" w16cid:durableId="1699811055">
    <w:abstractNumId w:val="19"/>
  </w:num>
  <w:num w:numId="41" w16cid:durableId="262225542">
    <w:abstractNumId w:val="23"/>
  </w:num>
  <w:num w:numId="42" w16cid:durableId="1151946267">
    <w:abstractNumId w:val="20"/>
  </w:num>
  <w:num w:numId="43" w16cid:durableId="2002613815">
    <w:abstractNumId w:val="21"/>
  </w:num>
  <w:num w:numId="44" w16cid:durableId="1994333412">
    <w:abstractNumId w:val="16"/>
  </w:num>
  <w:num w:numId="45" w16cid:durableId="1922520830">
    <w:abstractNumId w:val="43"/>
  </w:num>
  <w:num w:numId="46" w16cid:durableId="245653431">
    <w:abstractNumId w:val="36"/>
  </w:num>
  <w:num w:numId="47" w16cid:durableId="1753237528">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D2D"/>
    <w:rsid w:val="00000FB0"/>
    <w:rsid w:val="00002446"/>
    <w:rsid w:val="000043E5"/>
    <w:rsid w:val="00011723"/>
    <w:rsid w:val="00013D73"/>
    <w:rsid w:val="000173F4"/>
    <w:rsid w:val="00022AE1"/>
    <w:rsid w:val="00023AFA"/>
    <w:rsid w:val="00025831"/>
    <w:rsid w:val="000260A8"/>
    <w:rsid w:val="000310B2"/>
    <w:rsid w:val="00032218"/>
    <w:rsid w:val="00032623"/>
    <w:rsid w:val="00032C84"/>
    <w:rsid w:val="0003432F"/>
    <w:rsid w:val="00036034"/>
    <w:rsid w:val="00040670"/>
    <w:rsid w:val="00045076"/>
    <w:rsid w:val="00045F9A"/>
    <w:rsid w:val="000460FD"/>
    <w:rsid w:val="00046C7E"/>
    <w:rsid w:val="0005003E"/>
    <w:rsid w:val="00055254"/>
    <w:rsid w:val="00055923"/>
    <w:rsid w:val="00061193"/>
    <w:rsid w:val="00061B8B"/>
    <w:rsid w:val="000627D9"/>
    <w:rsid w:val="00063C84"/>
    <w:rsid w:val="0007234F"/>
    <w:rsid w:val="000768A2"/>
    <w:rsid w:val="000771E0"/>
    <w:rsid w:val="00080879"/>
    <w:rsid w:val="00080FD6"/>
    <w:rsid w:val="00081E70"/>
    <w:rsid w:val="00082260"/>
    <w:rsid w:val="00083FFE"/>
    <w:rsid w:val="000922A6"/>
    <w:rsid w:val="00092F88"/>
    <w:rsid w:val="0009558E"/>
    <w:rsid w:val="00097F77"/>
    <w:rsid w:val="000A329C"/>
    <w:rsid w:val="000B02EF"/>
    <w:rsid w:val="000B197F"/>
    <w:rsid w:val="000B335D"/>
    <w:rsid w:val="000C2967"/>
    <w:rsid w:val="000C2CE8"/>
    <w:rsid w:val="000C49F6"/>
    <w:rsid w:val="000C5A1A"/>
    <w:rsid w:val="000D004B"/>
    <w:rsid w:val="000D31BC"/>
    <w:rsid w:val="000D57EE"/>
    <w:rsid w:val="000D6DF5"/>
    <w:rsid w:val="000D7512"/>
    <w:rsid w:val="000E1719"/>
    <w:rsid w:val="000E1DDB"/>
    <w:rsid w:val="000E2394"/>
    <w:rsid w:val="000E3AD0"/>
    <w:rsid w:val="000F2D66"/>
    <w:rsid w:val="001013AD"/>
    <w:rsid w:val="0010259B"/>
    <w:rsid w:val="00102B66"/>
    <w:rsid w:val="001063A1"/>
    <w:rsid w:val="001077E4"/>
    <w:rsid w:val="00111688"/>
    <w:rsid w:val="0011199A"/>
    <w:rsid w:val="00111A4C"/>
    <w:rsid w:val="0011273D"/>
    <w:rsid w:val="00112A51"/>
    <w:rsid w:val="001142FA"/>
    <w:rsid w:val="001161C0"/>
    <w:rsid w:val="001207E1"/>
    <w:rsid w:val="0012281C"/>
    <w:rsid w:val="00122EC8"/>
    <w:rsid w:val="001246A1"/>
    <w:rsid w:val="001302AA"/>
    <w:rsid w:val="00130E46"/>
    <w:rsid w:val="00131917"/>
    <w:rsid w:val="00133AB9"/>
    <w:rsid w:val="001412A8"/>
    <w:rsid w:val="00143BCA"/>
    <w:rsid w:val="00144EA6"/>
    <w:rsid w:val="001450F7"/>
    <w:rsid w:val="00145215"/>
    <w:rsid w:val="001462AA"/>
    <w:rsid w:val="00153722"/>
    <w:rsid w:val="00155142"/>
    <w:rsid w:val="0015683A"/>
    <w:rsid w:val="001648EA"/>
    <w:rsid w:val="001669E3"/>
    <w:rsid w:val="001728AB"/>
    <w:rsid w:val="00172E71"/>
    <w:rsid w:val="00176298"/>
    <w:rsid w:val="0018065C"/>
    <w:rsid w:val="00183009"/>
    <w:rsid w:val="001837BF"/>
    <w:rsid w:val="00183EC5"/>
    <w:rsid w:val="0018683D"/>
    <w:rsid w:val="00191FB7"/>
    <w:rsid w:val="00194639"/>
    <w:rsid w:val="0019674F"/>
    <w:rsid w:val="001A0777"/>
    <w:rsid w:val="001A31BD"/>
    <w:rsid w:val="001B572F"/>
    <w:rsid w:val="001C50F5"/>
    <w:rsid w:val="001C7B98"/>
    <w:rsid w:val="001D05A4"/>
    <w:rsid w:val="001D116B"/>
    <w:rsid w:val="001D2E66"/>
    <w:rsid w:val="001D7F95"/>
    <w:rsid w:val="001E502C"/>
    <w:rsid w:val="001E52A5"/>
    <w:rsid w:val="001F190C"/>
    <w:rsid w:val="001F1AE0"/>
    <w:rsid w:val="001F27F8"/>
    <w:rsid w:val="001F2B50"/>
    <w:rsid w:val="001F3092"/>
    <w:rsid w:val="0020032B"/>
    <w:rsid w:val="00200AA3"/>
    <w:rsid w:val="0020147F"/>
    <w:rsid w:val="00202C8A"/>
    <w:rsid w:val="002226CD"/>
    <w:rsid w:val="002238CF"/>
    <w:rsid w:val="00224582"/>
    <w:rsid w:val="00224E12"/>
    <w:rsid w:val="002251FC"/>
    <w:rsid w:val="00231D12"/>
    <w:rsid w:val="0023391D"/>
    <w:rsid w:val="002423B7"/>
    <w:rsid w:val="00244645"/>
    <w:rsid w:val="00245638"/>
    <w:rsid w:val="0025204F"/>
    <w:rsid w:val="002520E2"/>
    <w:rsid w:val="00256484"/>
    <w:rsid w:val="002566AC"/>
    <w:rsid w:val="00257575"/>
    <w:rsid w:val="00260086"/>
    <w:rsid w:val="00260DE8"/>
    <w:rsid w:val="00262BEE"/>
    <w:rsid w:val="002653B1"/>
    <w:rsid w:val="00274C7A"/>
    <w:rsid w:val="002750EF"/>
    <w:rsid w:val="00275D0D"/>
    <w:rsid w:val="00284792"/>
    <w:rsid w:val="002927F7"/>
    <w:rsid w:val="00294CBA"/>
    <w:rsid w:val="002952DD"/>
    <w:rsid w:val="00297B32"/>
    <w:rsid w:val="002A2874"/>
    <w:rsid w:val="002A32A5"/>
    <w:rsid w:val="002A4172"/>
    <w:rsid w:val="002B2294"/>
    <w:rsid w:val="002B31DE"/>
    <w:rsid w:val="002B473E"/>
    <w:rsid w:val="002B4BD1"/>
    <w:rsid w:val="002B5E84"/>
    <w:rsid w:val="002B7265"/>
    <w:rsid w:val="002C506E"/>
    <w:rsid w:val="002C5925"/>
    <w:rsid w:val="002C67E0"/>
    <w:rsid w:val="002D3A06"/>
    <w:rsid w:val="002E0A92"/>
    <w:rsid w:val="002E34CB"/>
    <w:rsid w:val="002E6283"/>
    <w:rsid w:val="002F1577"/>
    <w:rsid w:val="002F274F"/>
    <w:rsid w:val="002F7DA0"/>
    <w:rsid w:val="0030037C"/>
    <w:rsid w:val="00303079"/>
    <w:rsid w:val="003035FA"/>
    <w:rsid w:val="003071F6"/>
    <w:rsid w:val="00311F81"/>
    <w:rsid w:val="00311F88"/>
    <w:rsid w:val="00312FB5"/>
    <w:rsid w:val="003150B5"/>
    <w:rsid w:val="00315409"/>
    <w:rsid w:val="00321387"/>
    <w:rsid w:val="0032159B"/>
    <w:rsid w:val="00321890"/>
    <w:rsid w:val="00325A2D"/>
    <w:rsid w:val="00326D39"/>
    <w:rsid w:val="003316EF"/>
    <w:rsid w:val="0033544F"/>
    <w:rsid w:val="00336CA3"/>
    <w:rsid w:val="003374CC"/>
    <w:rsid w:val="00340339"/>
    <w:rsid w:val="0034084B"/>
    <w:rsid w:val="00343E97"/>
    <w:rsid w:val="003463F9"/>
    <w:rsid w:val="00347172"/>
    <w:rsid w:val="00351FC7"/>
    <w:rsid w:val="00355356"/>
    <w:rsid w:val="003557B3"/>
    <w:rsid w:val="00361211"/>
    <w:rsid w:val="00363CA6"/>
    <w:rsid w:val="00363E88"/>
    <w:rsid w:val="0036654E"/>
    <w:rsid w:val="003762D5"/>
    <w:rsid w:val="00382037"/>
    <w:rsid w:val="00384CCD"/>
    <w:rsid w:val="00386AC0"/>
    <w:rsid w:val="003870B6"/>
    <w:rsid w:val="0039419F"/>
    <w:rsid w:val="003A2096"/>
    <w:rsid w:val="003A2B2D"/>
    <w:rsid w:val="003A2E2D"/>
    <w:rsid w:val="003A36C1"/>
    <w:rsid w:val="003A4607"/>
    <w:rsid w:val="003A46AB"/>
    <w:rsid w:val="003A6709"/>
    <w:rsid w:val="003B1B3D"/>
    <w:rsid w:val="003B5567"/>
    <w:rsid w:val="003C3ABB"/>
    <w:rsid w:val="003C4214"/>
    <w:rsid w:val="003C47FA"/>
    <w:rsid w:val="003C48C1"/>
    <w:rsid w:val="003C696E"/>
    <w:rsid w:val="003C70F3"/>
    <w:rsid w:val="003D49AB"/>
    <w:rsid w:val="003D66C8"/>
    <w:rsid w:val="003D682E"/>
    <w:rsid w:val="003D6E5B"/>
    <w:rsid w:val="003E0C85"/>
    <w:rsid w:val="003E69D4"/>
    <w:rsid w:val="003F148C"/>
    <w:rsid w:val="003F1817"/>
    <w:rsid w:val="0040043F"/>
    <w:rsid w:val="00401F7F"/>
    <w:rsid w:val="00405210"/>
    <w:rsid w:val="00415F9F"/>
    <w:rsid w:val="0042164B"/>
    <w:rsid w:val="0042562D"/>
    <w:rsid w:val="00430AD3"/>
    <w:rsid w:val="00432B9B"/>
    <w:rsid w:val="004410EB"/>
    <w:rsid w:val="0044415C"/>
    <w:rsid w:val="00447592"/>
    <w:rsid w:val="00452091"/>
    <w:rsid w:val="0045262E"/>
    <w:rsid w:val="00453E7C"/>
    <w:rsid w:val="004540DD"/>
    <w:rsid w:val="00454C15"/>
    <w:rsid w:val="00457A36"/>
    <w:rsid w:val="00460285"/>
    <w:rsid w:val="00461169"/>
    <w:rsid w:val="0046281B"/>
    <w:rsid w:val="0046332F"/>
    <w:rsid w:val="00464378"/>
    <w:rsid w:val="00464582"/>
    <w:rsid w:val="004715DF"/>
    <w:rsid w:val="00471C42"/>
    <w:rsid w:val="004736F7"/>
    <w:rsid w:val="0049074B"/>
    <w:rsid w:val="00495B5C"/>
    <w:rsid w:val="00496452"/>
    <w:rsid w:val="00497AE1"/>
    <w:rsid w:val="004A0B2F"/>
    <w:rsid w:val="004A0D08"/>
    <w:rsid w:val="004A1834"/>
    <w:rsid w:val="004A31A0"/>
    <w:rsid w:val="004A5865"/>
    <w:rsid w:val="004A58EA"/>
    <w:rsid w:val="004B263A"/>
    <w:rsid w:val="004B3D8B"/>
    <w:rsid w:val="004B5A7D"/>
    <w:rsid w:val="004B6693"/>
    <w:rsid w:val="004B7073"/>
    <w:rsid w:val="004B71DD"/>
    <w:rsid w:val="004C2B2B"/>
    <w:rsid w:val="004C2BFD"/>
    <w:rsid w:val="004C33C2"/>
    <w:rsid w:val="004C5E25"/>
    <w:rsid w:val="004D650A"/>
    <w:rsid w:val="004D6797"/>
    <w:rsid w:val="004E0ED9"/>
    <w:rsid w:val="004E1378"/>
    <w:rsid w:val="004E1B8D"/>
    <w:rsid w:val="004E2177"/>
    <w:rsid w:val="004F1000"/>
    <w:rsid w:val="004F129B"/>
    <w:rsid w:val="004F21D5"/>
    <w:rsid w:val="00504C42"/>
    <w:rsid w:val="00507CA6"/>
    <w:rsid w:val="0051026B"/>
    <w:rsid w:val="00510555"/>
    <w:rsid w:val="0051224B"/>
    <w:rsid w:val="005146E7"/>
    <w:rsid w:val="00516331"/>
    <w:rsid w:val="005177D3"/>
    <w:rsid w:val="00521BD6"/>
    <w:rsid w:val="00522388"/>
    <w:rsid w:val="00525B71"/>
    <w:rsid w:val="00527B1B"/>
    <w:rsid w:val="0053028E"/>
    <w:rsid w:val="005325F9"/>
    <w:rsid w:val="00534217"/>
    <w:rsid w:val="00535BF3"/>
    <w:rsid w:val="00537A67"/>
    <w:rsid w:val="00537D81"/>
    <w:rsid w:val="00541125"/>
    <w:rsid w:val="00545288"/>
    <w:rsid w:val="005627AF"/>
    <w:rsid w:val="00564EBA"/>
    <w:rsid w:val="00565B5D"/>
    <w:rsid w:val="00567DE5"/>
    <w:rsid w:val="005701D2"/>
    <w:rsid w:val="005706A6"/>
    <w:rsid w:val="0057613A"/>
    <w:rsid w:val="005768A3"/>
    <w:rsid w:val="00581E07"/>
    <w:rsid w:val="005827A5"/>
    <w:rsid w:val="00584C90"/>
    <w:rsid w:val="005865AA"/>
    <w:rsid w:val="0058716E"/>
    <w:rsid w:val="00590C4E"/>
    <w:rsid w:val="0059630D"/>
    <w:rsid w:val="00597551"/>
    <w:rsid w:val="005A0C6D"/>
    <w:rsid w:val="005A384B"/>
    <w:rsid w:val="005A418E"/>
    <w:rsid w:val="005A67CE"/>
    <w:rsid w:val="005A6C1B"/>
    <w:rsid w:val="005B2D91"/>
    <w:rsid w:val="005C087C"/>
    <w:rsid w:val="005C18C4"/>
    <w:rsid w:val="005C46EA"/>
    <w:rsid w:val="005C6ADE"/>
    <w:rsid w:val="005D3068"/>
    <w:rsid w:val="005D56A5"/>
    <w:rsid w:val="005D5714"/>
    <w:rsid w:val="005D59E8"/>
    <w:rsid w:val="005E0D13"/>
    <w:rsid w:val="005E264A"/>
    <w:rsid w:val="005E2E8D"/>
    <w:rsid w:val="005E59E3"/>
    <w:rsid w:val="005E6807"/>
    <w:rsid w:val="005F25E1"/>
    <w:rsid w:val="005F5FD1"/>
    <w:rsid w:val="005F6D34"/>
    <w:rsid w:val="00604FC9"/>
    <w:rsid w:val="006056CA"/>
    <w:rsid w:val="006077DA"/>
    <w:rsid w:val="00615E91"/>
    <w:rsid w:val="00617785"/>
    <w:rsid w:val="00620043"/>
    <w:rsid w:val="00624B74"/>
    <w:rsid w:val="0062758C"/>
    <w:rsid w:val="00627B91"/>
    <w:rsid w:val="0064082A"/>
    <w:rsid w:val="00642035"/>
    <w:rsid w:val="0064206B"/>
    <w:rsid w:val="00644D5D"/>
    <w:rsid w:val="00646905"/>
    <w:rsid w:val="006477C3"/>
    <w:rsid w:val="006633EA"/>
    <w:rsid w:val="00666445"/>
    <w:rsid w:val="006770E5"/>
    <w:rsid w:val="006819D0"/>
    <w:rsid w:val="006829B2"/>
    <w:rsid w:val="00686294"/>
    <w:rsid w:val="006878B4"/>
    <w:rsid w:val="00695153"/>
    <w:rsid w:val="006953EA"/>
    <w:rsid w:val="00696A4C"/>
    <w:rsid w:val="006A181F"/>
    <w:rsid w:val="006A368A"/>
    <w:rsid w:val="006A5BC7"/>
    <w:rsid w:val="006B0864"/>
    <w:rsid w:val="006B6335"/>
    <w:rsid w:val="006C2FAC"/>
    <w:rsid w:val="006C6203"/>
    <w:rsid w:val="006C6B56"/>
    <w:rsid w:val="006C6EFB"/>
    <w:rsid w:val="006D1637"/>
    <w:rsid w:val="006D2062"/>
    <w:rsid w:val="006D35BA"/>
    <w:rsid w:val="006D61E5"/>
    <w:rsid w:val="006D6826"/>
    <w:rsid w:val="006D6EAA"/>
    <w:rsid w:val="006D6FA4"/>
    <w:rsid w:val="006E03F3"/>
    <w:rsid w:val="006E4F21"/>
    <w:rsid w:val="006E6DA9"/>
    <w:rsid w:val="006E6F86"/>
    <w:rsid w:val="006F231A"/>
    <w:rsid w:val="006F708E"/>
    <w:rsid w:val="00707B16"/>
    <w:rsid w:val="00711FF8"/>
    <w:rsid w:val="00716770"/>
    <w:rsid w:val="00721C1C"/>
    <w:rsid w:val="007231B2"/>
    <w:rsid w:val="0072576B"/>
    <w:rsid w:val="007320B0"/>
    <w:rsid w:val="0073568E"/>
    <w:rsid w:val="00744927"/>
    <w:rsid w:val="00744A85"/>
    <w:rsid w:val="00751173"/>
    <w:rsid w:val="00751EA6"/>
    <w:rsid w:val="007520B0"/>
    <w:rsid w:val="00755A12"/>
    <w:rsid w:val="0075632F"/>
    <w:rsid w:val="0075795E"/>
    <w:rsid w:val="00760BCF"/>
    <w:rsid w:val="00761521"/>
    <w:rsid w:val="00762A99"/>
    <w:rsid w:val="00776086"/>
    <w:rsid w:val="0077614D"/>
    <w:rsid w:val="00787B08"/>
    <w:rsid w:val="007951DD"/>
    <w:rsid w:val="007A006E"/>
    <w:rsid w:val="007A4FC9"/>
    <w:rsid w:val="007A5CE9"/>
    <w:rsid w:val="007B0CD2"/>
    <w:rsid w:val="007B6E2C"/>
    <w:rsid w:val="007B7706"/>
    <w:rsid w:val="007C0404"/>
    <w:rsid w:val="007C158E"/>
    <w:rsid w:val="007C1E9A"/>
    <w:rsid w:val="007C4A60"/>
    <w:rsid w:val="007C74A6"/>
    <w:rsid w:val="007C7558"/>
    <w:rsid w:val="007D12D8"/>
    <w:rsid w:val="007D197A"/>
    <w:rsid w:val="007D2AC8"/>
    <w:rsid w:val="007D308E"/>
    <w:rsid w:val="007D4CB5"/>
    <w:rsid w:val="007E4920"/>
    <w:rsid w:val="007E7C82"/>
    <w:rsid w:val="007F1538"/>
    <w:rsid w:val="007F2FCB"/>
    <w:rsid w:val="007F5026"/>
    <w:rsid w:val="008016D1"/>
    <w:rsid w:val="00803BE9"/>
    <w:rsid w:val="00812B21"/>
    <w:rsid w:val="00814493"/>
    <w:rsid w:val="008171B7"/>
    <w:rsid w:val="00820B03"/>
    <w:rsid w:val="00821388"/>
    <w:rsid w:val="00822E73"/>
    <w:rsid w:val="008246A8"/>
    <w:rsid w:val="00824DAD"/>
    <w:rsid w:val="00824DEF"/>
    <w:rsid w:val="00825077"/>
    <w:rsid w:val="008262AF"/>
    <w:rsid w:val="00841728"/>
    <w:rsid w:val="008419D9"/>
    <w:rsid w:val="0084289A"/>
    <w:rsid w:val="008463F7"/>
    <w:rsid w:val="00850873"/>
    <w:rsid w:val="0086274F"/>
    <w:rsid w:val="00863AA4"/>
    <w:rsid w:val="00865CCE"/>
    <w:rsid w:val="00871D6D"/>
    <w:rsid w:val="00873A75"/>
    <w:rsid w:val="00875863"/>
    <w:rsid w:val="008761FC"/>
    <w:rsid w:val="008A2C17"/>
    <w:rsid w:val="008A3A39"/>
    <w:rsid w:val="008A5721"/>
    <w:rsid w:val="008B001D"/>
    <w:rsid w:val="008B0875"/>
    <w:rsid w:val="008B1645"/>
    <w:rsid w:val="008C33B3"/>
    <w:rsid w:val="008C3761"/>
    <w:rsid w:val="008C6A9C"/>
    <w:rsid w:val="008D292D"/>
    <w:rsid w:val="008D3F77"/>
    <w:rsid w:val="008D6F47"/>
    <w:rsid w:val="008E41DC"/>
    <w:rsid w:val="008E5D7B"/>
    <w:rsid w:val="008E6E93"/>
    <w:rsid w:val="008E7703"/>
    <w:rsid w:val="008F09A7"/>
    <w:rsid w:val="008F5246"/>
    <w:rsid w:val="008F5F21"/>
    <w:rsid w:val="008F7A5C"/>
    <w:rsid w:val="009052CB"/>
    <w:rsid w:val="009108FC"/>
    <w:rsid w:val="00916941"/>
    <w:rsid w:val="009217B0"/>
    <w:rsid w:val="00921DB5"/>
    <w:rsid w:val="00923519"/>
    <w:rsid w:val="00926EA3"/>
    <w:rsid w:val="009303E7"/>
    <w:rsid w:val="00933064"/>
    <w:rsid w:val="00935B08"/>
    <w:rsid w:val="0095406B"/>
    <w:rsid w:val="00956C40"/>
    <w:rsid w:val="00957449"/>
    <w:rsid w:val="00965ACC"/>
    <w:rsid w:val="00966DC7"/>
    <w:rsid w:val="00974D05"/>
    <w:rsid w:val="0098008C"/>
    <w:rsid w:val="00982034"/>
    <w:rsid w:val="00982B34"/>
    <w:rsid w:val="009842E6"/>
    <w:rsid w:val="00991C17"/>
    <w:rsid w:val="00992233"/>
    <w:rsid w:val="009943AE"/>
    <w:rsid w:val="00996773"/>
    <w:rsid w:val="00996953"/>
    <w:rsid w:val="00997244"/>
    <w:rsid w:val="00997B54"/>
    <w:rsid w:val="009A068F"/>
    <w:rsid w:val="009A0BE7"/>
    <w:rsid w:val="009B12F0"/>
    <w:rsid w:val="009B246D"/>
    <w:rsid w:val="009B2983"/>
    <w:rsid w:val="009B6256"/>
    <w:rsid w:val="009B7700"/>
    <w:rsid w:val="009B7734"/>
    <w:rsid w:val="009C1F90"/>
    <w:rsid w:val="009C3725"/>
    <w:rsid w:val="009C42E9"/>
    <w:rsid w:val="009C4737"/>
    <w:rsid w:val="009C4D4C"/>
    <w:rsid w:val="009C6AFB"/>
    <w:rsid w:val="009C7121"/>
    <w:rsid w:val="009D1B8A"/>
    <w:rsid w:val="009E21A2"/>
    <w:rsid w:val="009E2828"/>
    <w:rsid w:val="009E4818"/>
    <w:rsid w:val="009E6790"/>
    <w:rsid w:val="009E6EB7"/>
    <w:rsid w:val="009E763F"/>
    <w:rsid w:val="00A0085A"/>
    <w:rsid w:val="00A03EE4"/>
    <w:rsid w:val="00A04D76"/>
    <w:rsid w:val="00A05131"/>
    <w:rsid w:val="00A05490"/>
    <w:rsid w:val="00A05E32"/>
    <w:rsid w:val="00A07327"/>
    <w:rsid w:val="00A12E87"/>
    <w:rsid w:val="00A14655"/>
    <w:rsid w:val="00A149F0"/>
    <w:rsid w:val="00A152B4"/>
    <w:rsid w:val="00A1553E"/>
    <w:rsid w:val="00A16CEA"/>
    <w:rsid w:val="00A21ED9"/>
    <w:rsid w:val="00A25755"/>
    <w:rsid w:val="00A25765"/>
    <w:rsid w:val="00A27F6D"/>
    <w:rsid w:val="00A302FE"/>
    <w:rsid w:val="00A32891"/>
    <w:rsid w:val="00A3329A"/>
    <w:rsid w:val="00A359D5"/>
    <w:rsid w:val="00A36EF4"/>
    <w:rsid w:val="00A4466D"/>
    <w:rsid w:val="00A5006A"/>
    <w:rsid w:val="00A53D1F"/>
    <w:rsid w:val="00A551D1"/>
    <w:rsid w:val="00A60DBB"/>
    <w:rsid w:val="00A60F35"/>
    <w:rsid w:val="00A61CFF"/>
    <w:rsid w:val="00A62871"/>
    <w:rsid w:val="00A638C5"/>
    <w:rsid w:val="00A646B8"/>
    <w:rsid w:val="00A7627E"/>
    <w:rsid w:val="00A839BE"/>
    <w:rsid w:val="00A83F8F"/>
    <w:rsid w:val="00A85E8A"/>
    <w:rsid w:val="00A90E8E"/>
    <w:rsid w:val="00A94579"/>
    <w:rsid w:val="00A95818"/>
    <w:rsid w:val="00A9590E"/>
    <w:rsid w:val="00AA6452"/>
    <w:rsid w:val="00AA6802"/>
    <w:rsid w:val="00AB26B5"/>
    <w:rsid w:val="00AB38E2"/>
    <w:rsid w:val="00AB6F60"/>
    <w:rsid w:val="00AB7A69"/>
    <w:rsid w:val="00AC1691"/>
    <w:rsid w:val="00AC1CA8"/>
    <w:rsid w:val="00AC422A"/>
    <w:rsid w:val="00AC4C08"/>
    <w:rsid w:val="00AC7F91"/>
    <w:rsid w:val="00AD7A4B"/>
    <w:rsid w:val="00AE05B5"/>
    <w:rsid w:val="00AE3DEB"/>
    <w:rsid w:val="00AE6181"/>
    <w:rsid w:val="00AE64FF"/>
    <w:rsid w:val="00AF1254"/>
    <w:rsid w:val="00AF5172"/>
    <w:rsid w:val="00AF5D32"/>
    <w:rsid w:val="00B01951"/>
    <w:rsid w:val="00B05254"/>
    <w:rsid w:val="00B05F3A"/>
    <w:rsid w:val="00B0640C"/>
    <w:rsid w:val="00B14396"/>
    <w:rsid w:val="00B173B5"/>
    <w:rsid w:val="00B207F2"/>
    <w:rsid w:val="00B267DC"/>
    <w:rsid w:val="00B308F2"/>
    <w:rsid w:val="00B30DEB"/>
    <w:rsid w:val="00B34B14"/>
    <w:rsid w:val="00B420A0"/>
    <w:rsid w:val="00B456B7"/>
    <w:rsid w:val="00B45912"/>
    <w:rsid w:val="00B51437"/>
    <w:rsid w:val="00B5211D"/>
    <w:rsid w:val="00B52EFE"/>
    <w:rsid w:val="00B532E2"/>
    <w:rsid w:val="00B54E3F"/>
    <w:rsid w:val="00B61944"/>
    <w:rsid w:val="00B62E0A"/>
    <w:rsid w:val="00B6351C"/>
    <w:rsid w:val="00B736A5"/>
    <w:rsid w:val="00B74778"/>
    <w:rsid w:val="00B74FC8"/>
    <w:rsid w:val="00B76163"/>
    <w:rsid w:val="00B8232C"/>
    <w:rsid w:val="00B8350D"/>
    <w:rsid w:val="00B85BB1"/>
    <w:rsid w:val="00B85DB0"/>
    <w:rsid w:val="00B87EA5"/>
    <w:rsid w:val="00B92C1B"/>
    <w:rsid w:val="00B94AC7"/>
    <w:rsid w:val="00B96E99"/>
    <w:rsid w:val="00BA1C72"/>
    <w:rsid w:val="00BA3538"/>
    <w:rsid w:val="00BA4E5E"/>
    <w:rsid w:val="00BA5973"/>
    <w:rsid w:val="00BA600A"/>
    <w:rsid w:val="00BA7E2B"/>
    <w:rsid w:val="00BB09CD"/>
    <w:rsid w:val="00BB2E42"/>
    <w:rsid w:val="00BB5610"/>
    <w:rsid w:val="00BC5DE2"/>
    <w:rsid w:val="00BD1600"/>
    <w:rsid w:val="00BD2E28"/>
    <w:rsid w:val="00BD36A4"/>
    <w:rsid w:val="00BD3EF7"/>
    <w:rsid w:val="00BE0B41"/>
    <w:rsid w:val="00BE0D36"/>
    <w:rsid w:val="00BE21D1"/>
    <w:rsid w:val="00BE47F3"/>
    <w:rsid w:val="00BE4E55"/>
    <w:rsid w:val="00BF3AB0"/>
    <w:rsid w:val="00BF5BA2"/>
    <w:rsid w:val="00BF7BA5"/>
    <w:rsid w:val="00C0692C"/>
    <w:rsid w:val="00C12E92"/>
    <w:rsid w:val="00C1575D"/>
    <w:rsid w:val="00C22B66"/>
    <w:rsid w:val="00C2709D"/>
    <w:rsid w:val="00C27F88"/>
    <w:rsid w:val="00C33322"/>
    <w:rsid w:val="00C3632D"/>
    <w:rsid w:val="00C436C7"/>
    <w:rsid w:val="00C4584B"/>
    <w:rsid w:val="00C479E0"/>
    <w:rsid w:val="00C539B9"/>
    <w:rsid w:val="00C55B05"/>
    <w:rsid w:val="00C55D41"/>
    <w:rsid w:val="00C573FC"/>
    <w:rsid w:val="00C6101A"/>
    <w:rsid w:val="00C61524"/>
    <w:rsid w:val="00C617E1"/>
    <w:rsid w:val="00C666BA"/>
    <w:rsid w:val="00C73155"/>
    <w:rsid w:val="00C747EA"/>
    <w:rsid w:val="00C86BF0"/>
    <w:rsid w:val="00C9065C"/>
    <w:rsid w:val="00C90B5B"/>
    <w:rsid w:val="00C91236"/>
    <w:rsid w:val="00C921EF"/>
    <w:rsid w:val="00C92C9D"/>
    <w:rsid w:val="00CA21A1"/>
    <w:rsid w:val="00CA449F"/>
    <w:rsid w:val="00CA53A7"/>
    <w:rsid w:val="00CA540E"/>
    <w:rsid w:val="00CA5A41"/>
    <w:rsid w:val="00CA626B"/>
    <w:rsid w:val="00CB0C6C"/>
    <w:rsid w:val="00CB2E1A"/>
    <w:rsid w:val="00CB393D"/>
    <w:rsid w:val="00CB485A"/>
    <w:rsid w:val="00CC2470"/>
    <w:rsid w:val="00CC2F8C"/>
    <w:rsid w:val="00CC449C"/>
    <w:rsid w:val="00CC535D"/>
    <w:rsid w:val="00CD2BE4"/>
    <w:rsid w:val="00CD5CC1"/>
    <w:rsid w:val="00CD6026"/>
    <w:rsid w:val="00CD6EC7"/>
    <w:rsid w:val="00CE087B"/>
    <w:rsid w:val="00CE31C8"/>
    <w:rsid w:val="00CE4330"/>
    <w:rsid w:val="00CE567F"/>
    <w:rsid w:val="00CE59E6"/>
    <w:rsid w:val="00CE7679"/>
    <w:rsid w:val="00CF0475"/>
    <w:rsid w:val="00CF277F"/>
    <w:rsid w:val="00CF4CBB"/>
    <w:rsid w:val="00D00ACC"/>
    <w:rsid w:val="00D0625E"/>
    <w:rsid w:val="00D07EE1"/>
    <w:rsid w:val="00D13015"/>
    <w:rsid w:val="00D133A2"/>
    <w:rsid w:val="00D13F5C"/>
    <w:rsid w:val="00D14607"/>
    <w:rsid w:val="00D15AD4"/>
    <w:rsid w:val="00D1649F"/>
    <w:rsid w:val="00D20538"/>
    <w:rsid w:val="00D211DC"/>
    <w:rsid w:val="00D250B0"/>
    <w:rsid w:val="00D368AA"/>
    <w:rsid w:val="00D40C72"/>
    <w:rsid w:val="00D43EA3"/>
    <w:rsid w:val="00D45FAB"/>
    <w:rsid w:val="00D472FE"/>
    <w:rsid w:val="00D51065"/>
    <w:rsid w:val="00D52236"/>
    <w:rsid w:val="00D528FE"/>
    <w:rsid w:val="00D56D91"/>
    <w:rsid w:val="00D67A09"/>
    <w:rsid w:val="00D712DE"/>
    <w:rsid w:val="00D75BF6"/>
    <w:rsid w:val="00D804A1"/>
    <w:rsid w:val="00D82713"/>
    <w:rsid w:val="00D86B2E"/>
    <w:rsid w:val="00D901BD"/>
    <w:rsid w:val="00D91710"/>
    <w:rsid w:val="00D92975"/>
    <w:rsid w:val="00DA4CF4"/>
    <w:rsid w:val="00DB3B2A"/>
    <w:rsid w:val="00DB6E09"/>
    <w:rsid w:val="00DB7B56"/>
    <w:rsid w:val="00DC27F4"/>
    <w:rsid w:val="00DC3275"/>
    <w:rsid w:val="00DC38F6"/>
    <w:rsid w:val="00DC5022"/>
    <w:rsid w:val="00DC5793"/>
    <w:rsid w:val="00DD0696"/>
    <w:rsid w:val="00DD1735"/>
    <w:rsid w:val="00DD1945"/>
    <w:rsid w:val="00DD2204"/>
    <w:rsid w:val="00DD7A7D"/>
    <w:rsid w:val="00DE4868"/>
    <w:rsid w:val="00DE4917"/>
    <w:rsid w:val="00DE57D4"/>
    <w:rsid w:val="00DE62F5"/>
    <w:rsid w:val="00DE7A48"/>
    <w:rsid w:val="00DE7B0F"/>
    <w:rsid w:val="00DF288A"/>
    <w:rsid w:val="00DF3DF6"/>
    <w:rsid w:val="00DF4E11"/>
    <w:rsid w:val="00DF57B8"/>
    <w:rsid w:val="00DF64FF"/>
    <w:rsid w:val="00DF72C5"/>
    <w:rsid w:val="00E005B9"/>
    <w:rsid w:val="00E00DD3"/>
    <w:rsid w:val="00E029E2"/>
    <w:rsid w:val="00E13279"/>
    <w:rsid w:val="00E15214"/>
    <w:rsid w:val="00E22F62"/>
    <w:rsid w:val="00E23211"/>
    <w:rsid w:val="00E23830"/>
    <w:rsid w:val="00E2703D"/>
    <w:rsid w:val="00E36432"/>
    <w:rsid w:val="00E41649"/>
    <w:rsid w:val="00E423E4"/>
    <w:rsid w:val="00E42A9B"/>
    <w:rsid w:val="00E46A83"/>
    <w:rsid w:val="00E47C45"/>
    <w:rsid w:val="00E501FD"/>
    <w:rsid w:val="00E53F2E"/>
    <w:rsid w:val="00E71017"/>
    <w:rsid w:val="00E71A6F"/>
    <w:rsid w:val="00E71AEC"/>
    <w:rsid w:val="00E73E13"/>
    <w:rsid w:val="00E759C9"/>
    <w:rsid w:val="00E80D04"/>
    <w:rsid w:val="00E81D2D"/>
    <w:rsid w:val="00E82ED4"/>
    <w:rsid w:val="00E853A3"/>
    <w:rsid w:val="00E854D8"/>
    <w:rsid w:val="00E87AA3"/>
    <w:rsid w:val="00E925D7"/>
    <w:rsid w:val="00E9353A"/>
    <w:rsid w:val="00E94458"/>
    <w:rsid w:val="00EA1963"/>
    <w:rsid w:val="00EA422B"/>
    <w:rsid w:val="00EA44D0"/>
    <w:rsid w:val="00EA6B9C"/>
    <w:rsid w:val="00EB4089"/>
    <w:rsid w:val="00EB542E"/>
    <w:rsid w:val="00EC2FAE"/>
    <w:rsid w:val="00EC57B1"/>
    <w:rsid w:val="00EC654B"/>
    <w:rsid w:val="00ED01F1"/>
    <w:rsid w:val="00ED15EF"/>
    <w:rsid w:val="00ED1D3B"/>
    <w:rsid w:val="00ED61BD"/>
    <w:rsid w:val="00ED6DF2"/>
    <w:rsid w:val="00ED7A12"/>
    <w:rsid w:val="00EE207B"/>
    <w:rsid w:val="00EE4351"/>
    <w:rsid w:val="00EE5D61"/>
    <w:rsid w:val="00EF63CD"/>
    <w:rsid w:val="00F01D85"/>
    <w:rsid w:val="00F05438"/>
    <w:rsid w:val="00F1258E"/>
    <w:rsid w:val="00F13B8E"/>
    <w:rsid w:val="00F2602E"/>
    <w:rsid w:val="00F30635"/>
    <w:rsid w:val="00F306A7"/>
    <w:rsid w:val="00F30761"/>
    <w:rsid w:val="00F31524"/>
    <w:rsid w:val="00F3240D"/>
    <w:rsid w:val="00F4092C"/>
    <w:rsid w:val="00F41173"/>
    <w:rsid w:val="00F41BB1"/>
    <w:rsid w:val="00F521E0"/>
    <w:rsid w:val="00F53E6A"/>
    <w:rsid w:val="00F57A3C"/>
    <w:rsid w:val="00F61B4F"/>
    <w:rsid w:val="00F63201"/>
    <w:rsid w:val="00F64335"/>
    <w:rsid w:val="00F645C0"/>
    <w:rsid w:val="00F6608A"/>
    <w:rsid w:val="00F701DD"/>
    <w:rsid w:val="00F71AE4"/>
    <w:rsid w:val="00F7753A"/>
    <w:rsid w:val="00F82FDC"/>
    <w:rsid w:val="00F8564E"/>
    <w:rsid w:val="00F86908"/>
    <w:rsid w:val="00F8738F"/>
    <w:rsid w:val="00F87BC0"/>
    <w:rsid w:val="00FA048B"/>
    <w:rsid w:val="00FA08BD"/>
    <w:rsid w:val="00FA0BDA"/>
    <w:rsid w:val="00FA1EB2"/>
    <w:rsid w:val="00FA4AD8"/>
    <w:rsid w:val="00FA4CBA"/>
    <w:rsid w:val="00FA7B32"/>
    <w:rsid w:val="00FB35F7"/>
    <w:rsid w:val="00FB4CD5"/>
    <w:rsid w:val="00FB6164"/>
    <w:rsid w:val="00FB7DF5"/>
    <w:rsid w:val="00FC45CB"/>
    <w:rsid w:val="00FC5496"/>
    <w:rsid w:val="00FC5AAE"/>
    <w:rsid w:val="00FC5F76"/>
    <w:rsid w:val="00FD1758"/>
    <w:rsid w:val="00FD189C"/>
    <w:rsid w:val="00FD29E4"/>
    <w:rsid w:val="00FD56BE"/>
    <w:rsid w:val="00FE423C"/>
    <w:rsid w:val="00FE43CD"/>
    <w:rsid w:val="00FE7BED"/>
    <w:rsid w:val="00FF1A31"/>
    <w:rsid w:val="00FF2F09"/>
    <w:rsid w:val="00FF4A10"/>
    <w:rsid w:val="00FF6E82"/>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5B64B2"/>
  <w15:docId w15:val="{AB9E7BDC-32B9-4363-A374-596A877C4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SG"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A69"/>
    <w:pPr>
      <w:spacing w:before="240" w:after="120" w:line="276" w:lineRule="auto"/>
      <w:jc w:val="both"/>
    </w:pPr>
    <w:rPr>
      <w:rFonts w:ascii="Arial" w:hAnsi="Arial"/>
      <w:lang w:val="en-US" w:eastAsia="en-US"/>
    </w:rPr>
  </w:style>
  <w:style w:type="paragraph" w:styleId="Heading1">
    <w:name w:val="heading 1"/>
    <w:basedOn w:val="Normal"/>
    <w:next w:val="Normal"/>
    <w:link w:val="Heading1Char"/>
    <w:autoRedefine/>
    <w:uiPriority w:val="9"/>
    <w:qFormat/>
    <w:rsid w:val="0040043F"/>
    <w:pPr>
      <w:keepNext/>
      <w:keepLines/>
      <w:spacing w:after="60"/>
      <w:jc w:val="center"/>
      <w:outlineLvl w:val="0"/>
    </w:pPr>
    <w:rPr>
      <w:rFonts w:eastAsia="Times New Roman"/>
      <w:b/>
      <w:bCs/>
      <w:caps/>
      <w:sz w:val="28"/>
      <w:szCs w:val="28"/>
    </w:rPr>
  </w:style>
  <w:style w:type="paragraph" w:styleId="Heading2">
    <w:name w:val="heading 2"/>
    <w:basedOn w:val="Normal"/>
    <w:next w:val="Normal"/>
    <w:link w:val="Heading2Char"/>
    <w:autoRedefine/>
    <w:uiPriority w:val="9"/>
    <w:unhideWhenUsed/>
    <w:qFormat/>
    <w:rsid w:val="00996773"/>
    <w:pPr>
      <w:jc w:val="center"/>
      <w:outlineLvl w:val="1"/>
    </w:pPr>
    <w:rPr>
      <w:b/>
      <w:bCs/>
      <w:caps/>
      <w:szCs w:val="26"/>
    </w:rPr>
  </w:style>
  <w:style w:type="paragraph" w:styleId="Heading3">
    <w:name w:val="heading 3"/>
    <w:basedOn w:val="Normal"/>
    <w:next w:val="Normal"/>
    <w:link w:val="Heading3Char"/>
    <w:autoRedefine/>
    <w:uiPriority w:val="9"/>
    <w:unhideWhenUsed/>
    <w:qFormat/>
    <w:rsid w:val="00AB7A69"/>
    <w:pPr>
      <w:outlineLvl w:val="2"/>
    </w:pPr>
    <w:rPr>
      <w:u w:val="single"/>
    </w:rPr>
  </w:style>
  <w:style w:type="paragraph" w:styleId="Heading4">
    <w:name w:val="heading 4"/>
    <w:basedOn w:val="Normal"/>
    <w:next w:val="Normal"/>
    <w:link w:val="Heading4Char"/>
    <w:uiPriority w:val="9"/>
    <w:semiHidden/>
    <w:unhideWhenUsed/>
    <w:rsid w:val="0014521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4521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55142"/>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55142"/>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5514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5514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L1Heading">
    <w:name w:val="CIL 1 Heading"/>
    <w:basedOn w:val="Heading1"/>
    <w:autoRedefine/>
    <w:rsid w:val="00A359D5"/>
    <w:pPr>
      <w:keepLines w:val="0"/>
      <w:outlineLvl w:val="9"/>
    </w:pPr>
    <w:rPr>
      <w:rFonts w:eastAsia="Batang" w:cs="Arial"/>
      <w:caps w:val="0"/>
      <w:kern w:val="32"/>
      <w:szCs w:val="32"/>
      <w:lang w:val="en-GB" w:eastAsia="ko-KR"/>
    </w:rPr>
  </w:style>
  <w:style w:type="character" w:customStyle="1" w:styleId="Heading1Char">
    <w:name w:val="Heading 1 Char"/>
    <w:link w:val="Heading1"/>
    <w:uiPriority w:val="9"/>
    <w:rsid w:val="0040043F"/>
    <w:rPr>
      <w:rFonts w:ascii="Arial" w:eastAsia="Times New Roman" w:hAnsi="Arial"/>
      <w:b/>
      <w:bCs/>
      <w:caps/>
      <w:sz w:val="28"/>
      <w:szCs w:val="28"/>
      <w:lang w:val="en-US" w:eastAsia="en-US"/>
    </w:rPr>
  </w:style>
  <w:style w:type="paragraph" w:customStyle="1" w:styleId="CIL2Heading">
    <w:name w:val="CIL 2 Heading"/>
    <w:basedOn w:val="Heading2"/>
    <w:autoRedefine/>
    <w:rsid w:val="00A359D5"/>
    <w:rPr>
      <w:rFonts w:eastAsia="Batang" w:cs="Arial"/>
      <w:b w:val="0"/>
      <w:iCs/>
      <w:caps w:val="0"/>
      <w:szCs w:val="28"/>
      <w:lang w:val="en-GB" w:eastAsia="ko-KR"/>
    </w:rPr>
  </w:style>
  <w:style w:type="character" w:customStyle="1" w:styleId="Heading2Char">
    <w:name w:val="Heading 2 Char"/>
    <w:link w:val="Heading2"/>
    <w:uiPriority w:val="9"/>
    <w:rsid w:val="00996773"/>
    <w:rPr>
      <w:rFonts w:ascii="Arial" w:hAnsi="Arial"/>
      <w:b/>
      <w:bCs/>
      <w:caps/>
      <w:szCs w:val="26"/>
      <w:lang w:val="en-US" w:eastAsia="en-US"/>
    </w:rPr>
  </w:style>
  <w:style w:type="paragraph" w:customStyle="1" w:styleId="CILFooter">
    <w:name w:val="CIL Footer"/>
    <w:basedOn w:val="Normal"/>
    <w:link w:val="CILFooterChar"/>
    <w:qFormat/>
    <w:rsid w:val="001142FA"/>
    <w:pPr>
      <w:pBdr>
        <w:top w:val="single" w:sz="4" w:space="8" w:color="auto"/>
      </w:pBdr>
      <w:tabs>
        <w:tab w:val="center" w:pos="4680"/>
        <w:tab w:val="right" w:pos="9360"/>
      </w:tabs>
      <w:jc w:val="center"/>
    </w:pPr>
    <w:rPr>
      <w:rFonts w:eastAsia="Batang" w:cs="Arial"/>
      <w:color w:val="808080"/>
      <w:sz w:val="16"/>
      <w:szCs w:val="16"/>
      <w:lang w:val="en-GB" w:eastAsia="ko-KR"/>
    </w:rPr>
  </w:style>
  <w:style w:type="character" w:customStyle="1" w:styleId="CILFooterChar">
    <w:name w:val="CIL Footer Char"/>
    <w:link w:val="CILFooter"/>
    <w:rsid w:val="001142FA"/>
    <w:rPr>
      <w:rFonts w:ascii="Arial" w:eastAsia="Batang" w:hAnsi="Arial" w:cs="Arial"/>
      <w:color w:val="808080"/>
      <w:sz w:val="16"/>
      <w:szCs w:val="16"/>
      <w:lang w:val="en-GB" w:eastAsia="ko-KR"/>
    </w:rPr>
  </w:style>
  <w:style w:type="paragraph" w:customStyle="1" w:styleId="CILparagraph">
    <w:name w:val="CIL paragraph"/>
    <w:basedOn w:val="Normal"/>
    <w:autoRedefine/>
    <w:rsid w:val="001207E1"/>
    <w:pPr>
      <w:contextualSpacing/>
    </w:pPr>
    <w:rPr>
      <w:rFonts w:eastAsia="Batang" w:cs="Arial"/>
      <w:szCs w:val="24"/>
      <w:lang w:val="en-GB" w:eastAsia="ko-KR"/>
    </w:rPr>
  </w:style>
  <w:style w:type="paragraph" w:customStyle="1" w:styleId="CILSubtitle">
    <w:name w:val="CIL Subtitle"/>
    <w:basedOn w:val="Normal"/>
    <w:link w:val="CILSubtitleChar"/>
    <w:autoRedefine/>
    <w:qFormat/>
    <w:rsid w:val="00AB7A69"/>
    <w:pPr>
      <w:jc w:val="center"/>
    </w:pPr>
    <w:rPr>
      <w:rFonts w:eastAsia="Batang" w:cs="Arial"/>
      <w:i/>
      <w:szCs w:val="24"/>
      <w:lang w:val="en-GB" w:eastAsia="ko-KR"/>
    </w:rPr>
  </w:style>
  <w:style w:type="character" w:customStyle="1" w:styleId="CILSubtitleChar">
    <w:name w:val="CIL Subtitle Char"/>
    <w:link w:val="CILSubtitle"/>
    <w:rsid w:val="00AB7A69"/>
    <w:rPr>
      <w:rFonts w:ascii="Arial" w:eastAsia="Batang" w:hAnsi="Arial" w:cs="Arial"/>
      <w:i/>
      <w:szCs w:val="24"/>
      <w:lang w:eastAsia="ko-KR"/>
    </w:rPr>
  </w:style>
  <w:style w:type="paragraph" w:customStyle="1" w:styleId="CILTitle">
    <w:name w:val="CIL Title"/>
    <w:basedOn w:val="Normal"/>
    <w:autoRedefine/>
    <w:qFormat/>
    <w:rsid w:val="00A359D5"/>
    <w:pPr>
      <w:jc w:val="center"/>
    </w:pPr>
    <w:rPr>
      <w:rFonts w:eastAsia="Batang" w:cs="Arial"/>
      <w:b/>
      <w:bCs/>
      <w:caps/>
      <w:kern w:val="32"/>
      <w:sz w:val="28"/>
      <w:szCs w:val="32"/>
      <w:lang w:val="en-GB" w:eastAsia="ko-KR"/>
    </w:rPr>
  </w:style>
  <w:style w:type="character" w:customStyle="1" w:styleId="Heading3Char">
    <w:name w:val="Heading 3 Char"/>
    <w:link w:val="Heading3"/>
    <w:uiPriority w:val="9"/>
    <w:rsid w:val="00AB7A69"/>
    <w:rPr>
      <w:rFonts w:ascii="Arial" w:hAnsi="Arial"/>
      <w:u w:val="single"/>
      <w:lang w:val="en-US" w:eastAsia="en-US"/>
    </w:rPr>
  </w:style>
  <w:style w:type="paragraph" w:customStyle="1" w:styleId="CILL1TOC">
    <w:name w:val="CIL L1 TOC"/>
    <w:basedOn w:val="TOC1"/>
    <w:autoRedefine/>
    <w:rsid w:val="0042562D"/>
    <w:pPr>
      <w:tabs>
        <w:tab w:val="right" w:leader="dot" w:pos="9350"/>
      </w:tabs>
      <w:spacing w:before="120" w:after="120" w:line="360" w:lineRule="auto"/>
    </w:pPr>
    <w:rPr>
      <w:rFonts w:cs="Arial"/>
      <w:noProof/>
    </w:rPr>
  </w:style>
  <w:style w:type="paragraph" w:styleId="TOC1">
    <w:name w:val="toc 1"/>
    <w:basedOn w:val="Normal"/>
    <w:next w:val="Normal"/>
    <w:autoRedefine/>
    <w:uiPriority w:val="39"/>
    <w:unhideWhenUsed/>
    <w:rsid w:val="00AB7A69"/>
    <w:pPr>
      <w:spacing w:before="60" w:after="60"/>
    </w:pPr>
    <w:rPr>
      <w:caps/>
    </w:rPr>
  </w:style>
  <w:style w:type="paragraph" w:customStyle="1" w:styleId="Style1">
    <w:name w:val="Style1"/>
    <w:basedOn w:val="TOC2"/>
    <w:autoRedefine/>
    <w:rsid w:val="0042562D"/>
    <w:pPr>
      <w:tabs>
        <w:tab w:val="right" w:leader="dot" w:pos="9350"/>
      </w:tabs>
      <w:spacing w:line="360" w:lineRule="auto"/>
      <w:ind w:left="202"/>
    </w:pPr>
    <w:rPr>
      <w:rFonts w:cs="Arial"/>
      <w:noProof/>
    </w:rPr>
  </w:style>
  <w:style w:type="paragraph" w:styleId="TOC2">
    <w:name w:val="toc 2"/>
    <w:basedOn w:val="Heading2"/>
    <w:next w:val="Normal"/>
    <w:autoRedefine/>
    <w:uiPriority w:val="39"/>
    <w:unhideWhenUsed/>
    <w:rsid w:val="009C1F90"/>
    <w:pPr>
      <w:spacing w:before="60" w:after="60"/>
      <w:ind w:left="284"/>
      <w:jc w:val="left"/>
      <w:outlineLvl w:val="0"/>
    </w:pPr>
    <w:rPr>
      <w:b w:val="0"/>
    </w:rPr>
  </w:style>
  <w:style w:type="paragraph" w:customStyle="1" w:styleId="CILL2TOC">
    <w:name w:val="CIL L2 TOC"/>
    <w:basedOn w:val="TOC2"/>
    <w:autoRedefine/>
    <w:rsid w:val="0042562D"/>
    <w:pPr>
      <w:tabs>
        <w:tab w:val="right" w:leader="dot" w:pos="9350"/>
      </w:tabs>
      <w:spacing w:line="360" w:lineRule="auto"/>
      <w:ind w:left="202"/>
    </w:pPr>
    <w:rPr>
      <w:rFonts w:cs="Arial"/>
      <w:noProof/>
    </w:rPr>
  </w:style>
  <w:style w:type="paragraph" w:customStyle="1" w:styleId="CILParagraph0">
    <w:name w:val="CIL Paragraph"/>
    <w:basedOn w:val="Normal"/>
    <w:next w:val="Normal"/>
    <w:autoRedefine/>
    <w:rsid w:val="00642035"/>
  </w:style>
  <w:style w:type="paragraph" w:customStyle="1" w:styleId="CILMain">
    <w:name w:val="CIL Main"/>
    <w:autoRedefine/>
    <w:rsid w:val="00025831"/>
    <w:pPr>
      <w:spacing w:before="240" w:after="120" w:line="276" w:lineRule="auto"/>
      <w:jc w:val="both"/>
    </w:pPr>
    <w:rPr>
      <w:rFonts w:ascii="Arial" w:hAnsi="Arial"/>
      <w:lang w:val="en-US" w:eastAsia="en-US"/>
    </w:rPr>
  </w:style>
  <w:style w:type="paragraph" w:styleId="Subtitle">
    <w:name w:val="Subtitle"/>
    <w:basedOn w:val="Normal"/>
    <w:next w:val="Normal"/>
    <w:link w:val="SubtitleChar"/>
    <w:autoRedefine/>
    <w:uiPriority w:val="11"/>
    <w:qFormat/>
    <w:rsid w:val="00311F81"/>
    <w:pPr>
      <w:jc w:val="center"/>
    </w:pPr>
    <w:rPr>
      <w:rFonts w:ascii="Calibri" w:eastAsia="Times New Roman" w:hAnsi="Calibri"/>
      <w:i/>
      <w:szCs w:val="24"/>
      <w:lang w:val="en-GB" w:eastAsia="ko-KR"/>
    </w:rPr>
  </w:style>
  <w:style w:type="character" w:customStyle="1" w:styleId="SubtitleChar">
    <w:name w:val="Subtitle Char"/>
    <w:link w:val="Subtitle"/>
    <w:uiPriority w:val="11"/>
    <w:rsid w:val="00311F81"/>
    <w:rPr>
      <w:rFonts w:eastAsia="Times New Roman" w:cs="Times New Roman"/>
      <w:i/>
      <w:szCs w:val="24"/>
      <w:lang w:val="en-GB" w:eastAsia="ko-KR"/>
    </w:rPr>
  </w:style>
  <w:style w:type="paragraph" w:styleId="Title">
    <w:name w:val="Title"/>
    <w:basedOn w:val="Normal"/>
    <w:next w:val="Normal"/>
    <w:link w:val="TitleChar"/>
    <w:autoRedefine/>
    <w:uiPriority w:val="10"/>
    <w:qFormat/>
    <w:rsid w:val="00311F81"/>
    <w:pPr>
      <w:jc w:val="center"/>
    </w:pPr>
    <w:rPr>
      <w:rFonts w:ascii="Calibri" w:eastAsia="Times New Roman" w:hAnsi="Calibri"/>
      <w:b/>
      <w:bCs/>
      <w:caps/>
      <w:kern w:val="28"/>
      <w:sz w:val="28"/>
      <w:szCs w:val="32"/>
      <w:lang w:val="en-GB" w:eastAsia="ko-KR"/>
    </w:rPr>
  </w:style>
  <w:style w:type="character" w:customStyle="1" w:styleId="TitleChar">
    <w:name w:val="Title Char"/>
    <w:link w:val="Title"/>
    <w:uiPriority w:val="10"/>
    <w:rsid w:val="00311F81"/>
    <w:rPr>
      <w:rFonts w:eastAsia="Times New Roman" w:cs="Times New Roman"/>
      <w:b/>
      <w:bCs/>
      <w:caps/>
      <w:kern w:val="28"/>
      <w:sz w:val="28"/>
      <w:szCs w:val="32"/>
      <w:lang w:val="en-GB" w:eastAsia="ko-KR"/>
    </w:rPr>
  </w:style>
  <w:style w:type="paragraph" w:styleId="Header">
    <w:name w:val="header"/>
    <w:basedOn w:val="Normal"/>
    <w:link w:val="HeaderChar"/>
    <w:uiPriority w:val="99"/>
    <w:unhideWhenUsed/>
    <w:rsid w:val="00F61B4F"/>
    <w:pPr>
      <w:tabs>
        <w:tab w:val="center" w:pos="4680"/>
        <w:tab w:val="right" w:pos="9360"/>
      </w:tabs>
      <w:spacing w:before="0" w:after="0" w:line="240" w:lineRule="auto"/>
    </w:pPr>
  </w:style>
  <w:style w:type="character" w:customStyle="1" w:styleId="HeaderChar">
    <w:name w:val="Header Char"/>
    <w:link w:val="Header"/>
    <w:uiPriority w:val="99"/>
    <w:rsid w:val="00F61B4F"/>
    <w:rPr>
      <w:rFonts w:ascii="Arial" w:hAnsi="Arial"/>
    </w:rPr>
  </w:style>
  <w:style w:type="paragraph" w:styleId="Footer">
    <w:name w:val="footer"/>
    <w:basedOn w:val="Normal"/>
    <w:link w:val="FooterChar"/>
    <w:uiPriority w:val="99"/>
    <w:unhideWhenUsed/>
    <w:rsid w:val="00F61B4F"/>
    <w:pPr>
      <w:tabs>
        <w:tab w:val="center" w:pos="4680"/>
        <w:tab w:val="right" w:pos="9360"/>
      </w:tabs>
      <w:spacing w:before="0" w:after="0" w:line="240" w:lineRule="auto"/>
    </w:pPr>
  </w:style>
  <w:style w:type="character" w:customStyle="1" w:styleId="FooterChar">
    <w:name w:val="Footer Char"/>
    <w:link w:val="Footer"/>
    <w:uiPriority w:val="99"/>
    <w:rsid w:val="00F61B4F"/>
    <w:rPr>
      <w:rFonts w:ascii="Arial" w:hAnsi="Arial"/>
    </w:rPr>
  </w:style>
  <w:style w:type="character" w:styleId="Hyperlink">
    <w:name w:val="Hyperlink"/>
    <w:uiPriority w:val="99"/>
    <w:unhideWhenUsed/>
    <w:rsid w:val="00F61B4F"/>
    <w:rPr>
      <w:color w:val="0000FF"/>
      <w:u w:val="single"/>
    </w:rPr>
  </w:style>
  <w:style w:type="paragraph" w:styleId="TOCHeading">
    <w:name w:val="TOC Heading"/>
    <w:basedOn w:val="Heading1"/>
    <w:next w:val="Normal"/>
    <w:uiPriority w:val="39"/>
    <w:unhideWhenUsed/>
    <w:qFormat/>
    <w:rsid w:val="00AB7A69"/>
    <w:pPr>
      <w:spacing w:after="0" w:line="259" w:lineRule="auto"/>
      <w:jc w:val="left"/>
      <w:outlineLvl w:val="9"/>
    </w:pPr>
    <w:rPr>
      <w:rFonts w:ascii="Calibri Light" w:hAnsi="Calibri Light"/>
      <w:b w:val="0"/>
      <w:bCs w:val="0"/>
      <w:caps w:val="0"/>
      <w:color w:val="2E74B5"/>
      <w:sz w:val="32"/>
      <w:szCs w:val="32"/>
    </w:rPr>
  </w:style>
  <w:style w:type="paragraph" w:styleId="TOC3">
    <w:name w:val="toc 3"/>
    <w:basedOn w:val="Heading3"/>
    <w:next w:val="Normal"/>
    <w:autoRedefine/>
    <w:uiPriority w:val="39"/>
    <w:unhideWhenUsed/>
    <w:rsid w:val="009C1F90"/>
    <w:pPr>
      <w:spacing w:before="60" w:after="60"/>
      <w:ind w:left="567"/>
    </w:pPr>
    <w:rPr>
      <w:caps/>
      <w:u w:val="none"/>
    </w:rPr>
  </w:style>
  <w:style w:type="paragraph" w:styleId="TOC4">
    <w:name w:val="toc 4"/>
    <w:basedOn w:val="Normal"/>
    <w:next w:val="Normal"/>
    <w:autoRedefine/>
    <w:uiPriority w:val="39"/>
    <w:unhideWhenUsed/>
    <w:rsid w:val="00A27F6D"/>
    <w:pPr>
      <w:spacing w:before="0" w:after="0" w:line="240" w:lineRule="auto"/>
      <w:ind w:left="720"/>
      <w:jc w:val="left"/>
    </w:pPr>
    <w:rPr>
      <w:rFonts w:ascii="Cambria" w:eastAsia="MS Mincho" w:hAnsi="Cambria"/>
      <w:sz w:val="24"/>
      <w:szCs w:val="24"/>
    </w:rPr>
  </w:style>
  <w:style w:type="paragraph" w:styleId="TOC5">
    <w:name w:val="toc 5"/>
    <w:basedOn w:val="Normal"/>
    <w:next w:val="Normal"/>
    <w:autoRedefine/>
    <w:uiPriority w:val="39"/>
    <w:unhideWhenUsed/>
    <w:rsid w:val="00A27F6D"/>
    <w:pPr>
      <w:spacing w:before="0" w:after="0" w:line="240" w:lineRule="auto"/>
      <w:ind w:left="960"/>
      <w:jc w:val="left"/>
    </w:pPr>
    <w:rPr>
      <w:rFonts w:ascii="Cambria" w:eastAsia="MS Mincho" w:hAnsi="Cambria"/>
      <w:sz w:val="24"/>
      <w:szCs w:val="24"/>
    </w:rPr>
  </w:style>
  <w:style w:type="paragraph" w:styleId="TOC6">
    <w:name w:val="toc 6"/>
    <w:basedOn w:val="Normal"/>
    <w:next w:val="Normal"/>
    <w:autoRedefine/>
    <w:uiPriority w:val="39"/>
    <w:unhideWhenUsed/>
    <w:rsid w:val="00A27F6D"/>
    <w:pPr>
      <w:spacing w:before="0" w:after="0" w:line="240" w:lineRule="auto"/>
      <w:ind w:left="1200"/>
      <w:jc w:val="left"/>
    </w:pPr>
    <w:rPr>
      <w:rFonts w:ascii="Cambria" w:eastAsia="MS Mincho" w:hAnsi="Cambria"/>
      <w:sz w:val="24"/>
      <w:szCs w:val="24"/>
    </w:rPr>
  </w:style>
  <w:style w:type="paragraph" w:styleId="TOC7">
    <w:name w:val="toc 7"/>
    <w:basedOn w:val="Normal"/>
    <w:next w:val="Normal"/>
    <w:autoRedefine/>
    <w:uiPriority w:val="39"/>
    <w:unhideWhenUsed/>
    <w:rsid w:val="00A27F6D"/>
    <w:pPr>
      <w:spacing w:before="0" w:after="0" w:line="240" w:lineRule="auto"/>
      <w:ind w:left="1440"/>
      <w:jc w:val="left"/>
    </w:pPr>
    <w:rPr>
      <w:rFonts w:ascii="Cambria" w:eastAsia="MS Mincho" w:hAnsi="Cambria"/>
      <w:sz w:val="24"/>
      <w:szCs w:val="24"/>
    </w:rPr>
  </w:style>
  <w:style w:type="paragraph" w:styleId="TOC8">
    <w:name w:val="toc 8"/>
    <w:basedOn w:val="Normal"/>
    <w:next w:val="Normal"/>
    <w:autoRedefine/>
    <w:uiPriority w:val="39"/>
    <w:unhideWhenUsed/>
    <w:rsid w:val="00A27F6D"/>
    <w:pPr>
      <w:spacing w:before="0" w:after="0" w:line="240" w:lineRule="auto"/>
      <w:ind w:left="1680"/>
      <w:jc w:val="left"/>
    </w:pPr>
    <w:rPr>
      <w:rFonts w:ascii="Cambria" w:eastAsia="MS Mincho" w:hAnsi="Cambria"/>
      <w:sz w:val="24"/>
      <w:szCs w:val="24"/>
    </w:rPr>
  </w:style>
  <w:style w:type="paragraph" w:styleId="TOC9">
    <w:name w:val="toc 9"/>
    <w:basedOn w:val="Normal"/>
    <w:next w:val="Normal"/>
    <w:autoRedefine/>
    <w:uiPriority w:val="39"/>
    <w:unhideWhenUsed/>
    <w:rsid w:val="00A27F6D"/>
    <w:pPr>
      <w:spacing w:before="0" w:after="0" w:line="240" w:lineRule="auto"/>
      <w:ind w:left="1920"/>
      <w:jc w:val="left"/>
    </w:pPr>
    <w:rPr>
      <w:rFonts w:ascii="Cambria" w:eastAsia="MS Mincho" w:hAnsi="Cambria"/>
      <w:sz w:val="24"/>
      <w:szCs w:val="24"/>
    </w:rPr>
  </w:style>
  <w:style w:type="character" w:styleId="PageNumber">
    <w:name w:val="page number"/>
    <w:uiPriority w:val="99"/>
    <w:semiHidden/>
    <w:unhideWhenUsed/>
    <w:rsid w:val="00A27F6D"/>
  </w:style>
  <w:style w:type="paragraph" w:styleId="FootnoteText">
    <w:name w:val="footnote text"/>
    <w:basedOn w:val="Normal"/>
    <w:link w:val="FootnoteTextChar"/>
    <w:uiPriority w:val="99"/>
    <w:semiHidden/>
    <w:unhideWhenUsed/>
    <w:rsid w:val="00FA048B"/>
  </w:style>
  <w:style w:type="character" w:customStyle="1" w:styleId="FootnoteTextChar">
    <w:name w:val="Footnote Text Char"/>
    <w:link w:val="FootnoteText"/>
    <w:uiPriority w:val="99"/>
    <w:semiHidden/>
    <w:rsid w:val="00FA048B"/>
    <w:rPr>
      <w:rFonts w:ascii="Arial" w:hAnsi="Arial"/>
      <w:lang w:val="en-US" w:eastAsia="en-US"/>
    </w:rPr>
  </w:style>
  <w:style w:type="character" w:styleId="FootnoteReference">
    <w:name w:val="footnote reference"/>
    <w:uiPriority w:val="99"/>
    <w:semiHidden/>
    <w:unhideWhenUsed/>
    <w:rsid w:val="00FA048B"/>
    <w:rPr>
      <w:vertAlign w:val="superscript"/>
    </w:rPr>
  </w:style>
  <w:style w:type="paragraph" w:styleId="ListParagraph">
    <w:name w:val="List Paragraph"/>
    <w:basedOn w:val="Normal"/>
    <w:uiPriority w:val="1"/>
    <w:qFormat/>
    <w:rsid w:val="00974D05"/>
    <w:pPr>
      <w:ind w:left="720"/>
      <w:contextualSpacing/>
    </w:pPr>
  </w:style>
  <w:style w:type="paragraph" w:styleId="BodyText">
    <w:name w:val="Body Text"/>
    <w:basedOn w:val="Normal"/>
    <w:link w:val="BodyTextChar"/>
    <w:uiPriority w:val="1"/>
    <w:qFormat/>
    <w:rsid w:val="005146E7"/>
    <w:pPr>
      <w:widowControl w:val="0"/>
      <w:autoSpaceDE w:val="0"/>
      <w:autoSpaceDN w:val="0"/>
      <w:spacing w:before="0" w:after="0" w:line="240" w:lineRule="auto"/>
    </w:pPr>
    <w:rPr>
      <w:rFonts w:ascii="Times New Roman" w:eastAsia="Times New Roman" w:hAnsi="Times New Roman"/>
      <w:sz w:val="28"/>
      <w:szCs w:val="28"/>
    </w:rPr>
  </w:style>
  <w:style w:type="character" w:customStyle="1" w:styleId="BodyTextChar">
    <w:name w:val="Body Text Char"/>
    <w:basedOn w:val="DefaultParagraphFont"/>
    <w:link w:val="BodyText"/>
    <w:uiPriority w:val="1"/>
    <w:rsid w:val="005146E7"/>
    <w:rPr>
      <w:rFonts w:ascii="Times New Roman" w:eastAsia="Times New Roman" w:hAnsi="Times New Roman"/>
      <w:sz w:val="28"/>
      <w:szCs w:val="28"/>
      <w:lang w:val="en-US" w:eastAsia="en-US"/>
    </w:rPr>
  </w:style>
  <w:style w:type="character" w:customStyle="1" w:styleId="Heading4Char">
    <w:name w:val="Heading 4 Char"/>
    <w:basedOn w:val="DefaultParagraphFont"/>
    <w:link w:val="Heading4"/>
    <w:uiPriority w:val="9"/>
    <w:semiHidden/>
    <w:rsid w:val="00145215"/>
    <w:rPr>
      <w:rFonts w:asciiTheme="majorHAnsi" w:eastAsiaTheme="majorEastAsia" w:hAnsiTheme="majorHAnsi" w:cstheme="majorBidi"/>
      <w:i/>
      <w:iCs/>
      <w:color w:val="2E74B5" w:themeColor="accent1" w:themeShade="BF"/>
      <w:lang w:val="en-US" w:eastAsia="en-US"/>
    </w:rPr>
  </w:style>
  <w:style w:type="character" w:customStyle="1" w:styleId="Heading5Char">
    <w:name w:val="Heading 5 Char"/>
    <w:basedOn w:val="DefaultParagraphFont"/>
    <w:link w:val="Heading5"/>
    <w:uiPriority w:val="9"/>
    <w:semiHidden/>
    <w:rsid w:val="00145215"/>
    <w:rPr>
      <w:rFonts w:asciiTheme="majorHAnsi" w:eastAsiaTheme="majorEastAsia" w:hAnsiTheme="majorHAnsi" w:cstheme="majorBidi"/>
      <w:color w:val="2E74B5" w:themeColor="accent1" w:themeShade="BF"/>
      <w:lang w:val="en-US" w:eastAsia="en-US"/>
    </w:rPr>
  </w:style>
  <w:style w:type="paragraph" w:styleId="BalloonText">
    <w:name w:val="Balloon Text"/>
    <w:basedOn w:val="Normal"/>
    <w:link w:val="BalloonTextChar"/>
    <w:uiPriority w:val="99"/>
    <w:semiHidden/>
    <w:unhideWhenUsed/>
    <w:rsid w:val="0015514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142"/>
    <w:rPr>
      <w:rFonts w:ascii="Segoe UI" w:hAnsi="Segoe UI" w:cs="Segoe UI"/>
      <w:sz w:val="18"/>
      <w:szCs w:val="18"/>
      <w:lang w:val="en-US" w:eastAsia="en-US"/>
    </w:rPr>
  </w:style>
  <w:style w:type="paragraph" w:styleId="Bibliography">
    <w:name w:val="Bibliography"/>
    <w:basedOn w:val="Normal"/>
    <w:next w:val="Normal"/>
    <w:uiPriority w:val="37"/>
    <w:semiHidden/>
    <w:unhideWhenUsed/>
    <w:rsid w:val="00155142"/>
  </w:style>
  <w:style w:type="paragraph" w:styleId="BlockText">
    <w:name w:val="Block Text"/>
    <w:basedOn w:val="Normal"/>
    <w:uiPriority w:val="99"/>
    <w:semiHidden/>
    <w:unhideWhenUsed/>
    <w:rsid w:val="00155142"/>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uiPriority w:val="99"/>
    <w:semiHidden/>
    <w:unhideWhenUsed/>
    <w:rsid w:val="00155142"/>
    <w:pPr>
      <w:spacing w:line="480" w:lineRule="auto"/>
    </w:pPr>
  </w:style>
  <w:style w:type="character" w:customStyle="1" w:styleId="BodyText2Char">
    <w:name w:val="Body Text 2 Char"/>
    <w:basedOn w:val="DefaultParagraphFont"/>
    <w:link w:val="BodyText2"/>
    <w:uiPriority w:val="99"/>
    <w:semiHidden/>
    <w:rsid w:val="00155142"/>
    <w:rPr>
      <w:rFonts w:ascii="Arial" w:hAnsi="Arial"/>
      <w:lang w:val="en-US" w:eastAsia="en-US"/>
    </w:rPr>
  </w:style>
  <w:style w:type="paragraph" w:styleId="BodyText3">
    <w:name w:val="Body Text 3"/>
    <w:basedOn w:val="Normal"/>
    <w:link w:val="BodyText3Char"/>
    <w:uiPriority w:val="99"/>
    <w:semiHidden/>
    <w:unhideWhenUsed/>
    <w:rsid w:val="00155142"/>
    <w:rPr>
      <w:sz w:val="16"/>
      <w:szCs w:val="16"/>
    </w:rPr>
  </w:style>
  <w:style w:type="character" w:customStyle="1" w:styleId="BodyText3Char">
    <w:name w:val="Body Text 3 Char"/>
    <w:basedOn w:val="DefaultParagraphFont"/>
    <w:link w:val="BodyText3"/>
    <w:uiPriority w:val="99"/>
    <w:semiHidden/>
    <w:rsid w:val="00155142"/>
    <w:rPr>
      <w:rFonts w:ascii="Arial" w:hAnsi="Arial"/>
      <w:sz w:val="16"/>
      <w:szCs w:val="16"/>
      <w:lang w:val="en-US" w:eastAsia="en-US"/>
    </w:rPr>
  </w:style>
  <w:style w:type="paragraph" w:styleId="BodyTextFirstIndent">
    <w:name w:val="Body Text First Indent"/>
    <w:basedOn w:val="BodyText"/>
    <w:link w:val="BodyTextFirstIndentChar"/>
    <w:uiPriority w:val="99"/>
    <w:semiHidden/>
    <w:unhideWhenUsed/>
    <w:rsid w:val="00155142"/>
    <w:pPr>
      <w:widowControl/>
      <w:autoSpaceDE/>
      <w:autoSpaceDN/>
      <w:spacing w:before="240" w:after="120" w:line="276" w:lineRule="auto"/>
      <w:ind w:firstLine="360"/>
    </w:pPr>
    <w:rPr>
      <w:rFonts w:ascii="Arial" w:eastAsia="Calibri" w:hAnsi="Arial"/>
      <w:sz w:val="20"/>
      <w:szCs w:val="20"/>
    </w:rPr>
  </w:style>
  <w:style w:type="character" w:customStyle="1" w:styleId="BodyTextFirstIndentChar">
    <w:name w:val="Body Text First Indent Char"/>
    <w:basedOn w:val="BodyTextChar"/>
    <w:link w:val="BodyTextFirstIndent"/>
    <w:uiPriority w:val="99"/>
    <w:semiHidden/>
    <w:rsid w:val="00155142"/>
    <w:rPr>
      <w:rFonts w:ascii="Arial" w:eastAsia="Times New Roman" w:hAnsi="Arial"/>
      <w:sz w:val="28"/>
      <w:szCs w:val="28"/>
      <w:lang w:val="en-US" w:eastAsia="en-US"/>
    </w:rPr>
  </w:style>
  <w:style w:type="paragraph" w:styleId="BodyTextIndent">
    <w:name w:val="Body Text Indent"/>
    <w:basedOn w:val="Normal"/>
    <w:link w:val="BodyTextIndentChar"/>
    <w:uiPriority w:val="99"/>
    <w:semiHidden/>
    <w:unhideWhenUsed/>
    <w:rsid w:val="00155142"/>
    <w:pPr>
      <w:ind w:left="360"/>
    </w:pPr>
  </w:style>
  <w:style w:type="character" w:customStyle="1" w:styleId="BodyTextIndentChar">
    <w:name w:val="Body Text Indent Char"/>
    <w:basedOn w:val="DefaultParagraphFont"/>
    <w:link w:val="BodyTextIndent"/>
    <w:uiPriority w:val="99"/>
    <w:semiHidden/>
    <w:rsid w:val="00155142"/>
    <w:rPr>
      <w:rFonts w:ascii="Arial" w:hAnsi="Arial"/>
      <w:lang w:val="en-US" w:eastAsia="en-US"/>
    </w:rPr>
  </w:style>
  <w:style w:type="paragraph" w:styleId="BodyTextFirstIndent2">
    <w:name w:val="Body Text First Indent 2"/>
    <w:basedOn w:val="BodyTextIndent"/>
    <w:link w:val="BodyTextFirstIndent2Char"/>
    <w:uiPriority w:val="99"/>
    <w:semiHidden/>
    <w:unhideWhenUsed/>
    <w:rsid w:val="00155142"/>
    <w:pPr>
      <w:ind w:firstLine="360"/>
    </w:pPr>
  </w:style>
  <w:style w:type="character" w:customStyle="1" w:styleId="BodyTextFirstIndent2Char">
    <w:name w:val="Body Text First Indent 2 Char"/>
    <w:basedOn w:val="BodyTextIndentChar"/>
    <w:link w:val="BodyTextFirstIndent2"/>
    <w:uiPriority w:val="99"/>
    <w:semiHidden/>
    <w:rsid w:val="00155142"/>
    <w:rPr>
      <w:rFonts w:ascii="Arial" w:hAnsi="Arial"/>
      <w:lang w:val="en-US" w:eastAsia="en-US"/>
    </w:rPr>
  </w:style>
  <w:style w:type="paragraph" w:styleId="BodyTextIndent2">
    <w:name w:val="Body Text Indent 2"/>
    <w:basedOn w:val="Normal"/>
    <w:link w:val="BodyTextIndent2Char"/>
    <w:uiPriority w:val="99"/>
    <w:semiHidden/>
    <w:unhideWhenUsed/>
    <w:rsid w:val="00155142"/>
    <w:pPr>
      <w:spacing w:line="480" w:lineRule="auto"/>
      <w:ind w:left="360"/>
    </w:pPr>
  </w:style>
  <w:style w:type="character" w:customStyle="1" w:styleId="BodyTextIndent2Char">
    <w:name w:val="Body Text Indent 2 Char"/>
    <w:basedOn w:val="DefaultParagraphFont"/>
    <w:link w:val="BodyTextIndent2"/>
    <w:uiPriority w:val="99"/>
    <w:semiHidden/>
    <w:rsid w:val="00155142"/>
    <w:rPr>
      <w:rFonts w:ascii="Arial" w:hAnsi="Arial"/>
      <w:lang w:val="en-US" w:eastAsia="en-US"/>
    </w:rPr>
  </w:style>
  <w:style w:type="paragraph" w:styleId="BodyTextIndent3">
    <w:name w:val="Body Text Indent 3"/>
    <w:basedOn w:val="Normal"/>
    <w:link w:val="BodyTextIndent3Char"/>
    <w:uiPriority w:val="99"/>
    <w:semiHidden/>
    <w:unhideWhenUsed/>
    <w:rsid w:val="00155142"/>
    <w:pPr>
      <w:ind w:left="360"/>
    </w:pPr>
    <w:rPr>
      <w:sz w:val="16"/>
      <w:szCs w:val="16"/>
    </w:rPr>
  </w:style>
  <w:style w:type="character" w:customStyle="1" w:styleId="BodyTextIndent3Char">
    <w:name w:val="Body Text Indent 3 Char"/>
    <w:basedOn w:val="DefaultParagraphFont"/>
    <w:link w:val="BodyTextIndent3"/>
    <w:uiPriority w:val="99"/>
    <w:semiHidden/>
    <w:rsid w:val="00155142"/>
    <w:rPr>
      <w:rFonts w:ascii="Arial" w:hAnsi="Arial"/>
      <w:sz w:val="16"/>
      <w:szCs w:val="16"/>
      <w:lang w:val="en-US" w:eastAsia="en-US"/>
    </w:rPr>
  </w:style>
  <w:style w:type="paragraph" w:styleId="Caption">
    <w:name w:val="caption"/>
    <w:basedOn w:val="Normal"/>
    <w:next w:val="Normal"/>
    <w:uiPriority w:val="35"/>
    <w:semiHidden/>
    <w:unhideWhenUsed/>
    <w:qFormat/>
    <w:rsid w:val="00155142"/>
    <w:pPr>
      <w:spacing w:before="0"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155142"/>
    <w:pPr>
      <w:spacing w:before="0" w:after="0" w:line="240" w:lineRule="auto"/>
      <w:ind w:left="4320"/>
    </w:pPr>
  </w:style>
  <w:style w:type="character" w:customStyle="1" w:styleId="ClosingChar">
    <w:name w:val="Closing Char"/>
    <w:basedOn w:val="DefaultParagraphFont"/>
    <w:link w:val="Closing"/>
    <w:uiPriority w:val="99"/>
    <w:semiHidden/>
    <w:rsid w:val="00155142"/>
    <w:rPr>
      <w:rFonts w:ascii="Arial" w:hAnsi="Arial"/>
      <w:lang w:val="en-US" w:eastAsia="en-US"/>
    </w:rPr>
  </w:style>
  <w:style w:type="paragraph" w:styleId="CommentText">
    <w:name w:val="annotation text"/>
    <w:basedOn w:val="Normal"/>
    <w:link w:val="CommentTextChar"/>
    <w:uiPriority w:val="99"/>
    <w:semiHidden/>
    <w:unhideWhenUsed/>
    <w:rsid w:val="00155142"/>
    <w:pPr>
      <w:spacing w:line="240" w:lineRule="auto"/>
    </w:pPr>
  </w:style>
  <w:style w:type="character" w:customStyle="1" w:styleId="CommentTextChar">
    <w:name w:val="Comment Text Char"/>
    <w:basedOn w:val="DefaultParagraphFont"/>
    <w:link w:val="CommentText"/>
    <w:uiPriority w:val="99"/>
    <w:semiHidden/>
    <w:rsid w:val="00155142"/>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155142"/>
    <w:rPr>
      <w:b/>
      <w:bCs/>
    </w:rPr>
  </w:style>
  <w:style w:type="character" w:customStyle="1" w:styleId="CommentSubjectChar">
    <w:name w:val="Comment Subject Char"/>
    <w:basedOn w:val="CommentTextChar"/>
    <w:link w:val="CommentSubject"/>
    <w:uiPriority w:val="99"/>
    <w:semiHidden/>
    <w:rsid w:val="00155142"/>
    <w:rPr>
      <w:rFonts w:ascii="Arial" w:hAnsi="Arial"/>
      <w:b/>
      <w:bCs/>
      <w:lang w:val="en-US" w:eastAsia="en-US"/>
    </w:rPr>
  </w:style>
  <w:style w:type="paragraph" w:styleId="Date">
    <w:name w:val="Date"/>
    <w:basedOn w:val="Normal"/>
    <w:next w:val="Normal"/>
    <w:link w:val="DateChar"/>
    <w:uiPriority w:val="99"/>
    <w:semiHidden/>
    <w:unhideWhenUsed/>
    <w:rsid w:val="00155142"/>
  </w:style>
  <w:style w:type="character" w:customStyle="1" w:styleId="DateChar">
    <w:name w:val="Date Char"/>
    <w:basedOn w:val="DefaultParagraphFont"/>
    <w:link w:val="Date"/>
    <w:uiPriority w:val="99"/>
    <w:semiHidden/>
    <w:rsid w:val="00155142"/>
    <w:rPr>
      <w:rFonts w:ascii="Arial" w:hAnsi="Arial"/>
      <w:lang w:val="en-US" w:eastAsia="en-US"/>
    </w:rPr>
  </w:style>
  <w:style w:type="paragraph" w:styleId="DocumentMap">
    <w:name w:val="Document Map"/>
    <w:basedOn w:val="Normal"/>
    <w:link w:val="DocumentMapChar"/>
    <w:uiPriority w:val="99"/>
    <w:semiHidden/>
    <w:unhideWhenUsed/>
    <w:rsid w:val="00155142"/>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55142"/>
    <w:rPr>
      <w:rFonts w:ascii="Segoe UI" w:hAnsi="Segoe UI" w:cs="Segoe UI"/>
      <w:sz w:val="16"/>
      <w:szCs w:val="16"/>
      <w:lang w:val="en-US" w:eastAsia="en-US"/>
    </w:rPr>
  </w:style>
  <w:style w:type="paragraph" w:styleId="E-mailSignature">
    <w:name w:val="E-mail Signature"/>
    <w:basedOn w:val="Normal"/>
    <w:link w:val="E-mailSignatureChar"/>
    <w:uiPriority w:val="99"/>
    <w:semiHidden/>
    <w:unhideWhenUsed/>
    <w:rsid w:val="00155142"/>
    <w:pPr>
      <w:spacing w:before="0" w:after="0" w:line="240" w:lineRule="auto"/>
    </w:pPr>
  </w:style>
  <w:style w:type="character" w:customStyle="1" w:styleId="E-mailSignatureChar">
    <w:name w:val="E-mail Signature Char"/>
    <w:basedOn w:val="DefaultParagraphFont"/>
    <w:link w:val="E-mailSignature"/>
    <w:uiPriority w:val="99"/>
    <w:semiHidden/>
    <w:rsid w:val="00155142"/>
    <w:rPr>
      <w:rFonts w:ascii="Arial" w:hAnsi="Arial"/>
      <w:lang w:val="en-US" w:eastAsia="en-US"/>
    </w:rPr>
  </w:style>
  <w:style w:type="paragraph" w:styleId="EndnoteText">
    <w:name w:val="endnote text"/>
    <w:basedOn w:val="Normal"/>
    <w:link w:val="EndnoteTextChar"/>
    <w:uiPriority w:val="99"/>
    <w:semiHidden/>
    <w:unhideWhenUsed/>
    <w:rsid w:val="00155142"/>
    <w:pPr>
      <w:spacing w:before="0" w:after="0" w:line="240" w:lineRule="auto"/>
    </w:pPr>
  </w:style>
  <w:style w:type="character" w:customStyle="1" w:styleId="EndnoteTextChar">
    <w:name w:val="Endnote Text Char"/>
    <w:basedOn w:val="DefaultParagraphFont"/>
    <w:link w:val="EndnoteText"/>
    <w:uiPriority w:val="99"/>
    <w:semiHidden/>
    <w:rsid w:val="00155142"/>
    <w:rPr>
      <w:rFonts w:ascii="Arial" w:hAnsi="Arial"/>
      <w:lang w:val="en-US" w:eastAsia="en-US"/>
    </w:rPr>
  </w:style>
  <w:style w:type="paragraph" w:styleId="EnvelopeAddress">
    <w:name w:val="envelope address"/>
    <w:basedOn w:val="Normal"/>
    <w:uiPriority w:val="99"/>
    <w:semiHidden/>
    <w:unhideWhenUsed/>
    <w:rsid w:val="00155142"/>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55142"/>
    <w:pPr>
      <w:spacing w:before="0" w:after="0" w:line="240" w:lineRule="auto"/>
    </w:pPr>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155142"/>
    <w:rPr>
      <w:rFonts w:asciiTheme="majorHAnsi" w:eastAsiaTheme="majorEastAsia" w:hAnsiTheme="majorHAnsi" w:cstheme="majorBidi"/>
      <w:color w:val="1F4D78" w:themeColor="accent1" w:themeShade="7F"/>
      <w:lang w:val="en-US" w:eastAsia="en-US"/>
    </w:rPr>
  </w:style>
  <w:style w:type="character" w:customStyle="1" w:styleId="Heading7Char">
    <w:name w:val="Heading 7 Char"/>
    <w:basedOn w:val="DefaultParagraphFont"/>
    <w:link w:val="Heading7"/>
    <w:uiPriority w:val="9"/>
    <w:semiHidden/>
    <w:rsid w:val="00155142"/>
    <w:rPr>
      <w:rFonts w:asciiTheme="majorHAnsi" w:eastAsiaTheme="majorEastAsia" w:hAnsiTheme="majorHAnsi" w:cstheme="majorBidi"/>
      <w:i/>
      <w:iCs/>
      <w:color w:val="1F4D78" w:themeColor="accent1" w:themeShade="7F"/>
      <w:lang w:val="en-US" w:eastAsia="en-US"/>
    </w:rPr>
  </w:style>
  <w:style w:type="character" w:customStyle="1" w:styleId="Heading8Char">
    <w:name w:val="Heading 8 Char"/>
    <w:basedOn w:val="DefaultParagraphFont"/>
    <w:link w:val="Heading8"/>
    <w:uiPriority w:val="9"/>
    <w:semiHidden/>
    <w:rsid w:val="00155142"/>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uiPriority w:val="9"/>
    <w:semiHidden/>
    <w:rsid w:val="00155142"/>
    <w:rPr>
      <w:rFonts w:asciiTheme="majorHAnsi" w:eastAsiaTheme="majorEastAsia" w:hAnsiTheme="majorHAnsi" w:cstheme="majorBidi"/>
      <w:i/>
      <w:iCs/>
      <w:color w:val="272727" w:themeColor="text1" w:themeTint="D8"/>
      <w:sz w:val="21"/>
      <w:szCs w:val="21"/>
      <w:lang w:val="en-US" w:eastAsia="en-US"/>
    </w:rPr>
  </w:style>
  <w:style w:type="paragraph" w:styleId="HTMLAddress">
    <w:name w:val="HTML Address"/>
    <w:basedOn w:val="Normal"/>
    <w:link w:val="HTMLAddressChar"/>
    <w:uiPriority w:val="99"/>
    <w:semiHidden/>
    <w:unhideWhenUsed/>
    <w:rsid w:val="00155142"/>
    <w:pPr>
      <w:spacing w:before="0" w:after="0" w:line="240" w:lineRule="auto"/>
    </w:pPr>
    <w:rPr>
      <w:i/>
      <w:iCs/>
    </w:rPr>
  </w:style>
  <w:style w:type="character" w:customStyle="1" w:styleId="HTMLAddressChar">
    <w:name w:val="HTML Address Char"/>
    <w:basedOn w:val="DefaultParagraphFont"/>
    <w:link w:val="HTMLAddress"/>
    <w:uiPriority w:val="99"/>
    <w:semiHidden/>
    <w:rsid w:val="00155142"/>
    <w:rPr>
      <w:rFonts w:ascii="Arial" w:hAnsi="Arial"/>
      <w:i/>
      <w:iCs/>
      <w:lang w:val="en-US" w:eastAsia="en-US"/>
    </w:rPr>
  </w:style>
  <w:style w:type="paragraph" w:styleId="HTMLPreformatted">
    <w:name w:val="HTML Preformatted"/>
    <w:basedOn w:val="Normal"/>
    <w:link w:val="HTMLPreformattedChar"/>
    <w:uiPriority w:val="99"/>
    <w:semiHidden/>
    <w:unhideWhenUsed/>
    <w:rsid w:val="00155142"/>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155142"/>
    <w:rPr>
      <w:rFonts w:ascii="Consolas" w:hAnsi="Consolas"/>
      <w:lang w:val="en-US" w:eastAsia="en-US"/>
    </w:rPr>
  </w:style>
  <w:style w:type="paragraph" w:styleId="Index1">
    <w:name w:val="index 1"/>
    <w:basedOn w:val="Normal"/>
    <w:next w:val="Normal"/>
    <w:autoRedefine/>
    <w:uiPriority w:val="99"/>
    <w:semiHidden/>
    <w:unhideWhenUsed/>
    <w:rsid w:val="00155142"/>
    <w:pPr>
      <w:spacing w:before="0" w:after="0" w:line="240" w:lineRule="auto"/>
      <w:ind w:left="200" w:hanging="200"/>
    </w:pPr>
  </w:style>
  <w:style w:type="paragraph" w:styleId="Index2">
    <w:name w:val="index 2"/>
    <w:basedOn w:val="Normal"/>
    <w:next w:val="Normal"/>
    <w:autoRedefine/>
    <w:uiPriority w:val="99"/>
    <w:semiHidden/>
    <w:unhideWhenUsed/>
    <w:rsid w:val="00155142"/>
    <w:pPr>
      <w:spacing w:before="0" w:after="0" w:line="240" w:lineRule="auto"/>
      <w:ind w:left="400" w:hanging="200"/>
    </w:pPr>
  </w:style>
  <w:style w:type="paragraph" w:styleId="Index3">
    <w:name w:val="index 3"/>
    <w:basedOn w:val="Normal"/>
    <w:next w:val="Normal"/>
    <w:autoRedefine/>
    <w:uiPriority w:val="99"/>
    <w:semiHidden/>
    <w:unhideWhenUsed/>
    <w:rsid w:val="00155142"/>
    <w:pPr>
      <w:spacing w:before="0" w:after="0" w:line="240" w:lineRule="auto"/>
      <w:ind w:left="600" w:hanging="200"/>
    </w:pPr>
  </w:style>
  <w:style w:type="paragraph" w:styleId="Index4">
    <w:name w:val="index 4"/>
    <w:basedOn w:val="Normal"/>
    <w:next w:val="Normal"/>
    <w:autoRedefine/>
    <w:uiPriority w:val="99"/>
    <w:semiHidden/>
    <w:unhideWhenUsed/>
    <w:rsid w:val="00155142"/>
    <w:pPr>
      <w:spacing w:before="0" w:after="0" w:line="240" w:lineRule="auto"/>
      <w:ind w:left="800" w:hanging="200"/>
    </w:pPr>
  </w:style>
  <w:style w:type="paragraph" w:styleId="Index5">
    <w:name w:val="index 5"/>
    <w:basedOn w:val="Normal"/>
    <w:next w:val="Normal"/>
    <w:autoRedefine/>
    <w:uiPriority w:val="99"/>
    <w:semiHidden/>
    <w:unhideWhenUsed/>
    <w:rsid w:val="00155142"/>
    <w:pPr>
      <w:spacing w:before="0" w:after="0" w:line="240" w:lineRule="auto"/>
      <w:ind w:left="1000" w:hanging="200"/>
    </w:pPr>
  </w:style>
  <w:style w:type="paragraph" w:styleId="Index6">
    <w:name w:val="index 6"/>
    <w:basedOn w:val="Normal"/>
    <w:next w:val="Normal"/>
    <w:autoRedefine/>
    <w:uiPriority w:val="99"/>
    <w:semiHidden/>
    <w:unhideWhenUsed/>
    <w:rsid w:val="00155142"/>
    <w:pPr>
      <w:spacing w:before="0" w:after="0" w:line="240" w:lineRule="auto"/>
      <w:ind w:left="1200" w:hanging="200"/>
    </w:pPr>
  </w:style>
  <w:style w:type="paragraph" w:styleId="Index7">
    <w:name w:val="index 7"/>
    <w:basedOn w:val="Normal"/>
    <w:next w:val="Normal"/>
    <w:autoRedefine/>
    <w:uiPriority w:val="99"/>
    <w:semiHidden/>
    <w:unhideWhenUsed/>
    <w:rsid w:val="00155142"/>
    <w:pPr>
      <w:spacing w:before="0" w:after="0" w:line="240" w:lineRule="auto"/>
      <w:ind w:left="1400" w:hanging="200"/>
    </w:pPr>
  </w:style>
  <w:style w:type="paragraph" w:styleId="Index8">
    <w:name w:val="index 8"/>
    <w:basedOn w:val="Normal"/>
    <w:next w:val="Normal"/>
    <w:autoRedefine/>
    <w:uiPriority w:val="99"/>
    <w:semiHidden/>
    <w:unhideWhenUsed/>
    <w:rsid w:val="00155142"/>
    <w:pPr>
      <w:spacing w:before="0" w:after="0" w:line="240" w:lineRule="auto"/>
      <w:ind w:left="1600" w:hanging="200"/>
    </w:pPr>
  </w:style>
  <w:style w:type="paragraph" w:styleId="Index9">
    <w:name w:val="index 9"/>
    <w:basedOn w:val="Normal"/>
    <w:next w:val="Normal"/>
    <w:autoRedefine/>
    <w:uiPriority w:val="99"/>
    <w:semiHidden/>
    <w:unhideWhenUsed/>
    <w:rsid w:val="00155142"/>
    <w:pPr>
      <w:spacing w:before="0" w:after="0" w:line="240" w:lineRule="auto"/>
      <w:ind w:left="1800" w:hanging="200"/>
    </w:pPr>
  </w:style>
  <w:style w:type="paragraph" w:styleId="IndexHeading">
    <w:name w:val="index heading"/>
    <w:basedOn w:val="Normal"/>
    <w:next w:val="Index1"/>
    <w:uiPriority w:val="99"/>
    <w:semiHidden/>
    <w:unhideWhenUsed/>
    <w:rsid w:val="0015514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5514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55142"/>
    <w:rPr>
      <w:rFonts w:ascii="Arial" w:hAnsi="Arial"/>
      <w:i/>
      <w:iCs/>
      <w:color w:val="5B9BD5" w:themeColor="accent1"/>
      <w:lang w:val="en-US" w:eastAsia="en-US"/>
    </w:rPr>
  </w:style>
  <w:style w:type="paragraph" w:styleId="List">
    <w:name w:val="List"/>
    <w:basedOn w:val="Normal"/>
    <w:uiPriority w:val="99"/>
    <w:semiHidden/>
    <w:unhideWhenUsed/>
    <w:rsid w:val="00155142"/>
    <w:pPr>
      <w:ind w:left="360" w:hanging="360"/>
      <w:contextualSpacing/>
    </w:pPr>
  </w:style>
  <w:style w:type="paragraph" w:styleId="List2">
    <w:name w:val="List 2"/>
    <w:basedOn w:val="Normal"/>
    <w:uiPriority w:val="99"/>
    <w:semiHidden/>
    <w:unhideWhenUsed/>
    <w:rsid w:val="00155142"/>
    <w:pPr>
      <w:ind w:left="720" w:hanging="360"/>
      <w:contextualSpacing/>
    </w:pPr>
  </w:style>
  <w:style w:type="paragraph" w:styleId="List3">
    <w:name w:val="List 3"/>
    <w:basedOn w:val="Normal"/>
    <w:uiPriority w:val="99"/>
    <w:semiHidden/>
    <w:unhideWhenUsed/>
    <w:rsid w:val="00155142"/>
    <w:pPr>
      <w:ind w:left="1080" w:hanging="360"/>
      <w:contextualSpacing/>
    </w:pPr>
  </w:style>
  <w:style w:type="paragraph" w:styleId="List4">
    <w:name w:val="List 4"/>
    <w:basedOn w:val="Normal"/>
    <w:uiPriority w:val="99"/>
    <w:semiHidden/>
    <w:unhideWhenUsed/>
    <w:rsid w:val="00155142"/>
    <w:pPr>
      <w:ind w:left="1440" w:hanging="360"/>
      <w:contextualSpacing/>
    </w:pPr>
  </w:style>
  <w:style w:type="paragraph" w:styleId="List5">
    <w:name w:val="List 5"/>
    <w:basedOn w:val="Normal"/>
    <w:uiPriority w:val="99"/>
    <w:semiHidden/>
    <w:unhideWhenUsed/>
    <w:rsid w:val="00155142"/>
    <w:pPr>
      <w:ind w:left="1800" w:hanging="360"/>
      <w:contextualSpacing/>
    </w:pPr>
  </w:style>
  <w:style w:type="paragraph" w:styleId="ListBullet">
    <w:name w:val="List Bullet"/>
    <w:basedOn w:val="Normal"/>
    <w:uiPriority w:val="99"/>
    <w:semiHidden/>
    <w:unhideWhenUsed/>
    <w:rsid w:val="00155142"/>
    <w:pPr>
      <w:numPr>
        <w:numId w:val="3"/>
      </w:numPr>
      <w:contextualSpacing/>
    </w:pPr>
  </w:style>
  <w:style w:type="paragraph" w:styleId="ListBullet2">
    <w:name w:val="List Bullet 2"/>
    <w:basedOn w:val="Normal"/>
    <w:uiPriority w:val="99"/>
    <w:semiHidden/>
    <w:unhideWhenUsed/>
    <w:rsid w:val="00155142"/>
    <w:pPr>
      <w:numPr>
        <w:numId w:val="4"/>
      </w:numPr>
      <w:contextualSpacing/>
    </w:pPr>
  </w:style>
  <w:style w:type="paragraph" w:styleId="ListBullet3">
    <w:name w:val="List Bullet 3"/>
    <w:basedOn w:val="Normal"/>
    <w:uiPriority w:val="99"/>
    <w:semiHidden/>
    <w:unhideWhenUsed/>
    <w:rsid w:val="00155142"/>
    <w:pPr>
      <w:numPr>
        <w:numId w:val="5"/>
      </w:numPr>
      <w:contextualSpacing/>
    </w:pPr>
  </w:style>
  <w:style w:type="paragraph" w:styleId="ListBullet4">
    <w:name w:val="List Bullet 4"/>
    <w:basedOn w:val="Normal"/>
    <w:uiPriority w:val="99"/>
    <w:semiHidden/>
    <w:unhideWhenUsed/>
    <w:rsid w:val="00155142"/>
    <w:pPr>
      <w:numPr>
        <w:numId w:val="6"/>
      </w:numPr>
      <w:contextualSpacing/>
    </w:pPr>
  </w:style>
  <w:style w:type="paragraph" w:styleId="ListBullet5">
    <w:name w:val="List Bullet 5"/>
    <w:basedOn w:val="Normal"/>
    <w:uiPriority w:val="99"/>
    <w:semiHidden/>
    <w:unhideWhenUsed/>
    <w:rsid w:val="00155142"/>
    <w:pPr>
      <w:numPr>
        <w:numId w:val="7"/>
      </w:numPr>
      <w:contextualSpacing/>
    </w:pPr>
  </w:style>
  <w:style w:type="paragraph" w:styleId="ListContinue">
    <w:name w:val="List Continue"/>
    <w:basedOn w:val="Normal"/>
    <w:uiPriority w:val="99"/>
    <w:semiHidden/>
    <w:unhideWhenUsed/>
    <w:rsid w:val="00155142"/>
    <w:pPr>
      <w:ind w:left="360"/>
      <w:contextualSpacing/>
    </w:pPr>
  </w:style>
  <w:style w:type="paragraph" w:styleId="ListContinue2">
    <w:name w:val="List Continue 2"/>
    <w:basedOn w:val="Normal"/>
    <w:uiPriority w:val="99"/>
    <w:semiHidden/>
    <w:unhideWhenUsed/>
    <w:rsid w:val="00155142"/>
    <w:pPr>
      <w:ind w:left="720"/>
      <w:contextualSpacing/>
    </w:pPr>
  </w:style>
  <w:style w:type="paragraph" w:styleId="ListContinue3">
    <w:name w:val="List Continue 3"/>
    <w:basedOn w:val="Normal"/>
    <w:uiPriority w:val="99"/>
    <w:semiHidden/>
    <w:unhideWhenUsed/>
    <w:rsid w:val="00155142"/>
    <w:pPr>
      <w:ind w:left="1080"/>
      <w:contextualSpacing/>
    </w:pPr>
  </w:style>
  <w:style w:type="paragraph" w:styleId="ListContinue4">
    <w:name w:val="List Continue 4"/>
    <w:basedOn w:val="Normal"/>
    <w:uiPriority w:val="99"/>
    <w:semiHidden/>
    <w:unhideWhenUsed/>
    <w:rsid w:val="00155142"/>
    <w:pPr>
      <w:ind w:left="1440"/>
      <w:contextualSpacing/>
    </w:pPr>
  </w:style>
  <w:style w:type="paragraph" w:styleId="ListContinue5">
    <w:name w:val="List Continue 5"/>
    <w:basedOn w:val="Normal"/>
    <w:uiPriority w:val="99"/>
    <w:semiHidden/>
    <w:unhideWhenUsed/>
    <w:rsid w:val="00155142"/>
    <w:pPr>
      <w:ind w:left="1800"/>
      <w:contextualSpacing/>
    </w:pPr>
  </w:style>
  <w:style w:type="paragraph" w:styleId="ListNumber">
    <w:name w:val="List Number"/>
    <w:basedOn w:val="Normal"/>
    <w:uiPriority w:val="99"/>
    <w:semiHidden/>
    <w:unhideWhenUsed/>
    <w:rsid w:val="00155142"/>
    <w:pPr>
      <w:numPr>
        <w:numId w:val="8"/>
      </w:numPr>
      <w:contextualSpacing/>
    </w:pPr>
  </w:style>
  <w:style w:type="paragraph" w:styleId="ListNumber2">
    <w:name w:val="List Number 2"/>
    <w:basedOn w:val="Normal"/>
    <w:uiPriority w:val="99"/>
    <w:semiHidden/>
    <w:unhideWhenUsed/>
    <w:rsid w:val="00155142"/>
    <w:pPr>
      <w:numPr>
        <w:numId w:val="9"/>
      </w:numPr>
      <w:contextualSpacing/>
    </w:pPr>
  </w:style>
  <w:style w:type="paragraph" w:styleId="ListNumber3">
    <w:name w:val="List Number 3"/>
    <w:basedOn w:val="Normal"/>
    <w:uiPriority w:val="99"/>
    <w:semiHidden/>
    <w:unhideWhenUsed/>
    <w:rsid w:val="00155142"/>
    <w:pPr>
      <w:numPr>
        <w:numId w:val="10"/>
      </w:numPr>
      <w:contextualSpacing/>
    </w:pPr>
  </w:style>
  <w:style w:type="paragraph" w:styleId="ListNumber4">
    <w:name w:val="List Number 4"/>
    <w:basedOn w:val="Normal"/>
    <w:uiPriority w:val="99"/>
    <w:semiHidden/>
    <w:unhideWhenUsed/>
    <w:rsid w:val="00155142"/>
    <w:pPr>
      <w:numPr>
        <w:numId w:val="11"/>
      </w:numPr>
      <w:contextualSpacing/>
    </w:pPr>
  </w:style>
  <w:style w:type="paragraph" w:styleId="ListNumber5">
    <w:name w:val="List Number 5"/>
    <w:basedOn w:val="Normal"/>
    <w:uiPriority w:val="99"/>
    <w:semiHidden/>
    <w:unhideWhenUsed/>
    <w:rsid w:val="00155142"/>
    <w:pPr>
      <w:numPr>
        <w:numId w:val="12"/>
      </w:numPr>
      <w:contextualSpacing/>
    </w:pPr>
  </w:style>
  <w:style w:type="paragraph" w:styleId="MacroText">
    <w:name w:val="macro"/>
    <w:link w:val="MacroTextChar"/>
    <w:uiPriority w:val="99"/>
    <w:semiHidden/>
    <w:unhideWhenUsed/>
    <w:rsid w:val="00155142"/>
    <w:pPr>
      <w:tabs>
        <w:tab w:val="left" w:pos="480"/>
        <w:tab w:val="left" w:pos="960"/>
        <w:tab w:val="left" w:pos="1440"/>
        <w:tab w:val="left" w:pos="1920"/>
        <w:tab w:val="left" w:pos="2400"/>
        <w:tab w:val="left" w:pos="2880"/>
        <w:tab w:val="left" w:pos="3360"/>
        <w:tab w:val="left" w:pos="3840"/>
        <w:tab w:val="left" w:pos="4320"/>
      </w:tabs>
      <w:spacing w:before="240" w:line="276" w:lineRule="auto"/>
      <w:jc w:val="both"/>
    </w:pPr>
    <w:rPr>
      <w:rFonts w:ascii="Consolas" w:hAnsi="Consolas"/>
      <w:lang w:val="en-US" w:eastAsia="en-US"/>
    </w:rPr>
  </w:style>
  <w:style w:type="character" w:customStyle="1" w:styleId="MacroTextChar">
    <w:name w:val="Macro Text Char"/>
    <w:basedOn w:val="DefaultParagraphFont"/>
    <w:link w:val="MacroText"/>
    <w:uiPriority w:val="99"/>
    <w:semiHidden/>
    <w:rsid w:val="00155142"/>
    <w:rPr>
      <w:rFonts w:ascii="Consolas" w:hAnsi="Consolas"/>
      <w:lang w:val="en-US" w:eastAsia="en-US"/>
    </w:rPr>
  </w:style>
  <w:style w:type="paragraph" w:styleId="MessageHeader">
    <w:name w:val="Message Header"/>
    <w:basedOn w:val="Normal"/>
    <w:link w:val="MessageHeaderChar"/>
    <w:uiPriority w:val="99"/>
    <w:semiHidden/>
    <w:unhideWhenUsed/>
    <w:rsid w:val="00155142"/>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55142"/>
    <w:rPr>
      <w:rFonts w:asciiTheme="majorHAnsi" w:eastAsiaTheme="majorEastAsia" w:hAnsiTheme="majorHAnsi" w:cstheme="majorBidi"/>
      <w:sz w:val="24"/>
      <w:szCs w:val="24"/>
      <w:shd w:val="pct20" w:color="auto" w:fill="auto"/>
      <w:lang w:val="en-US" w:eastAsia="en-US"/>
    </w:rPr>
  </w:style>
  <w:style w:type="paragraph" w:styleId="NoSpacing">
    <w:name w:val="No Spacing"/>
    <w:uiPriority w:val="1"/>
    <w:qFormat/>
    <w:rsid w:val="00155142"/>
    <w:pPr>
      <w:jc w:val="both"/>
    </w:pPr>
    <w:rPr>
      <w:rFonts w:ascii="Arial" w:hAnsi="Arial"/>
      <w:lang w:val="en-US" w:eastAsia="en-US"/>
    </w:rPr>
  </w:style>
  <w:style w:type="paragraph" w:styleId="NormalWeb">
    <w:name w:val="Normal (Web)"/>
    <w:basedOn w:val="Normal"/>
    <w:uiPriority w:val="99"/>
    <w:semiHidden/>
    <w:unhideWhenUsed/>
    <w:rsid w:val="00155142"/>
    <w:rPr>
      <w:rFonts w:ascii="Times New Roman" w:hAnsi="Times New Roman"/>
      <w:sz w:val="24"/>
      <w:szCs w:val="24"/>
    </w:rPr>
  </w:style>
  <w:style w:type="paragraph" w:styleId="NormalIndent">
    <w:name w:val="Normal Indent"/>
    <w:basedOn w:val="Normal"/>
    <w:uiPriority w:val="99"/>
    <w:semiHidden/>
    <w:unhideWhenUsed/>
    <w:rsid w:val="00155142"/>
    <w:pPr>
      <w:ind w:left="720"/>
    </w:pPr>
  </w:style>
  <w:style w:type="paragraph" w:styleId="NoteHeading">
    <w:name w:val="Note Heading"/>
    <w:basedOn w:val="Normal"/>
    <w:next w:val="Normal"/>
    <w:link w:val="NoteHeadingChar"/>
    <w:uiPriority w:val="99"/>
    <w:semiHidden/>
    <w:unhideWhenUsed/>
    <w:rsid w:val="00155142"/>
    <w:pPr>
      <w:spacing w:before="0" w:after="0" w:line="240" w:lineRule="auto"/>
    </w:pPr>
  </w:style>
  <w:style w:type="character" w:customStyle="1" w:styleId="NoteHeadingChar">
    <w:name w:val="Note Heading Char"/>
    <w:basedOn w:val="DefaultParagraphFont"/>
    <w:link w:val="NoteHeading"/>
    <w:uiPriority w:val="99"/>
    <w:semiHidden/>
    <w:rsid w:val="00155142"/>
    <w:rPr>
      <w:rFonts w:ascii="Arial" w:hAnsi="Arial"/>
      <w:lang w:val="en-US" w:eastAsia="en-US"/>
    </w:rPr>
  </w:style>
  <w:style w:type="paragraph" w:styleId="PlainText">
    <w:name w:val="Plain Text"/>
    <w:basedOn w:val="Normal"/>
    <w:link w:val="PlainTextChar"/>
    <w:uiPriority w:val="99"/>
    <w:semiHidden/>
    <w:unhideWhenUsed/>
    <w:rsid w:val="00155142"/>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55142"/>
    <w:rPr>
      <w:rFonts w:ascii="Consolas" w:hAnsi="Consolas"/>
      <w:sz w:val="21"/>
      <w:szCs w:val="21"/>
      <w:lang w:val="en-US" w:eastAsia="en-US"/>
    </w:rPr>
  </w:style>
  <w:style w:type="paragraph" w:styleId="Quote">
    <w:name w:val="Quote"/>
    <w:basedOn w:val="Normal"/>
    <w:next w:val="Normal"/>
    <w:link w:val="QuoteChar"/>
    <w:uiPriority w:val="29"/>
    <w:qFormat/>
    <w:rsid w:val="0015514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55142"/>
    <w:rPr>
      <w:rFonts w:ascii="Arial" w:hAnsi="Arial"/>
      <w:i/>
      <w:iCs/>
      <w:color w:val="404040" w:themeColor="text1" w:themeTint="BF"/>
      <w:lang w:val="en-US" w:eastAsia="en-US"/>
    </w:rPr>
  </w:style>
  <w:style w:type="paragraph" w:styleId="Salutation">
    <w:name w:val="Salutation"/>
    <w:basedOn w:val="Normal"/>
    <w:next w:val="Normal"/>
    <w:link w:val="SalutationChar"/>
    <w:uiPriority w:val="99"/>
    <w:semiHidden/>
    <w:unhideWhenUsed/>
    <w:rsid w:val="00155142"/>
  </w:style>
  <w:style w:type="character" w:customStyle="1" w:styleId="SalutationChar">
    <w:name w:val="Salutation Char"/>
    <w:basedOn w:val="DefaultParagraphFont"/>
    <w:link w:val="Salutation"/>
    <w:uiPriority w:val="99"/>
    <w:semiHidden/>
    <w:rsid w:val="00155142"/>
    <w:rPr>
      <w:rFonts w:ascii="Arial" w:hAnsi="Arial"/>
      <w:lang w:val="en-US" w:eastAsia="en-US"/>
    </w:rPr>
  </w:style>
  <w:style w:type="paragraph" w:styleId="Signature">
    <w:name w:val="Signature"/>
    <w:basedOn w:val="Normal"/>
    <w:link w:val="SignatureChar"/>
    <w:uiPriority w:val="99"/>
    <w:semiHidden/>
    <w:unhideWhenUsed/>
    <w:rsid w:val="00155142"/>
    <w:pPr>
      <w:spacing w:before="0" w:after="0" w:line="240" w:lineRule="auto"/>
      <w:ind w:left="4320"/>
    </w:pPr>
  </w:style>
  <w:style w:type="character" w:customStyle="1" w:styleId="SignatureChar">
    <w:name w:val="Signature Char"/>
    <w:basedOn w:val="DefaultParagraphFont"/>
    <w:link w:val="Signature"/>
    <w:uiPriority w:val="99"/>
    <w:semiHidden/>
    <w:rsid w:val="00155142"/>
    <w:rPr>
      <w:rFonts w:ascii="Arial" w:hAnsi="Arial"/>
      <w:lang w:val="en-US" w:eastAsia="en-US"/>
    </w:rPr>
  </w:style>
  <w:style w:type="paragraph" w:styleId="TableofAuthorities">
    <w:name w:val="table of authorities"/>
    <w:basedOn w:val="Normal"/>
    <w:next w:val="Normal"/>
    <w:uiPriority w:val="99"/>
    <w:semiHidden/>
    <w:unhideWhenUsed/>
    <w:rsid w:val="00155142"/>
    <w:pPr>
      <w:spacing w:after="0"/>
      <w:ind w:left="200" w:hanging="200"/>
    </w:pPr>
  </w:style>
  <w:style w:type="paragraph" w:styleId="TableofFigures">
    <w:name w:val="table of figures"/>
    <w:basedOn w:val="Normal"/>
    <w:next w:val="Normal"/>
    <w:uiPriority w:val="99"/>
    <w:semiHidden/>
    <w:unhideWhenUsed/>
    <w:rsid w:val="00155142"/>
    <w:pPr>
      <w:spacing w:after="0"/>
    </w:pPr>
  </w:style>
  <w:style w:type="paragraph" w:styleId="TOAHeading">
    <w:name w:val="toa heading"/>
    <w:basedOn w:val="Normal"/>
    <w:next w:val="Normal"/>
    <w:uiPriority w:val="99"/>
    <w:semiHidden/>
    <w:unhideWhenUsed/>
    <w:rsid w:val="00155142"/>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184183">
      <w:bodyDiv w:val="1"/>
      <w:marLeft w:val="0"/>
      <w:marRight w:val="0"/>
      <w:marTop w:val="0"/>
      <w:marBottom w:val="0"/>
      <w:divBdr>
        <w:top w:val="none" w:sz="0" w:space="0" w:color="auto"/>
        <w:left w:val="none" w:sz="0" w:space="0" w:color="auto"/>
        <w:bottom w:val="none" w:sz="0" w:space="0" w:color="auto"/>
        <w:right w:val="none" w:sz="0" w:space="0" w:color="auto"/>
      </w:divBdr>
    </w:div>
    <w:div w:id="2053067628">
      <w:bodyDiv w:val="1"/>
      <w:marLeft w:val="0"/>
      <w:marRight w:val="0"/>
      <w:marTop w:val="0"/>
      <w:marBottom w:val="0"/>
      <w:divBdr>
        <w:top w:val="none" w:sz="0" w:space="0" w:color="auto"/>
        <w:left w:val="none" w:sz="0" w:space="0" w:color="auto"/>
        <w:bottom w:val="none" w:sz="0" w:space="0" w:color="auto"/>
        <w:right w:val="none" w:sz="0" w:space="0" w:color="auto"/>
      </w:divBdr>
    </w:div>
    <w:div w:id="2139177995">
      <w:bodyDiv w:val="1"/>
      <w:marLeft w:val="0"/>
      <w:marRight w:val="0"/>
      <w:marTop w:val="0"/>
      <w:marBottom w:val="0"/>
      <w:divBdr>
        <w:top w:val="none" w:sz="0" w:space="0" w:color="auto"/>
        <w:left w:val="none" w:sz="0" w:space="0" w:color="auto"/>
        <w:bottom w:val="none" w:sz="0" w:space="0" w:color="auto"/>
        <w:right w:val="none" w:sz="0" w:space="0" w:color="auto"/>
      </w:divBdr>
      <w:divsChild>
        <w:div w:id="462504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ownloads\CIL%20DB%20Formatting%20Template%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87ADC-D9F3-40B7-BB43-DCD923740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CIL DB Formatting Template 2022</Template>
  <TotalTime>1</TotalTime>
  <Pages>4</Pages>
  <Words>1575</Words>
  <Characters>9209</Characters>
  <Application>Microsoft Office Word</Application>
  <DocSecurity>0</DocSecurity>
  <Lines>167</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10779</CharactersWithSpaces>
  <SharedDoc>false</SharedDoc>
  <HLinks>
    <vt:vector size="222" baseType="variant">
      <vt:variant>
        <vt:i4>1245244</vt:i4>
      </vt:variant>
      <vt:variant>
        <vt:i4>206</vt:i4>
      </vt:variant>
      <vt:variant>
        <vt:i4>0</vt:i4>
      </vt:variant>
      <vt:variant>
        <vt:i4>5</vt:i4>
      </vt:variant>
      <vt:variant>
        <vt:lpwstr/>
      </vt:variant>
      <vt:variant>
        <vt:lpwstr>_Toc473030836</vt:lpwstr>
      </vt:variant>
      <vt:variant>
        <vt:i4>1245244</vt:i4>
      </vt:variant>
      <vt:variant>
        <vt:i4>200</vt:i4>
      </vt:variant>
      <vt:variant>
        <vt:i4>0</vt:i4>
      </vt:variant>
      <vt:variant>
        <vt:i4>5</vt:i4>
      </vt:variant>
      <vt:variant>
        <vt:lpwstr/>
      </vt:variant>
      <vt:variant>
        <vt:lpwstr>_Toc473030835</vt:lpwstr>
      </vt:variant>
      <vt:variant>
        <vt:i4>1245244</vt:i4>
      </vt:variant>
      <vt:variant>
        <vt:i4>194</vt:i4>
      </vt:variant>
      <vt:variant>
        <vt:i4>0</vt:i4>
      </vt:variant>
      <vt:variant>
        <vt:i4>5</vt:i4>
      </vt:variant>
      <vt:variant>
        <vt:lpwstr/>
      </vt:variant>
      <vt:variant>
        <vt:lpwstr>_Toc473030834</vt:lpwstr>
      </vt:variant>
      <vt:variant>
        <vt:i4>1245244</vt:i4>
      </vt:variant>
      <vt:variant>
        <vt:i4>188</vt:i4>
      </vt:variant>
      <vt:variant>
        <vt:i4>0</vt:i4>
      </vt:variant>
      <vt:variant>
        <vt:i4>5</vt:i4>
      </vt:variant>
      <vt:variant>
        <vt:lpwstr/>
      </vt:variant>
      <vt:variant>
        <vt:lpwstr>_Toc473030833</vt:lpwstr>
      </vt:variant>
      <vt:variant>
        <vt:i4>1245244</vt:i4>
      </vt:variant>
      <vt:variant>
        <vt:i4>182</vt:i4>
      </vt:variant>
      <vt:variant>
        <vt:i4>0</vt:i4>
      </vt:variant>
      <vt:variant>
        <vt:i4>5</vt:i4>
      </vt:variant>
      <vt:variant>
        <vt:lpwstr/>
      </vt:variant>
      <vt:variant>
        <vt:lpwstr>_Toc473030832</vt:lpwstr>
      </vt:variant>
      <vt:variant>
        <vt:i4>1245244</vt:i4>
      </vt:variant>
      <vt:variant>
        <vt:i4>176</vt:i4>
      </vt:variant>
      <vt:variant>
        <vt:i4>0</vt:i4>
      </vt:variant>
      <vt:variant>
        <vt:i4>5</vt:i4>
      </vt:variant>
      <vt:variant>
        <vt:lpwstr/>
      </vt:variant>
      <vt:variant>
        <vt:lpwstr>_Toc473030831</vt:lpwstr>
      </vt:variant>
      <vt:variant>
        <vt:i4>1245244</vt:i4>
      </vt:variant>
      <vt:variant>
        <vt:i4>170</vt:i4>
      </vt:variant>
      <vt:variant>
        <vt:i4>0</vt:i4>
      </vt:variant>
      <vt:variant>
        <vt:i4>5</vt:i4>
      </vt:variant>
      <vt:variant>
        <vt:lpwstr/>
      </vt:variant>
      <vt:variant>
        <vt:lpwstr>_Toc473030830</vt:lpwstr>
      </vt:variant>
      <vt:variant>
        <vt:i4>1179708</vt:i4>
      </vt:variant>
      <vt:variant>
        <vt:i4>164</vt:i4>
      </vt:variant>
      <vt:variant>
        <vt:i4>0</vt:i4>
      </vt:variant>
      <vt:variant>
        <vt:i4>5</vt:i4>
      </vt:variant>
      <vt:variant>
        <vt:lpwstr/>
      </vt:variant>
      <vt:variant>
        <vt:lpwstr>_Toc473030829</vt:lpwstr>
      </vt:variant>
      <vt:variant>
        <vt:i4>1179708</vt:i4>
      </vt:variant>
      <vt:variant>
        <vt:i4>158</vt:i4>
      </vt:variant>
      <vt:variant>
        <vt:i4>0</vt:i4>
      </vt:variant>
      <vt:variant>
        <vt:i4>5</vt:i4>
      </vt:variant>
      <vt:variant>
        <vt:lpwstr/>
      </vt:variant>
      <vt:variant>
        <vt:lpwstr>_Toc473030828</vt:lpwstr>
      </vt:variant>
      <vt:variant>
        <vt:i4>1179708</vt:i4>
      </vt:variant>
      <vt:variant>
        <vt:i4>152</vt:i4>
      </vt:variant>
      <vt:variant>
        <vt:i4>0</vt:i4>
      </vt:variant>
      <vt:variant>
        <vt:i4>5</vt:i4>
      </vt:variant>
      <vt:variant>
        <vt:lpwstr/>
      </vt:variant>
      <vt:variant>
        <vt:lpwstr>_Toc473030827</vt:lpwstr>
      </vt:variant>
      <vt:variant>
        <vt:i4>1179708</vt:i4>
      </vt:variant>
      <vt:variant>
        <vt:i4>146</vt:i4>
      </vt:variant>
      <vt:variant>
        <vt:i4>0</vt:i4>
      </vt:variant>
      <vt:variant>
        <vt:i4>5</vt:i4>
      </vt:variant>
      <vt:variant>
        <vt:lpwstr/>
      </vt:variant>
      <vt:variant>
        <vt:lpwstr>_Toc473030826</vt:lpwstr>
      </vt:variant>
      <vt:variant>
        <vt:i4>1179708</vt:i4>
      </vt:variant>
      <vt:variant>
        <vt:i4>140</vt:i4>
      </vt:variant>
      <vt:variant>
        <vt:i4>0</vt:i4>
      </vt:variant>
      <vt:variant>
        <vt:i4>5</vt:i4>
      </vt:variant>
      <vt:variant>
        <vt:lpwstr/>
      </vt:variant>
      <vt:variant>
        <vt:lpwstr>_Toc473030825</vt:lpwstr>
      </vt:variant>
      <vt:variant>
        <vt:i4>1179708</vt:i4>
      </vt:variant>
      <vt:variant>
        <vt:i4>134</vt:i4>
      </vt:variant>
      <vt:variant>
        <vt:i4>0</vt:i4>
      </vt:variant>
      <vt:variant>
        <vt:i4>5</vt:i4>
      </vt:variant>
      <vt:variant>
        <vt:lpwstr/>
      </vt:variant>
      <vt:variant>
        <vt:lpwstr>_Toc473030824</vt:lpwstr>
      </vt:variant>
      <vt:variant>
        <vt:i4>1179708</vt:i4>
      </vt:variant>
      <vt:variant>
        <vt:i4>128</vt:i4>
      </vt:variant>
      <vt:variant>
        <vt:i4>0</vt:i4>
      </vt:variant>
      <vt:variant>
        <vt:i4>5</vt:i4>
      </vt:variant>
      <vt:variant>
        <vt:lpwstr/>
      </vt:variant>
      <vt:variant>
        <vt:lpwstr>_Toc473030823</vt:lpwstr>
      </vt:variant>
      <vt:variant>
        <vt:i4>1179708</vt:i4>
      </vt:variant>
      <vt:variant>
        <vt:i4>122</vt:i4>
      </vt:variant>
      <vt:variant>
        <vt:i4>0</vt:i4>
      </vt:variant>
      <vt:variant>
        <vt:i4>5</vt:i4>
      </vt:variant>
      <vt:variant>
        <vt:lpwstr/>
      </vt:variant>
      <vt:variant>
        <vt:lpwstr>_Toc473030822</vt:lpwstr>
      </vt:variant>
      <vt:variant>
        <vt:i4>1179708</vt:i4>
      </vt:variant>
      <vt:variant>
        <vt:i4>116</vt:i4>
      </vt:variant>
      <vt:variant>
        <vt:i4>0</vt:i4>
      </vt:variant>
      <vt:variant>
        <vt:i4>5</vt:i4>
      </vt:variant>
      <vt:variant>
        <vt:lpwstr/>
      </vt:variant>
      <vt:variant>
        <vt:lpwstr>_Toc473030821</vt:lpwstr>
      </vt:variant>
      <vt:variant>
        <vt:i4>1179708</vt:i4>
      </vt:variant>
      <vt:variant>
        <vt:i4>110</vt:i4>
      </vt:variant>
      <vt:variant>
        <vt:i4>0</vt:i4>
      </vt:variant>
      <vt:variant>
        <vt:i4>5</vt:i4>
      </vt:variant>
      <vt:variant>
        <vt:lpwstr/>
      </vt:variant>
      <vt:variant>
        <vt:lpwstr>_Toc473030820</vt:lpwstr>
      </vt:variant>
      <vt:variant>
        <vt:i4>1114172</vt:i4>
      </vt:variant>
      <vt:variant>
        <vt:i4>104</vt:i4>
      </vt:variant>
      <vt:variant>
        <vt:i4>0</vt:i4>
      </vt:variant>
      <vt:variant>
        <vt:i4>5</vt:i4>
      </vt:variant>
      <vt:variant>
        <vt:lpwstr/>
      </vt:variant>
      <vt:variant>
        <vt:lpwstr>_Toc473030819</vt:lpwstr>
      </vt:variant>
      <vt:variant>
        <vt:i4>1114172</vt:i4>
      </vt:variant>
      <vt:variant>
        <vt:i4>98</vt:i4>
      </vt:variant>
      <vt:variant>
        <vt:i4>0</vt:i4>
      </vt:variant>
      <vt:variant>
        <vt:i4>5</vt:i4>
      </vt:variant>
      <vt:variant>
        <vt:lpwstr/>
      </vt:variant>
      <vt:variant>
        <vt:lpwstr>_Toc473030818</vt:lpwstr>
      </vt:variant>
      <vt:variant>
        <vt:i4>1114172</vt:i4>
      </vt:variant>
      <vt:variant>
        <vt:i4>92</vt:i4>
      </vt:variant>
      <vt:variant>
        <vt:i4>0</vt:i4>
      </vt:variant>
      <vt:variant>
        <vt:i4>5</vt:i4>
      </vt:variant>
      <vt:variant>
        <vt:lpwstr/>
      </vt:variant>
      <vt:variant>
        <vt:lpwstr>_Toc473030817</vt:lpwstr>
      </vt:variant>
      <vt:variant>
        <vt:i4>1114172</vt:i4>
      </vt:variant>
      <vt:variant>
        <vt:i4>86</vt:i4>
      </vt:variant>
      <vt:variant>
        <vt:i4>0</vt:i4>
      </vt:variant>
      <vt:variant>
        <vt:i4>5</vt:i4>
      </vt:variant>
      <vt:variant>
        <vt:lpwstr/>
      </vt:variant>
      <vt:variant>
        <vt:lpwstr>_Toc473030816</vt:lpwstr>
      </vt:variant>
      <vt:variant>
        <vt:i4>1114172</vt:i4>
      </vt:variant>
      <vt:variant>
        <vt:i4>80</vt:i4>
      </vt:variant>
      <vt:variant>
        <vt:i4>0</vt:i4>
      </vt:variant>
      <vt:variant>
        <vt:i4>5</vt:i4>
      </vt:variant>
      <vt:variant>
        <vt:lpwstr/>
      </vt:variant>
      <vt:variant>
        <vt:lpwstr>_Toc473030815</vt:lpwstr>
      </vt:variant>
      <vt:variant>
        <vt:i4>1114172</vt:i4>
      </vt:variant>
      <vt:variant>
        <vt:i4>74</vt:i4>
      </vt:variant>
      <vt:variant>
        <vt:i4>0</vt:i4>
      </vt:variant>
      <vt:variant>
        <vt:i4>5</vt:i4>
      </vt:variant>
      <vt:variant>
        <vt:lpwstr/>
      </vt:variant>
      <vt:variant>
        <vt:lpwstr>_Toc473030814</vt:lpwstr>
      </vt:variant>
      <vt:variant>
        <vt:i4>1114172</vt:i4>
      </vt:variant>
      <vt:variant>
        <vt:i4>68</vt:i4>
      </vt:variant>
      <vt:variant>
        <vt:i4>0</vt:i4>
      </vt:variant>
      <vt:variant>
        <vt:i4>5</vt:i4>
      </vt:variant>
      <vt:variant>
        <vt:lpwstr/>
      </vt:variant>
      <vt:variant>
        <vt:lpwstr>_Toc473030813</vt:lpwstr>
      </vt:variant>
      <vt:variant>
        <vt:i4>1114172</vt:i4>
      </vt:variant>
      <vt:variant>
        <vt:i4>62</vt:i4>
      </vt:variant>
      <vt:variant>
        <vt:i4>0</vt:i4>
      </vt:variant>
      <vt:variant>
        <vt:i4>5</vt:i4>
      </vt:variant>
      <vt:variant>
        <vt:lpwstr/>
      </vt:variant>
      <vt:variant>
        <vt:lpwstr>_Toc473030812</vt:lpwstr>
      </vt:variant>
      <vt:variant>
        <vt:i4>1114172</vt:i4>
      </vt:variant>
      <vt:variant>
        <vt:i4>56</vt:i4>
      </vt:variant>
      <vt:variant>
        <vt:i4>0</vt:i4>
      </vt:variant>
      <vt:variant>
        <vt:i4>5</vt:i4>
      </vt:variant>
      <vt:variant>
        <vt:lpwstr/>
      </vt:variant>
      <vt:variant>
        <vt:lpwstr>_Toc473030811</vt:lpwstr>
      </vt:variant>
      <vt:variant>
        <vt:i4>1114172</vt:i4>
      </vt:variant>
      <vt:variant>
        <vt:i4>50</vt:i4>
      </vt:variant>
      <vt:variant>
        <vt:i4>0</vt:i4>
      </vt:variant>
      <vt:variant>
        <vt:i4>5</vt:i4>
      </vt:variant>
      <vt:variant>
        <vt:lpwstr/>
      </vt:variant>
      <vt:variant>
        <vt:lpwstr>_Toc473030810</vt:lpwstr>
      </vt:variant>
      <vt:variant>
        <vt:i4>1048636</vt:i4>
      </vt:variant>
      <vt:variant>
        <vt:i4>44</vt:i4>
      </vt:variant>
      <vt:variant>
        <vt:i4>0</vt:i4>
      </vt:variant>
      <vt:variant>
        <vt:i4>5</vt:i4>
      </vt:variant>
      <vt:variant>
        <vt:lpwstr/>
      </vt:variant>
      <vt:variant>
        <vt:lpwstr>_Toc473030809</vt:lpwstr>
      </vt:variant>
      <vt:variant>
        <vt:i4>1048636</vt:i4>
      </vt:variant>
      <vt:variant>
        <vt:i4>38</vt:i4>
      </vt:variant>
      <vt:variant>
        <vt:i4>0</vt:i4>
      </vt:variant>
      <vt:variant>
        <vt:i4>5</vt:i4>
      </vt:variant>
      <vt:variant>
        <vt:lpwstr/>
      </vt:variant>
      <vt:variant>
        <vt:lpwstr>_Toc473030808</vt:lpwstr>
      </vt:variant>
      <vt:variant>
        <vt:i4>1048636</vt:i4>
      </vt:variant>
      <vt:variant>
        <vt:i4>32</vt:i4>
      </vt:variant>
      <vt:variant>
        <vt:i4>0</vt:i4>
      </vt:variant>
      <vt:variant>
        <vt:i4>5</vt:i4>
      </vt:variant>
      <vt:variant>
        <vt:lpwstr/>
      </vt:variant>
      <vt:variant>
        <vt:lpwstr>_Toc473030807</vt:lpwstr>
      </vt:variant>
      <vt:variant>
        <vt:i4>1048636</vt:i4>
      </vt:variant>
      <vt:variant>
        <vt:i4>26</vt:i4>
      </vt:variant>
      <vt:variant>
        <vt:i4>0</vt:i4>
      </vt:variant>
      <vt:variant>
        <vt:i4>5</vt:i4>
      </vt:variant>
      <vt:variant>
        <vt:lpwstr/>
      </vt:variant>
      <vt:variant>
        <vt:lpwstr>_Toc473030806</vt:lpwstr>
      </vt:variant>
      <vt:variant>
        <vt:i4>1048636</vt:i4>
      </vt:variant>
      <vt:variant>
        <vt:i4>20</vt:i4>
      </vt:variant>
      <vt:variant>
        <vt:i4>0</vt:i4>
      </vt:variant>
      <vt:variant>
        <vt:i4>5</vt:i4>
      </vt:variant>
      <vt:variant>
        <vt:lpwstr/>
      </vt:variant>
      <vt:variant>
        <vt:lpwstr>_Toc473030805</vt:lpwstr>
      </vt:variant>
      <vt:variant>
        <vt:i4>1048636</vt:i4>
      </vt:variant>
      <vt:variant>
        <vt:i4>14</vt:i4>
      </vt:variant>
      <vt:variant>
        <vt:i4>0</vt:i4>
      </vt:variant>
      <vt:variant>
        <vt:i4>5</vt:i4>
      </vt:variant>
      <vt:variant>
        <vt:lpwstr/>
      </vt:variant>
      <vt:variant>
        <vt:lpwstr>_Toc473030804</vt:lpwstr>
      </vt:variant>
      <vt:variant>
        <vt:i4>1048636</vt:i4>
      </vt:variant>
      <vt:variant>
        <vt:i4>8</vt:i4>
      </vt:variant>
      <vt:variant>
        <vt:i4>0</vt:i4>
      </vt:variant>
      <vt:variant>
        <vt:i4>5</vt:i4>
      </vt:variant>
      <vt:variant>
        <vt:lpwstr/>
      </vt:variant>
      <vt:variant>
        <vt:lpwstr>_Toc473030803</vt:lpwstr>
      </vt:variant>
      <vt:variant>
        <vt:i4>1048636</vt:i4>
      </vt:variant>
      <vt:variant>
        <vt:i4>2</vt:i4>
      </vt:variant>
      <vt:variant>
        <vt:i4>0</vt:i4>
      </vt:variant>
      <vt:variant>
        <vt:i4>5</vt:i4>
      </vt:variant>
      <vt:variant>
        <vt:lpwstr/>
      </vt:variant>
      <vt:variant>
        <vt:lpwstr>_Toc473030802</vt:lpwstr>
      </vt:variant>
      <vt:variant>
        <vt:i4>7667809</vt:i4>
      </vt:variant>
      <vt:variant>
        <vt:i4>9</vt:i4>
      </vt:variant>
      <vt:variant>
        <vt:i4>0</vt:i4>
      </vt:variant>
      <vt:variant>
        <vt:i4>5</vt:i4>
      </vt:variant>
      <vt:variant>
        <vt:lpwstr>http://www.cil.nus.edu.sg/</vt:lpwstr>
      </vt:variant>
      <vt:variant>
        <vt:lpwstr/>
      </vt:variant>
      <vt:variant>
        <vt:i4>7667809</vt:i4>
      </vt:variant>
      <vt:variant>
        <vt:i4>0</vt:i4>
      </vt:variant>
      <vt:variant>
        <vt:i4>0</vt:i4>
      </vt:variant>
      <vt:variant>
        <vt:i4>5</vt:i4>
      </vt:variant>
      <vt:variant>
        <vt:lpwstr>http://www.cil.nus.edu.sg/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Foo Cher Li Yvette</cp:lastModifiedBy>
  <cp:revision>5</cp:revision>
  <cp:lastPrinted>2019-01-29T09:08:00Z</cp:lastPrinted>
  <dcterms:created xsi:type="dcterms:W3CDTF">2026-02-20T06:58:00Z</dcterms:created>
  <dcterms:modified xsi:type="dcterms:W3CDTF">2026-02-20T06:58:00Z</dcterms:modified>
</cp:coreProperties>
</file>