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391" w14:textId="40AAC345" w:rsidR="00E423E4" w:rsidRDefault="00452F50" w:rsidP="00CD6026">
      <w:pPr>
        <w:pStyle w:val="CILTitle"/>
      </w:pPr>
      <w:r>
        <w:t xml:space="preserve">2025 </w:t>
      </w:r>
      <w:r w:rsidRPr="00452F50">
        <w:rPr>
          <w:lang w:val="en-US"/>
        </w:rPr>
        <w:t xml:space="preserve">SECOND PROTOCOL TO AMEND THE </w:t>
      </w:r>
      <w:r>
        <w:rPr>
          <w:lang w:val="en-US"/>
        </w:rPr>
        <w:br/>
      </w:r>
      <w:r w:rsidRPr="00452F50">
        <w:rPr>
          <w:lang w:val="en-US"/>
        </w:rPr>
        <w:t>ASEAN TRADE IN GOODS AGREEMENT</w:t>
      </w:r>
    </w:p>
    <w:p w14:paraId="3CE14B84" w14:textId="6CC595AA" w:rsidR="00CD6026" w:rsidRDefault="00452F50" w:rsidP="00CD6026">
      <w:pPr>
        <w:pStyle w:val="CILSubtitle"/>
      </w:pPr>
      <w:r>
        <w:t xml:space="preserve">Adopted in </w:t>
      </w:r>
      <w:r w:rsidR="00123DF2" w:rsidRPr="00123DF2">
        <w:t>Kuala Lumpur, Malaysia</w:t>
      </w:r>
      <w:r w:rsidR="00123DF2">
        <w:t xml:space="preserve"> </w:t>
      </w:r>
      <w:r>
        <w:t xml:space="preserve">on </w:t>
      </w:r>
      <w:r w:rsidR="00123DF2">
        <w:t>1 December 2025</w:t>
      </w:r>
    </w:p>
    <w:p w14:paraId="458B95DD" w14:textId="1ADDD3D0" w:rsidR="003825FB" w:rsidRDefault="003825FB" w:rsidP="003825FB">
      <w:r w:rsidRPr="003825FB">
        <w:t xml:space="preserve">The Governments of Brunei Darussalam, the Kingdom of Cambodia, the Republic of Indonesia, the </w:t>
      </w:r>
      <w:r w:rsidR="00123DF2">
        <w:br/>
      </w:r>
      <w:r w:rsidRPr="003825FB">
        <w:t xml:space="preserve">Lao People’s Democratic Republic, Malaysia, the Republic of the Union of Myanmar, the Republic of the Philippines, the Republic of Singapore, the Kingdom of Thailand, and the Socialist Republic of </w:t>
      </w:r>
      <w:r w:rsidR="00123DF2">
        <w:br/>
      </w:r>
      <w:r w:rsidRPr="003825FB">
        <w:t xml:space="preserve">Viet Nam, Member States of the Association of Southeast Asian Nations (ASEAN) (hereinafter collectively referred to as “Member States” or singularly as “Member State”); </w:t>
      </w:r>
    </w:p>
    <w:p w14:paraId="7EEAB84B" w14:textId="77777777" w:rsidR="003825FB" w:rsidRDefault="003825FB" w:rsidP="003825FB">
      <w:r w:rsidRPr="003825FB">
        <w:rPr>
          <w:b/>
          <w:bCs/>
        </w:rPr>
        <w:t>RECALLING</w:t>
      </w:r>
      <w:r w:rsidRPr="003825FB">
        <w:t xml:space="preserve"> the ASEAN Trade in Goods Agreement done at Cha-am, Thailand on 26 February 2009, as amended by the First Protocol to Amend the ASEAN Trade in Goods Agreement done at Ha Noi, Viet Nam on 22 January 2019 (hereinafter referred to as the “Agreement”); </w:t>
      </w:r>
    </w:p>
    <w:p w14:paraId="43451826" w14:textId="4B1390D4" w:rsidR="003825FB" w:rsidRDefault="003825FB" w:rsidP="003825FB">
      <w:r w:rsidRPr="003825FB">
        <w:rPr>
          <w:b/>
          <w:bCs/>
        </w:rPr>
        <w:t>MINDFUL</w:t>
      </w:r>
      <w:r w:rsidRPr="003825FB">
        <w:t xml:space="preserve"> of the ASEAN Economic Community Blueprint 2025 adopted by the ASEAN Leaders in </w:t>
      </w:r>
      <w:r w:rsidR="00123DF2">
        <w:br/>
      </w:r>
      <w:r w:rsidRPr="003825FB">
        <w:t xml:space="preserve">Kuala Lumpur, Malaysia on 22 November 2015; </w:t>
      </w:r>
    </w:p>
    <w:p w14:paraId="5CD244E4" w14:textId="77777777" w:rsidR="003825FB" w:rsidRDefault="003825FB" w:rsidP="003825FB">
      <w:r w:rsidRPr="003825FB">
        <w:rPr>
          <w:b/>
          <w:bCs/>
        </w:rPr>
        <w:t>DESIRING</w:t>
      </w:r>
      <w:r w:rsidRPr="003825FB">
        <w:t xml:space="preserve"> to enhance the provisions of the Agreement to bring down the barriers that remain, further contribute to greater free flow of goods in intra-regional trade, increase trade and investment, contribute to deepening and broadening the trade and economic relationship between the Member States, support the ASEAN objectives of narrowing development gap, and respond to the evolving regional and global economic architecture;</w:t>
      </w:r>
    </w:p>
    <w:p w14:paraId="50C1F6E9" w14:textId="77777777" w:rsidR="003825FB" w:rsidRDefault="003825FB" w:rsidP="003825FB">
      <w:r w:rsidRPr="003825FB">
        <w:rPr>
          <w:b/>
          <w:bCs/>
        </w:rPr>
        <w:t>RECOGNISING</w:t>
      </w:r>
      <w:r w:rsidRPr="003825FB">
        <w:t xml:space="preserve"> that micro, small, and medium enterprises contribute significantly to economic prosperity, employment, community development, and innovation; </w:t>
      </w:r>
    </w:p>
    <w:p w14:paraId="393A2C8B" w14:textId="77777777" w:rsidR="003825FB" w:rsidRDefault="003825FB" w:rsidP="003825FB">
      <w:r w:rsidRPr="003825FB">
        <w:rPr>
          <w:b/>
          <w:bCs/>
        </w:rPr>
        <w:t>SEEKING</w:t>
      </w:r>
      <w:r w:rsidRPr="003825FB">
        <w:t xml:space="preserve"> to ensure that the quality, relevance, and centrality of the Agreement are enhanced in light of the ASEAN Plus Free Trade Agreements that have entered into force since the Agreement; </w:t>
      </w:r>
    </w:p>
    <w:p w14:paraId="2CA5A7A8" w14:textId="77777777" w:rsidR="003825FB" w:rsidRDefault="003825FB" w:rsidP="003825FB">
      <w:r w:rsidRPr="003825FB">
        <w:rPr>
          <w:b/>
          <w:bCs/>
        </w:rPr>
        <w:t>NOTING</w:t>
      </w:r>
      <w:r w:rsidRPr="003825FB">
        <w:t xml:space="preserve"> that paragraph 1 of Article 94 (Amendments) of the Agreement provides that the provisions of the Agreement may be modified through amendments mutually agreed upon in writing by the Member States, </w:t>
      </w:r>
    </w:p>
    <w:p w14:paraId="0C49B736" w14:textId="77777777" w:rsidR="003825FB" w:rsidRPr="003825FB" w:rsidRDefault="003825FB" w:rsidP="003825FB">
      <w:pPr>
        <w:rPr>
          <w:b/>
          <w:bCs/>
        </w:rPr>
      </w:pPr>
      <w:r w:rsidRPr="003825FB">
        <w:rPr>
          <w:b/>
          <w:bCs/>
        </w:rPr>
        <w:t xml:space="preserve">HAVE AGREED AS FOLLOWS: </w:t>
      </w:r>
    </w:p>
    <w:p w14:paraId="2B86FBDA" w14:textId="249208C3" w:rsidR="003825FB" w:rsidRDefault="003825FB" w:rsidP="003825FB">
      <w:pPr>
        <w:pStyle w:val="Heading2"/>
      </w:pPr>
      <w:r w:rsidRPr="003825FB">
        <w:t xml:space="preserve">Article 1 </w:t>
      </w:r>
      <w:r>
        <w:br/>
      </w:r>
      <w:r w:rsidRPr="003825FB">
        <w:t>Amendment to the Agreement</w:t>
      </w:r>
    </w:p>
    <w:p w14:paraId="0D2B48A3" w14:textId="77777777" w:rsidR="003825FB" w:rsidRDefault="003825FB" w:rsidP="003825FB">
      <w:pPr>
        <w:pStyle w:val="ListParagraph"/>
        <w:numPr>
          <w:ilvl w:val="0"/>
          <w:numId w:val="13"/>
        </w:numPr>
      </w:pPr>
      <w:r w:rsidRPr="003825FB">
        <w:t xml:space="preserve">In accordance with paragraph 1 of Article 94 (Amendments) of the Agreement, Member States have agreed to amend the Agreement on the terms set out in the Appendix to this Protocol. </w:t>
      </w:r>
    </w:p>
    <w:p w14:paraId="7B9ED5F4" w14:textId="77777777" w:rsidR="003825FB" w:rsidRDefault="003825FB" w:rsidP="003825FB">
      <w:pPr>
        <w:pStyle w:val="ListParagraph"/>
        <w:ind w:left="360"/>
      </w:pPr>
    </w:p>
    <w:p w14:paraId="0EF66080" w14:textId="78F73B94" w:rsidR="003825FB" w:rsidRDefault="003825FB" w:rsidP="003825FB">
      <w:pPr>
        <w:pStyle w:val="ListParagraph"/>
        <w:numPr>
          <w:ilvl w:val="0"/>
          <w:numId w:val="13"/>
        </w:numPr>
      </w:pPr>
      <w:r w:rsidRPr="003825FB">
        <w:t>This Protocol shall form an integral part of the Agreement.</w:t>
      </w:r>
    </w:p>
    <w:p w14:paraId="73B27A2E" w14:textId="36119E3E" w:rsidR="003825FB" w:rsidRDefault="003825FB" w:rsidP="003825FB">
      <w:pPr>
        <w:pStyle w:val="Heading2"/>
      </w:pPr>
      <w:r>
        <w:t>Article 2</w:t>
      </w:r>
      <w:r>
        <w:br/>
      </w:r>
      <w:r>
        <w:t>Entry into Force</w:t>
      </w:r>
    </w:p>
    <w:p w14:paraId="3A63B029" w14:textId="77777777" w:rsidR="003825FB" w:rsidRDefault="003825FB" w:rsidP="003825FB">
      <w:pPr>
        <w:pStyle w:val="ListParagraph"/>
        <w:numPr>
          <w:ilvl w:val="0"/>
          <w:numId w:val="14"/>
        </w:numPr>
      </w:pPr>
      <w:r w:rsidRPr="003825FB">
        <w:t xml:space="preserve">This Protocol shall enter into force 18 months after the date of its signature. </w:t>
      </w:r>
    </w:p>
    <w:p w14:paraId="043D70DE" w14:textId="77777777" w:rsidR="003825FB" w:rsidRDefault="003825FB" w:rsidP="003825FB">
      <w:pPr>
        <w:pStyle w:val="ListParagraph"/>
        <w:ind w:left="360"/>
      </w:pPr>
    </w:p>
    <w:p w14:paraId="65F245DC" w14:textId="77777777" w:rsidR="003825FB" w:rsidRDefault="003825FB" w:rsidP="003825FB">
      <w:pPr>
        <w:pStyle w:val="ListParagraph"/>
        <w:numPr>
          <w:ilvl w:val="0"/>
          <w:numId w:val="14"/>
        </w:numPr>
      </w:pPr>
      <w:r w:rsidRPr="003825FB">
        <w:t xml:space="preserve">A Member State shall, within 18 months after the date of signature of this Protocol, notify in writing or, where </w:t>
      </w:r>
      <w:proofErr w:type="gramStart"/>
      <w:r w:rsidRPr="003825FB">
        <w:t>necessary</w:t>
      </w:r>
      <w:proofErr w:type="gramEnd"/>
      <w:r>
        <w:t xml:space="preserve"> </w:t>
      </w:r>
      <w:r w:rsidRPr="003825FB">
        <w:t xml:space="preserve">deposit its instrument of ratification, acceptance, or approval with the Secretary-General of ASEAN upon completion of its internal procedures. </w:t>
      </w:r>
    </w:p>
    <w:p w14:paraId="1A6EE8C2" w14:textId="77777777" w:rsidR="003825FB" w:rsidRDefault="003825FB" w:rsidP="003825FB">
      <w:pPr>
        <w:pStyle w:val="ListParagraph"/>
      </w:pPr>
    </w:p>
    <w:p w14:paraId="020CF75C" w14:textId="7AD8B059" w:rsidR="003825FB" w:rsidRDefault="003825FB" w:rsidP="003825FB">
      <w:pPr>
        <w:pStyle w:val="ListParagraph"/>
        <w:numPr>
          <w:ilvl w:val="0"/>
          <w:numId w:val="14"/>
        </w:numPr>
      </w:pPr>
      <w:r w:rsidRPr="003825FB">
        <w:t xml:space="preserve">In exceptional circumstances, where a Member State is unable to notify in writing the completion of its internal procedures or, where necessary, deposit its instrument of ratification, acceptance, or approval within 18 months after the date of signing of this Protocol in accordance with paragraph 2, the rights and obligations of that Member State under this Protocol shall commence on the date specified in the Member State’s notification in writing of the completion of its internal procedures or deposit of its instrument of ratification, acceptance, or approval (as the case may be) to the Secretary-General of ASEAN, which shall be no later than 45 days from the date of receipt of such notification or deposit of instrument of ratification, acceptance, or approval. </w:t>
      </w:r>
    </w:p>
    <w:p w14:paraId="467A35E0" w14:textId="77777777" w:rsidR="003825FB" w:rsidRDefault="003825FB" w:rsidP="003825FB">
      <w:pPr>
        <w:pStyle w:val="ListParagraph"/>
      </w:pPr>
    </w:p>
    <w:p w14:paraId="35FD4049" w14:textId="2D0A5FE1" w:rsidR="003825FB" w:rsidRDefault="003825FB" w:rsidP="003825FB">
      <w:pPr>
        <w:pStyle w:val="ListParagraph"/>
        <w:numPr>
          <w:ilvl w:val="0"/>
          <w:numId w:val="14"/>
        </w:numPr>
      </w:pPr>
      <w:r w:rsidRPr="003825FB">
        <w:t>The Secretary-General of ASEAN shall promptly notify Member States of each notification or deposit of the instrument of ratification, acceptance, or approval referred to in paragraphs 2 and 3.</w:t>
      </w:r>
    </w:p>
    <w:p w14:paraId="1BFA6A79" w14:textId="601041AA" w:rsidR="003825FB" w:rsidRDefault="003825FB" w:rsidP="003825FB">
      <w:pPr>
        <w:pStyle w:val="Heading2"/>
      </w:pPr>
      <w:r w:rsidRPr="003825FB">
        <w:t xml:space="preserve">Article 3 </w:t>
      </w:r>
      <w:r>
        <w:br/>
      </w:r>
      <w:r w:rsidRPr="003825FB">
        <w:t xml:space="preserve">Depositary </w:t>
      </w:r>
    </w:p>
    <w:p w14:paraId="1732ABF3" w14:textId="77777777" w:rsidR="003825FB" w:rsidRDefault="003825FB" w:rsidP="003825FB">
      <w:r w:rsidRPr="003825FB">
        <w:t xml:space="preserve">This Protocol shall be deposited with the Secretary-General of ASEAN who shall promptly furnish a certified copy thereof to each Member State. </w:t>
      </w:r>
    </w:p>
    <w:p w14:paraId="072763BB" w14:textId="77777777" w:rsidR="003825FB" w:rsidRDefault="003825FB" w:rsidP="003825FB"/>
    <w:p w14:paraId="3F6E485A" w14:textId="6AB4050D" w:rsidR="003825FB" w:rsidRDefault="003825FB" w:rsidP="003825FB">
      <w:r w:rsidRPr="003825FB">
        <w:rPr>
          <w:b/>
          <w:bCs/>
        </w:rPr>
        <w:t>IN WITNESS WHEREOF</w:t>
      </w:r>
      <w:r w:rsidRPr="003825FB">
        <w:t xml:space="preserve">, the undersigned, being duly </w:t>
      </w:r>
      <w:proofErr w:type="spellStart"/>
      <w:r w:rsidRPr="003825FB">
        <w:t>authorised</w:t>
      </w:r>
      <w:proofErr w:type="spellEnd"/>
      <w:r w:rsidRPr="003825FB">
        <w:t xml:space="preserve"> by their respective Governments, have signed the Second Protocol to Amend the ASEAN Trade in Goods Agreement.</w:t>
      </w:r>
    </w:p>
    <w:p w14:paraId="7E24FDF1" w14:textId="21914B2D" w:rsidR="003825FB" w:rsidRPr="003825FB" w:rsidRDefault="003825FB" w:rsidP="003825FB">
      <w:r w:rsidRPr="003825FB">
        <w:rPr>
          <w:b/>
          <w:bCs/>
        </w:rPr>
        <w:t>DONE</w:t>
      </w:r>
      <w:r w:rsidRPr="003825FB">
        <w:t xml:space="preserve"> at Kuala Lumpur, Malaysia, this First Day of December in the Year Two Thousand and Twenty-Five, in a single original copy in the English Language.</w:t>
      </w:r>
    </w:p>
    <w:sectPr w:rsidR="003825FB" w:rsidRPr="003825FB"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AB16" w14:textId="77777777" w:rsidR="00AA185C" w:rsidRDefault="00AA185C" w:rsidP="00F61B4F">
      <w:pPr>
        <w:spacing w:before="0" w:after="0" w:line="240" w:lineRule="auto"/>
      </w:pPr>
      <w:r>
        <w:separator/>
      </w:r>
    </w:p>
  </w:endnote>
  <w:endnote w:type="continuationSeparator" w:id="0">
    <w:p w14:paraId="56D70539" w14:textId="77777777" w:rsidR="00AA185C" w:rsidRDefault="00AA185C"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7411" w14:textId="77777777" w:rsidR="00B532E2" w:rsidRDefault="00B532E2" w:rsidP="00F61B4F">
    <w:pPr>
      <w:pStyle w:val="Footer"/>
      <w:tabs>
        <w:tab w:val="clear" w:pos="9360"/>
        <w:tab w:val="right" w:pos="8931"/>
      </w:tabs>
      <w:jc w:val="right"/>
    </w:pPr>
  </w:p>
  <w:p w14:paraId="05D59FC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7EF6" w14:textId="77777777" w:rsidR="00B532E2" w:rsidRDefault="00B532E2" w:rsidP="00F61B4F">
    <w:pPr>
      <w:pStyle w:val="Footer"/>
      <w:tabs>
        <w:tab w:val="clear" w:pos="9360"/>
        <w:tab w:val="right" w:pos="8931"/>
      </w:tabs>
      <w:jc w:val="right"/>
    </w:pPr>
  </w:p>
  <w:p w14:paraId="3B668FA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30F8" w14:textId="77777777" w:rsidR="00AA185C" w:rsidRDefault="00AA185C" w:rsidP="00F61B4F">
      <w:pPr>
        <w:spacing w:before="0" w:after="0" w:line="240" w:lineRule="auto"/>
      </w:pPr>
      <w:r>
        <w:separator/>
      </w:r>
    </w:p>
  </w:footnote>
  <w:footnote w:type="continuationSeparator" w:id="0">
    <w:p w14:paraId="00AFDB7A" w14:textId="77777777" w:rsidR="00AA185C" w:rsidRDefault="00AA185C"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3FFA" w14:textId="453A61BD" w:rsidR="00B532E2" w:rsidRPr="00CD6026" w:rsidRDefault="003825FB" w:rsidP="00CD6026">
    <w:pPr>
      <w:pStyle w:val="Header"/>
      <w:pBdr>
        <w:bottom w:val="single" w:sz="4" w:space="1" w:color="auto"/>
      </w:pBdr>
      <w:rPr>
        <w:rFonts w:cs="Arial"/>
        <w:caps/>
        <w:color w:val="808080"/>
        <w:sz w:val="16"/>
        <w:szCs w:val="16"/>
      </w:rPr>
    </w:pPr>
    <w:r>
      <w:rPr>
        <w:rFonts w:cs="Arial"/>
        <w:caps/>
        <w:color w:val="808080"/>
        <w:sz w:val="16"/>
        <w:szCs w:val="16"/>
      </w:rPr>
      <w:t>2025 SECOND PROTOCOL TO AMEND ATIGA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F2014"/>
    <w:multiLevelType w:val="hybridMultilevel"/>
    <w:tmpl w:val="C2AA743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A0DFA"/>
    <w:multiLevelType w:val="hybridMultilevel"/>
    <w:tmpl w:val="DFBCC25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3"/>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17135234">
    <w:abstractNumId w:val="10"/>
  </w:num>
  <w:num w:numId="14" w16cid:durableId="8168079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50"/>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3DF2"/>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25FB"/>
    <w:rsid w:val="00384CCD"/>
    <w:rsid w:val="00386AC0"/>
    <w:rsid w:val="003870B6"/>
    <w:rsid w:val="0039419F"/>
    <w:rsid w:val="00394375"/>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2F50"/>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185C"/>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FCEBD"/>
  <w15:docId w15:val="{7AFC5E09-B1D3-4696-B4B9-CBF0D3BD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foo\Documents\Database%20Work\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5</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2019-01-29T09:08:00Z</cp:lastPrinted>
  <dcterms:created xsi:type="dcterms:W3CDTF">2026-04-27T05:31:00Z</dcterms:created>
  <dcterms:modified xsi:type="dcterms:W3CDTF">2026-04-27T05:37:00Z</dcterms:modified>
</cp:coreProperties>
</file>