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68803" w14:textId="7238B0DB" w:rsidR="00E423E4" w:rsidRDefault="00895F7F" w:rsidP="00895F7F">
      <w:pPr>
        <w:pStyle w:val="CILTitle"/>
      </w:pPr>
      <w:r>
        <w:t xml:space="preserve">2025 JOINT STATEMENT OF THE </w:t>
      </w:r>
      <w:r w:rsidR="00600B60">
        <w:br/>
      </w:r>
      <w:r>
        <w:t>ASSOCIATION OF SOUTHEASt ASIAN NATIONS</w:t>
      </w:r>
      <w:r w:rsidR="0055418F">
        <w:t xml:space="preserve"> </w:t>
      </w:r>
      <w:r>
        <w:t xml:space="preserve">FOR THE </w:t>
      </w:r>
      <w:r>
        <w:br/>
        <w:t>GLOBAL PLATFORM FOR DISASTER RISK REDUCTION</w:t>
      </w:r>
    </w:p>
    <w:p w14:paraId="28907461" w14:textId="29192F55" w:rsidR="00DF288A" w:rsidRDefault="00895F7F" w:rsidP="00895F7F">
      <w:pPr>
        <w:pStyle w:val="CILSubtitle"/>
      </w:pPr>
      <w:r>
        <w:t>Adopted</w:t>
      </w:r>
      <w:r w:rsidR="00CD6026">
        <w:t xml:space="preserve"> in </w:t>
      </w:r>
      <w:r w:rsidRPr="00895F7F">
        <w:t>Geneva, Switzerland</w:t>
      </w:r>
      <w:r w:rsidR="00CD6026">
        <w:t xml:space="preserve"> on </w:t>
      </w:r>
      <w:r w:rsidR="00437B87">
        <w:t>5</w:t>
      </w:r>
      <w:r>
        <w:t xml:space="preserve"> June 2025</w:t>
      </w:r>
    </w:p>
    <w:p w14:paraId="182DB771" w14:textId="77777777" w:rsidR="00895F7F" w:rsidRDefault="00895F7F" w:rsidP="00895F7F">
      <w:pPr>
        <w:pStyle w:val="CILSubtitle"/>
        <w:spacing w:before="0" w:after="0"/>
      </w:pPr>
    </w:p>
    <w:p w14:paraId="2ED61156" w14:textId="081E32B2" w:rsidR="00895F7F" w:rsidRDefault="00895F7F" w:rsidP="00895F7F">
      <w:pPr>
        <w:pStyle w:val="ListParagraph"/>
        <w:numPr>
          <w:ilvl w:val="0"/>
          <w:numId w:val="14"/>
        </w:numPr>
        <w:spacing w:before="0" w:after="0"/>
      </w:pPr>
      <w:r>
        <w:t xml:space="preserve">We, Brunei Darussalam, the Kingdom of Cambodia, the Republic of Indonesia, the Lao People’s Democratic Republic, Malaysia, the Republic of the Union of Myanmar, the Republic of the Philippines, the Republic of Singapore, the Kingdom of Thailand, and the Socialist Republic of Viet Nam, stand united as One ASEAN on the occasion of the eighth session of the Global Platform for Disaster Risk Reduction 2025 (GPDRR 2025), in Geneva, Switzerland. </w:t>
      </w:r>
    </w:p>
    <w:p w14:paraId="6563DB18" w14:textId="76805EB0" w:rsidR="00895F7F" w:rsidRDefault="00895F7F" w:rsidP="00895F7F">
      <w:pPr>
        <w:spacing w:before="0" w:after="0"/>
        <w:ind w:firstLine="60"/>
      </w:pPr>
    </w:p>
    <w:p w14:paraId="42D9132B" w14:textId="35BD902E" w:rsidR="00895F7F" w:rsidRDefault="00895F7F" w:rsidP="00895F7F">
      <w:pPr>
        <w:pStyle w:val="ListParagraph"/>
        <w:numPr>
          <w:ilvl w:val="0"/>
          <w:numId w:val="14"/>
        </w:numPr>
        <w:spacing w:before="0" w:after="0"/>
      </w:pPr>
      <w:r>
        <w:t xml:space="preserve">We reaffirm our strong commitment to the full and effective implementation of the Sendai Framework for Disaster Risk Reduction (SFDRR) 2015-2030, including through the Asia-Pacific Action Plan 2021-2024. In line with the theme of the Global Platform for Disaster Risk Reduction (GPDRR) 2025 “Every Day Counts: Act for Resilience Today,” we are committed to accelerating efforts in building a disaster-resilient ASEAN Community by advancing the implementation of the ASEAN Agreement on Disaster Management and Emergency Response (AADMER) and AADMER Work Programme 2021-2025, which is aligned with the SFDRR. As we are developing the AADMER Work Programme 2026-2030, we remain committed to ensuring its continued alignment with the SFDRR. </w:t>
      </w:r>
    </w:p>
    <w:p w14:paraId="1CC11E3B" w14:textId="52E49F0E" w:rsidR="00895F7F" w:rsidRDefault="00895F7F" w:rsidP="00895F7F">
      <w:pPr>
        <w:spacing w:before="0" w:after="0"/>
        <w:ind w:firstLine="60"/>
      </w:pPr>
    </w:p>
    <w:p w14:paraId="318C9B0B" w14:textId="27B6B913" w:rsidR="00895F7F" w:rsidRDefault="00895F7F" w:rsidP="00895F7F">
      <w:pPr>
        <w:pStyle w:val="ListParagraph"/>
        <w:numPr>
          <w:ilvl w:val="0"/>
          <w:numId w:val="14"/>
        </w:numPr>
        <w:spacing w:before="0" w:after="0"/>
      </w:pPr>
      <w:r>
        <w:t xml:space="preserve">In line with the ASEAN Community Vision 2045 and the ASEAN Socio-Cultural Community (ASCC) Strategic Plan and Malaysia’s ASEAN Chairmanship theme, “Inclusivity and Sustainability,” we underscore the continued importance of implementing key ASEAN strategic frameworks to enhance inclusive and sustainable disaster resilience. These include the Declaration on </w:t>
      </w:r>
      <w:proofErr w:type="spellStart"/>
      <w:r>
        <w:t>Institutionalising</w:t>
      </w:r>
      <w:proofErr w:type="spellEnd"/>
      <w:r>
        <w:t xml:space="preserve"> the Resilience of ASEAN and its Communities and Peoples to Disasters and Climate Change, the Bandar Seri Begawan Declaration on the Strategic and Holistic Initiative to Link ASEAN Responses to Emergencies and Disasters (ASEAN SHIELD), ASEAN Leaders’ Declaration on Sustainable Resilience, the Ha Long Ministerial Statement on Strengthening ASEAN Anticipatory Actions in Disaster Management, and the ASEAN Ministerial Declaration on Building a Resilient ASEAN through Inclusive and Sustainable Disaster Recovery.  </w:t>
      </w:r>
    </w:p>
    <w:p w14:paraId="7A24D128" w14:textId="3BCEBD35" w:rsidR="00895F7F" w:rsidRDefault="00895F7F" w:rsidP="00895F7F">
      <w:pPr>
        <w:spacing w:before="0" w:after="0"/>
        <w:ind w:firstLine="60"/>
      </w:pPr>
    </w:p>
    <w:p w14:paraId="7178D567" w14:textId="053D7D17" w:rsidR="00895F7F" w:rsidRDefault="00895F7F" w:rsidP="00895F7F">
      <w:pPr>
        <w:pStyle w:val="ListParagraph"/>
        <w:numPr>
          <w:ilvl w:val="0"/>
          <w:numId w:val="14"/>
        </w:numPr>
        <w:spacing w:before="0" w:after="0"/>
      </w:pPr>
      <w:r>
        <w:t xml:space="preserve">We recognise the significance of the year 2025, as it marks the 20 Years of the ASEAN Agreement on Disaster Management and Emergency Response (AADMER), signed on 26 July 2005, in Vientiane, Lao PDR. Over the past two decades, ASEAN has achieved key milestones in strengthening disaster management, while also accumulating valuable knowledge, experiences, good practices, and lessons learned. In line with the theme of Cambodia’s ASEAN Ministerial Meeting on Disaster Management (AMMDM) and ASEAN Committee on Disaster Management (ACDM) Chairmanship, “20 Years of AADMER: ASEAN’s Vision for Global Leadership in Disaster Resilience,” ASEAN remains committed to fostering closer partnerships and collaboration with the international community to share and exchange our knowledge, experience, good practices and lessons learned, thus contributing to enhancing disaster resilience at the global level. </w:t>
      </w:r>
    </w:p>
    <w:p w14:paraId="439FC395" w14:textId="4E5C696B" w:rsidR="00895F7F" w:rsidRDefault="00895F7F" w:rsidP="00895F7F">
      <w:pPr>
        <w:spacing w:before="0" w:after="0"/>
        <w:ind w:firstLine="60"/>
      </w:pPr>
    </w:p>
    <w:p w14:paraId="3227B3D5" w14:textId="77777777" w:rsidR="000035F3" w:rsidRDefault="000035F3" w:rsidP="00895F7F">
      <w:pPr>
        <w:spacing w:before="0" w:after="0"/>
        <w:ind w:firstLine="60"/>
      </w:pPr>
    </w:p>
    <w:p w14:paraId="2C4F30F1" w14:textId="77777777" w:rsidR="000035F3" w:rsidRDefault="000035F3" w:rsidP="00895F7F">
      <w:pPr>
        <w:spacing w:before="0" w:after="0"/>
        <w:ind w:firstLine="60"/>
      </w:pPr>
    </w:p>
    <w:p w14:paraId="4FF0073A" w14:textId="77777777" w:rsidR="000035F3" w:rsidRDefault="000035F3" w:rsidP="00895F7F">
      <w:pPr>
        <w:spacing w:before="0" w:after="0"/>
        <w:ind w:firstLine="60"/>
      </w:pPr>
    </w:p>
    <w:p w14:paraId="631F0C02" w14:textId="4A4500F7" w:rsidR="00895F7F" w:rsidRDefault="00895F7F" w:rsidP="00895F7F">
      <w:pPr>
        <w:pStyle w:val="ListParagraph"/>
        <w:numPr>
          <w:ilvl w:val="0"/>
          <w:numId w:val="14"/>
        </w:numPr>
        <w:spacing w:before="0" w:after="0"/>
      </w:pPr>
      <w:r>
        <w:lastRenderedPageBreak/>
        <w:t xml:space="preserve">In line with the three cross-cutting themes of the GPDRR 2025, we reaffirm ASEAN’s strong commitment for managing current and future risks and uncertainties in a rapidly changing climate and global context; </w:t>
      </w:r>
      <w:proofErr w:type="spellStart"/>
      <w:r>
        <w:t>prioritising</w:t>
      </w:r>
      <w:proofErr w:type="spellEnd"/>
      <w:r>
        <w:t xml:space="preserve"> gender equality, accessibility, and inclusion to leave no one behind; and accelerating action for our collective sustainable future. We underscore that these cross-cutting themes are in line with the Priority Programmes and Guiding Principles of the AADMER Work Programme 20212025. </w:t>
      </w:r>
    </w:p>
    <w:p w14:paraId="391CA39C" w14:textId="07AE2ED8" w:rsidR="00895F7F" w:rsidRDefault="00895F7F" w:rsidP="00895F7F">
      <w:pPr>
        <w:spacing w:before="0" w:after="0"/>
        <w:ind w:firstLine="60"/>
      </w:pPr>
    </w:p>
    <w:p w14:paraId="1ABD6D51" w14:textId="3EFE7C93" w:rsidR="00895F7F" w:rsidRDefault="00895F7F" w:rsidP="00895F7F">
      <w:pPr>
        <w:pStyle w:val="ListParagraph"/>
        <w:numPr>
          <w:ilvl w:val="0"/>
          <w:numId w:val="14"/>
        </w:numPr>
        <w:spacing w:before="0" w:after="0"/>
      </w:pPr>
      <w:r>
        <w:t xml:space="preserve">We acknowledge the increasing complexity of hazards affecting the region, driven by climate change and other interconnected risks. To better manage current and future risks and uncertainties in a rapidly changing climate and global context, we strengthen the integration of Disaster Risk Reduction and Climate Change Adaptation through capacity building initiatives and enhanced cooperation with the climate and environment-related sectors and actors in the region. We also enhance risk monitoring and analysis and early warning, including by improving the Disaster Risk Monitoring and Response System (DRMS) of the ASEAN Coordinating Centre for Humanitarian Assistance on disaster management (AHA Centre). We advance anticipatory action through the implementation of the ASEAN Framework on Anticipatory Action in Disaster Management. In parallel, we continue to strengthen ASEAN’s capacity to develop and implement disaster risk financing and insurance through strengthening the </w:t>
      </w:r>
      <w:r w:rsidR="000035F3">
        <w:br/>
      </w:r>
      <w:r>
        <w:t xml:space="preserve">ASEAN Disaster Management and Emergency Relief (ADMER) Fund and other regional initiatives such as the ASEAN Disaster Risk Financing and Insurance (ADRFI) programme, and the Southeast Asia Disaster Risk Insurance Facility (SEADRIF). </w:t>
      </w:r>
    </w:p>
    <w:p w14:paraId="70178780" w14:textId="62A92CB6" w:rsidR="00895F7F" w:rsidRDefault="00895F7F" w:rsidP="00895F7F">
      <w:pPr>
        <w:spacing w:before="0" w:after="0"/>
        <w:ind w:firstLine="60"/>
      </w:pPr>
    </w:p>
    <w:p w14:paraId="56D63FE1" w14:textId="43FDE333" w:rsidR="00895F7F" w:rsidRDefault="00895F7F" w:rsidP="00895F7F">
      <w:pPr>
        <w:pStyle w:val="ListParagraph"/>
        <w:numPr>
          <w:ilvl w:val="0"/>
          <w:numId w:val="14"/>
        </w:numPr>
        <w:spacing w:before="0" w:after="0"/>
      </w:pPr>
      <w:r>
        <w:t xml:space="preserve">We continue to prioritise gender equality, accessibility, and inclusion in disaster management to ensure that no one is left behind, by strengthening the implementation of the ASEAN Regional Framework on Protection, Gender, and Inclusion (PGI) in Disaster Management 2021-2025 through cross-sectoral coordination and partnerships with civil society organisations, including through the AADMER Partnership Group. We uphold a </w:t>
      </w:r>
      <w:r w:rsidR="000035F3">
        <w:br/>
      </w:r>
      <w:r>
        <w:t xml:space="preserve">whole-of-society approach in disaster management by recognising the vital roles and specific needs of communities, especially those most vulnerable during disasters—such as women, children, youth, the elderly, the poor, persons with disabilities, and other at-risk groups. We also continue to implement the ASEAN Guidelines on Disaster Responsive Social Protection to Increase Resilience, ensuring inclusive and effective social protection to help those disproportionately affected by disasters.  </w:t>
      </w:r>
    </w:p>
    <w:p w14:paraId="745D72DA" w14:textId="0177179B" w:rsidR="00895F7F" w:rsidRDefault="00895F7F" w:rsidP="00895F7F">
      <w:pPr>
        <w:spacing w:before="0" w:after="0"/>
        <w:ind w:firstLine="60"/>
      </w:pPr>
    </w:p>
    <w:p w14:paraId="400C066A" w14:textId="7E020685" w:rsidR="00895F7F" w:rsidRDefault="00895F7F" w:rsidP="00895F7F">
      <w:pPr>
        <w:pStyle w:val="ListParagraph"/>
        <w:numPr>
          <w:ilvl w:val="0"/>
          <w:numId w:val="14"/>
        </w:numPr>
        <w:spacing w:before="0" w:after="0"/>
      </w:pPr>
      <w:r>
        <w:t xml:space="preserve">We are accelerating action for our collective sustainable future by strengthening multi-stakeholder coordination and collaboration and advancing a whole-of-ASEAN approach to disaster management through the ASEAN Disaster Resilience Platform (ADRP). We also foster dialogue with other inter-governmental regional organisations through the ASEAN </w:t>
      </w:r>
      <w:r w:rsidR="000035F3">
        <w:br/>
      </w:r>
      <w:r>
        <w:t xml:space="preserve">Inter-regional Dialogue on Disaster Resilience (AIDDR). We actively engage and collaborate with ASEAN dialogue partners, ASEAN sectoral dialogue partners, ASEAN development partners, AADMER Partnership Group, United Nations Agencies, Red Cross and Red Crescent movement, regional inter-governmental organisations, non-government organisations, multilateral financial institutions, think tanks, academia and the youth, in capacity building programmes and policy development, including the ASEAN Strategic Policy Dialogue on Disaster Management (SPDDM) and the ASEAN Disaster Resilience Forum (ADRF). </w:t>
      </w:r>
    </w:p>
    <w:p w14:paraId="285ED5AB" w14:textId="4EACC71B" w:rsidR="00895F7F" w:rsidRDefault="00895F7F" w:rsidP="00895F7F">
      <w:pPr>
        <w:spacing w:before="0" w:after="0"/>
        <w:ind w:firstLine="60"/>
      </w:pPr>
    </w:p>
    <w:p w14:paraId="54FFEA3F" w14:textId="77777777" w:rsidR="000035F3" w:rsidRDefault="000035F3" w:rsidP="00895F7F">
      <w:pPr>
        <w:spacing w:before="0" w:after="0"/>
        <w:ind w:firstLine="60"/>
      </w:pPr>
    </w:p>
    <w:p w14:paraId="08215CE1" w14:textId="77777777" w:rsidR="000035F3" w:rsidRDefault="000035F3" w:rsidP="00895F7F">
      <w:pPr>
        <w:spacing w:before="0" w:after="0"/>
        <w:ind w:firstLine="60"/>
      </w:pPr>
    </w:p>
    <w:p w14:paraId="04DD3712" w14:textId="77777777" w:rsidR="000035F3" w:rsidRDefault="000035F3" w:rsidP="00895F7F">
      <w:pPr>
        <w:spacing w:before="0" w:after="0"/>
        <w:ind w:firstLine="60"/>
      </w:pPr>
    </w:p>
    <w:p w14:paraId="66CF6B33" w14:textId="77777777" w:rsidR="000035F3" w:rsidRDefault="000035F3" w:rsidP="00895F7F">
      <w:pPr>
        <w:spacing w:before="0" w:after="0"/>
        <w:ind w:firstLine="60"/>
      </w:pPr>
    </w:p>
    <w:p w14:paraId="0BE08296" w14:textId="77777777" w:rsidR="000035F3" w:rsidRDefault="000035F3" w:rsidP="00895F7F">
      <w:pPr>
        <w:spacing w:before="0" w:after="0"/>
        <w:ind w:firstLine="60"/>
      </w:pPr>
    </w:p>
    <w:p w14:paraId="4CDB17EE" w14:textId="2EC12B35" w:rsidR="00895F7F" w:rsidRDefault="00895F7F" w:rsidP="00895F7F">
      <w:pPr>
        <w:pStyle w:val="ListParagraph"/>
        <w:numPr>
          <w:ilvl w:val="0"/>
          <w:numId w:val="14"/>
        </w:numPr>
        <w:spacing w:before="0" w:after="0"/>
      </w:pPr>
      <w:r>
        <w:lastRenderedPageBreak/>
        <w:t xml:space="preserve">Simultaneously, we continue to strengthen regional, national, and sub- national capacities by implementing the ASEAN Capacity Building Roadmap 2025-2030 on Disaster Management, which serves as a comprehensive guide for capacity development in ASEAN. We strengthen various capacity building programmes for ASEAN Member States, including the AHA Centre Executive: Leadership in Emergency and Disaster Management Programme (ACE-LEDMP), the ASEAN Senior Executive Programme on Disaster Management (SEPDM), and the </w:t>
      </w:r>
      <w:r w:rsidR="000035F3">
        <w:br/>
      </w:r>
      <w:r>
        <w:t xml:space="preserve">ASEAN-Emergency Response and Assessment Team (ASEAN-ERAT). We also continue to advance the skills and expertise of disaster management personnel in the region through the ASEAN Standards and Certification for Experts in Disaster Management (ASCEND).  </w:t>
      </w:r>
    </w:p>
    <w:p w14:paraId="0C31DF61" w14:textId="348B913E" w:rsidR="00895F7F" w:rsidRDefault="00895F7F" w:rsidP="00895F7F">
      <w:pPr>
        <w:spacing w:before="0" w:after="0"/>
        <w:ind w:firstLine="60"/>
      </w:pPr>
    </w:p>
    <w:p w14:paraId="0F4281C3" w14:textId="43A352B7" w:rsidR="00DF288A" w:rsidRPr="00E423E4" w:rsidRDefault="00895F7F" w:rsidP="00895F7F">
      <w:pPr>
        <w:pStyle w:val="ListParagraph"/>
        <w:numPr>
          <w:ilvl w:val="0"/>
          <w:numId w:val="14"/>
        </w:numPr>
        <w:spacing w:before="0" w:after="0"/>
      </w:pPr>
      <w:r>
        <w:t xml:space="preserve">Reaffirming our commitment to a more disaster-resilient world, we stand ready to take a leading role in global efforts to strengthen disaster risk reduction. We will continue working </w:t>
      </w:r>
      <w:r w:rsidR="000035F3">
        <w:br/>
      </w:r>
      <w:r>
        <w:t xml:space="preserve">hand-in-hand with the international community to enhance collaboration on capacity-building, knowledge-sharing, and best practices, ensuring that ASEAN’s experience contributes meaningfully to global resilience-building efforts.  </w:t>
      </w:r>
    </w:p>
    <w:sectPr w:rsidR="00DF288A" w:rsidRPr="00E423E4" w:rsidSect="00F61B4F">
      <w:headerReference w:type="default" r:id="rId8"/>
      <w:footerReference w:type="default" r:id="rId9"/>
      <w:footerReference w:type="first" r:id="rId10"/>
      <w:footnotePr>
        <w:numRestart w:val="eachPage"/>
      </w:footnotePr>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6197D" w14:textId="77777777" w:rsidR="003C2604" w:rsidRDefault="003C2604" w:rsidP="00F61B4F">
      <w:pPr>
        <w:spacing w:before="0" w:after="0" w:line="240" w:lineRule="auto"/>
      </w:pPr>
      <w:r>
        <w:separator/>
      </w:r>
    </w:p>
  </w:endnote>
  <w:endnote w:type="continuationSeparator" w:id="0">
    <w:p w14:paraId="5E141C7E" w14:textId="77777777" w:rsidR="003C2604" w:rsidRDefault="003C2604" w:rsidP="00F61B4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2FCE4" w14:textId="77777777" w:rsidR="00B532E2" w:rsidRDefault="00B532E2" w:rsidP="00F61B4F">
    <w:pPr>
      <w:pStyle w:val="Footer"/>
      <w:tabs>
        <w:tab w:val="clear" w:pos="9360"/>
        <w:tab w:val="right" w:pos="8931"/>
      </w:tabs>
      <w:jc w:val="right"/>
    </w:pPr>
  </w:p>
  <w:p w14:paraId="5ACCA8F1" w14:textId="77777777" w:rsidR="00B532E2" w:rsidRPr="00F61B4F" w:rsidRDefault="00B532E2" w:rsidP="00F61B4F">
    <w:pPr>
      <w:pStyle w:val="Footer"/>
      <w:pBdr>
        <w:top w:val="single" w:sz="4" w:space="7" w:color="auto"/>
      </w:pBdr>
      <w:tabs>
        <w:tab w:val="clear" w:pos="9360"/>
        <w:tab w:val="right" w:pos="8931"/>
      </w:tabs>
      <w:jc w:val="left"/>
      <w:rPr>
        <w:rFonts w:cs="Arial"/>
        <w:color w:val="7F7F7F"/>
        <w:sz w:val="16"/>
        <w:szCs w:val="16"/>
      </w:rPr>
    </w:pPr>
    <w:r w:rsidRPr="004943C3">
      <w:rPr>
        <w:rFonts w:cs="Arial"/>
        <w:color w:val="7F7F7F"/>
        <w:sz w:val="16"/>
        <w:szCs w:val="16"/>
      </w:rPr>
      <w:t xml:space="preserve">UNOFFICIAL TEXT · CENTRE FOR INTERNATIONAL LAW · </w:t>
    </w:r>
    <w:hyperlink r:id="rId1" w:history="1">
      <w:r w:rsidRPr="004943C3">
        <w:rPr>
          <w:rStyle w:val="Hyperlink"/>
          <w:rFonts w:cs="Arial"/>
          <w:color w:val="7F7F7F"/>
          <w:sz w:val="16"/>
          <w:szCs w:val="16"/>
        </w:rPr>
        <w:t>www.cil.nus.edu.sg</w:t>
      </w:r>
    </w:hyperlink>
    <w:r>
      <w:rPr>
        <w:rFonts w:cs="Arial"/>
        <w:color w:val="7F7F7F"/>
        <w:sz w:val="16"/>
        <w:szCs w:val="16"/>
      </w:rPr>
      <w:t xml:space="preserve">                    </w:t>
    </w:r>
    <w:r w:rsidRPr="004943C3">
      <w:rPr>
        <w:rFonts w:cs="Arial"/>
        <w:color w:val="7F7F7F"/>
        <w:sz w:val="16"/>
        <w:szCs w:val="16"/>
      </w:rPr>
      <w:t xml:space="preserve">       </w:t>
    </w:r>
    <w:r>
      <w:rPr>
        <w:rFonts w:cs="Arial"/>
        <w:color w:val="7F7F7F"/>
        <w:sz w:val="16"/>
        <w:szCs w:val="16"/>
      </w:rPr>
      <w:tab/>
    </w:r>
    <w:r w:rsidRPr="004943C3">
      <w:rPr>
        <w:rFonts w:cs="Arial"/>
        <w:color w:val="7F7F7F"/>
        <w:sz w:val="16"/>
        <w:szCs w:val="16"/>
      </w:rPr>
      <w:t xml:space="preserve">     Page </w:t>
    </w:r>
    <w:r w:rsidRPr="004943C3">
      <w:rPr>
        <w:rFonts w:cs="Arial"/>
        <w:color w:val="7F7F7F"/>
        <w:sz w:val="16"/>
        <w:szCs w:val="16"/>
      </w:rPr>
      <w:fldChar w:fldCharType="begin"/>
    </w:r>
    <w:r w:rsidRPr="004943C3">
      <w:rPr>
        <w:rFonts w:cs="Arial"/>
        <w:color w:val="7F7F7F"/>
        <w:sz w:val="16"/>
        <w:szCs w:val="16"/>
      </w:rPr>
      <w:instrText xml:space="preserve"> PAGE </w:instrText>
    </w:r>
    <w:r w:rsidRPr="004943C3">
      <w:rPr>
        <w:rFonts w:cs="Arial"/>
        <w:color w:val="7F7F7F"/>
        <w:sz w:val="16"/>
        <w:szCs w:val="16"/>
      </w:rPr>
      <w:fldChar w:fldCharType="separate"/>
    </w:r>
    <w:r w:rsidR="00DF288A">
      <w:rPr>
        <w:rFonts w:cs="Arial"/>
        <w:noProof/>
        <w:color w:val="7F7F7F"/>
        <w:sz w:val="16"/>
        <w:szCs w:val="16"/>
      </w:rPr>
      <w:t>2</w:t>
    </w:r>
    <w:r w:rsidRPr="004943C3">
      <w:rPr>
        <w:rFonts w:cs="Arial"/>
        <w:color w:val="7F7F7F"/>
        <w:sz w:val="16"/>
        <w:szCs w:val="16"/>
      </w:rPr>
      <w:fldChar w:fldCharType="end"/>
    </w:r>
    <w:r w:rsidRPr="004943C3">
      <w:rPr>
        <w:rFonts w:cs="Arial"/>
        <w:color w:val="7F7F7F"/>
        <w:sz w:val="16"/>
        <w:szCs w:val="16"/>
      </w:rPr>
      <w:t xml:space="preserve"> of </w:t>
    </w:r>
    <w:r w:rsidRPr="004943C3">
      <w:rPr>
        <w:rFonts w:cs="Arial"/>
        <w:color w:val="7F7F7F"/>
        <w:sz w:val="16"/>
        <w:szCs w:val="16"/>
      </w:rPr>
      <w:fldChar w:fldCharType="begin"/>
    </w:r>
    <w:r w:rsidRPr="004943C3">
      <w:rPr>
        <w:rFonts w:cs="Arial"/>
        <w:color w:val="7F7F7F"/>
        <w:sz w:val="16"/>
        <w:szCs w:val="16"/>
      </w:rPr>
      <w:instrText xml:space="preserve"> NUMPAGES  </w:instrText>
    </w:r>
    <w:r w:rsidRPr="004943C3">
      <w:rPr>
        <w:rFonts w:cs="Arial"/>
        <w:color w:val="7F7F7F"/>
        <w:sz w:val="16"/>
        <w:szCs w:val="16"/>
      </w:rPr>
      <w:fldChar w:fldCharType="separate"/>
    </w:r>
    <w:r w:rsidR="00DF288A">
      <w:rPr>
        <w:rFonts w:cs="Arial"/>
        <w:noProof/>
        <w:color w:val="7F7F7F"/>
        <w:sz w:val="16"/>
        <w:szCs w:val="16"/>
      </w:rPr>
      <w:t>2</w:t>
    </w:r>
    <w:r w:rsidRPr="004943C3">
      <w:rPr>
        <w:rFonts w:cs="Arial"/>
        <w:color w:val="7F7F7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81B22" w14:textId="77777777" w:rsidR="00B532E2" w:rsidRDefault="00B532E2" w:rsidP="00F61B4F">
    <w:pPr>
      <w:pStyle w:val="Footer"/>
      <w:tabs>
        <w:tab w:val="clear" w:pos="9360"/>
        <w:tab w:val="right" w:pos="8931"/>
      </w:tabs>
      <w:jc w:val="right"/>
    </w:pPr>
  </w:p>
  <w:p w14:paraId="0E45DC3E" w14:textId="77777777" w:rsidR="00B532E2" w:rsidRPr="00F61B4F" w:rsidRDefault="00B532E2" w:rsidP="00F61B4F">
    <w:pPr>
      <w:pStyle w:val="Footer"/>
      <w:pBdr>
        <w:top w:val="single" w:sz="4" w:space="7" w:color="auto"/>
      </w:pBdr>
      <w:tabs>
        <w:tab w:val="clear" w:pos="9360"/>
        <w:tab w:val="right" w:pos="8931"/>
      </w:tabs>
      <w:jc w:val="left"/>
      <w:rPr>
        <w:rFonts w:cs="Arial"/>
        <w:color w:val="7F7F7F"/>
        <w:sz w:val="16"/>
        <w:szCs w:val="16"/>
      </w:rPr>
    </w:pPr>
    <w:r w:rsidRPr="004943C3">
      <w:rPr>
        <w:rFonts w:cs="Arial"/>
        <w:color w:val="7F7F7F"/>
        <w:sz w:val="16"/>
        <w:szCs w:val="16"/>
      </w:rPr>
      <w:t xml:space="preserve">UNOFFICIAL TEXT · CENTRE FOR INTERNATIONAL LAW · </w:t>
    </w:r>
    <w:hyperlink r:id="rId1" w:history="1">
      <w:r w:rsidRPr="004943C3">
        <w:rPr>
          <w:rStyle w:val="Hyperlink"/>
          <w:rFonts w:cs="Arial"/>
          <w:color w:val="7F7F7F"/>
          <w:sz w:val="16"/>
          <w:szCs w:val="16"/>
        </w:rPr>
        <w:t>www.cil.nus.edu.sg</w:t>
      </w:r>
    </w:hyperlink>
    <w:r>
      <w:rPr>
        <w:rFonts w:cs="Arial"/>
        <w:color w:val="7F7F7F"/>
        <w:sz w:val="16"/>
        <w:szCs w:val="16"/>
      </w:rPr>
      <w:t xml:space="preserve">                    </w:t>
    </w:r>
    <w:r w:rsidRPr="004943C3">
      <w:rPr>
        <w:rFonts w:cs="Arial"/>
        <w:color w:val="7F7F7F"/>
        <w:sz w:val="16"/>
        <w:szCs w:val="16"/>
      </w:rPr>
      <w:t xml:space="preserve">       </w:t>
    </w:r>
    <w:r>
      <w:rPr>
        <w:rFonts w:cs="Arial"/>
        <w:color w:val="7F7F7F"/>
        <w:sz w:val="16"/>
        <w:szCs w:val="16"/>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340EF" w14:textId="77777777" w:rsidR="003C2604" w:rsidRDefault="003C2604" w:rsidP="00F61B4F">
      <w:pPr>
        <w:spacing w:before="0" w:after="0" w:line="240" w:lineRule="auto"/>
      </w:pPr>
      <w:r>
        <w:separator/>
      </w:r>
    </w:p>
  </w:footnote>
  <w:footnote w:type="continuationSeparator" w:id="0">
    <w:p w14:paraId="1800399B" w14:textId="77777777" w:rsidR="003C2604" w:rsidRDefault="003C2604" w:rsidP="00F61B4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E1721" w14:textId="607C44CE" w:rsidR="00B532E2" w:rsidRPr="00CD6026" w:rsidRDefault="00895F7F" w:rsidP="00CD6026">
    <w:pPr>
      <w:pStyle w:val="Header"/>
      <w:pBdr>
        <w:bottom w:val="single" w:sz="4" w:space="1" w:color="auto"/>
      </w:pBdr>
      <w:rPr>
        <w:rFonts w:cs="Arial"/>
        <w:caps/>
        <w:color w:val="808080"/>
        <w:sz w:val="16"/>
        <w:szCs w:val="16"/>
      </w:rPr>
    </w:pPr>
    <w:r>
      <w:rPr>
        <w:rFonts w:cs="Arial"/>
        <w:caps/>
        <w:color w:val="808080"/>
        <w:sz w:val="16"/>
        <w:szCs w:val="16"/>
      </w:rPr>
      <w:t>2025 J</w:t>
    </w:r>
    <w:r w:rsidR="0055418F">
      <w:rPr>
        <w:rFonts w:cs="Arial"/>
        <w:caps/>
        <w:color w:val="808080"/>
        <w:sz w:val="16"/>
        <w:szCs w:val="16"/>
      </w:rPr>
      <w:t xml:space="preserve">oint </w:t>
    </w:r>
    <w:r>
      <w:rPr>
        <w:rFonts w:cs="Arial"/>
        <w:caps/>
        <w:color w:val="808080"/>
        <w:sz w:val="16"/>
        <w:szCs w:val="16"/>
      </w:rPr>
      <w:t>S</w:t>
    </w:r>
    <w:r w:rsidR="0055418F">
      <w:rPr>
        <w:rFonts w:cs="Arial"/>
        <w:caps/>
        <w:color w:val="808080"/>
        <w:sz w:val="16"/>
        <w:szCs w:val="16"/>
      </w:rPr>
      <w:t>tatement</w:t>
    </w:r>
    <w:r>
      <w:rPr>
        <w:rFonts w:cs="Arial"/>
        <w:caps/>
        <w:color w:val="808080"/>
        <w:sz w:val="16"/>
        <w:szCs w:val="16"/>
      </w:rPr>
      <w:t xml:space="preserve"> of asean for the gpdrr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180F85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9EE31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C06D23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CA8DBB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72C5A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40625B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F1AB99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5DABAA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4C686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7291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D159BD"/>
    <w:multiLevelType w:val="hybridMultilevel"/>
    <w:tmpl w:val="0742ED6E"/>
    <w:lvl w:ilvl="0" w:tplc="A6186590">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6B03D2"/>
    <w:multiLevelType w:val="hybridMultilevel"/>
    <w:tmpl w:val="F0A8ED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151307"/>
    <w:multiLevelType w:val="hybridMultilevel"/>
    <w:tmpl w:val="46BAC92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6F4593"/>
    <w:multiLevelType w:val="hybridMultilevel"/>
    <w:tmpl w:val="951A6B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6575316">
    <w:abstractNumId w:val="12"/>
  </w:num>
  <w:num w:numId="2" w16cid:durableId="360320398">
    <w:abstractNumId w:val="11"/>
  </w:num>
  <w:num w:numId="3" w16cid:durableId="1365135478">
    <w:abstractNumId w:val="9"/>
  </w:num>
  <w:num w:numId="4" w16cid:durableId="422728191">
    <w:abstractNumId w:val="7"/>
  </w:num>
  <w:num w:numId="5" w16cid:durableId="1791898566">
    <w:abstractNumId w:val="6"/>
  </w:num>
  <w:num w:numId="6" w16cid:durableId="575356698">
    <w:abstractNumId w:val="5"/>
  </w:num>
  <w:num w:numId="7" w16cid:durableId="1771004132">
    <w:abstractNumId w:val="4"/>
  </w:num>
  <w:num w:numId="8" w16cid:durableId="2024550645">
    <w:abstractNumId w:val="8"/>
  </w:num>
  <w:num w:numId="9" w16cid:durableId="1253127530">
    <w:abstractNumId w:val="3"/>
  </w:num>
  <w:num w:numId="10" w16cid:durableId="343827254">
    <w:abstractNumId w:val="2"/>
  </w:num>
  <w:num w:numId="11" w16cid:durableId="538207194">
    <w:abstractNumId w:val="1"/>
  </w:num>
  <w:num w:numId="12" w16cid:durableId="951783813">
    <w:abstractNumId w:val="0"/>
  </w:num>
  <w:num w:numId="13" w16cid:durableId="287901788">
    <w:abstractNumId w:val="13"/>
  </w:num>
  <w:num w:numId="14" w16cid:durableId="1346857302">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F7F"/>
    <w:rsid w:val="00000FB0"/>
    <w:rsid w:val="00002446"/>
    <w:rsid w:val="000035F3"/>
    <w:rsid w:val="000043E5"/>
    <w:rsid w:val="00011723"/>
    <w:rsid w:val="00013D73"/>
    <w:rsid w:val="000173F4"/>
    <w:rsid w:val="00022AE1"/>
    <w:rsid w:val="00023AFA"/>
    <w:rsid w:val="00025831"/>
    <w:rsid w:val="000260A8"/>
    <w:rsid w:val="00032218"/>
    <w:rsid w:val="00032623"/>
    <w:rsid w:val="00032C84"/>
    <w:rsid w:val="0003432F"/>
    <w:rsid w:val="00036034"/>
    <w:rsid w:val="00040670"/>
    <w:rsid w:val="00045076"/>
    <w:rsid w:val="00045F9A"/>
    <w:rsid w:val="000460FD"/>
    <w:rsid w:val="00046C7E"/>
    <w:rsid w:val="0005003E"/>
    <w:rsid w:val="00055254"/>
    <w:rsid w:val="00055923"/>
    <w:rsid w:val="00061193"/>
    <w:rsid w:val="00061B8B"/>
    <w:rsid w:val="000627D9"/>
    <w:rsid w:val="00063C84"/>
    <w:rsid w:val="0007234F"/>
    <w:rsid w:val="000768A2"/>
    <w:rsid w:val="000771E0"/>
    <w:rsid w:val="00080879"/>
    <w:rsid w:val="00080FD6"/>
    <w:rsid w:val="00081E70"/>
    <w:rsid w:val="00082260"/>
    <w:rsid w:val="00083FFE"/>
    <w:rsid w:val="000922A6"/>
    <w:rsid w:val="0009558E"/>
    <w:rsid w:val="00097F77"/>
    <w:rsid w:val="000A329C"/>
    <w:rsid w:val="000B02EF"/>
    <w:rsid w:val="000B197F"/>
    <w:rsid w:val="000B335D"/>
    <w:rsid w:val="000C2967"/>
    <w:rsid w:val="000C2977"/>
    <w:rsid w:val="000C2CE8"/>
    <w:rsid w:val="000C49F6"/>
    <w:rsid w:val="000C5A1A"/>
    <w:rsid w:val="000D004B"/>
    <w:rsid w:val="000D31BC"/>
    <w:rsid w:val="000D57EE"/>
    <w:rsid w:val="000D6DF5"/>
    <w:rsid w:val="000D7512"/>
    <w:rsid w:val="000E1719"/>
    <w:rsid w:val="000E1DDB"/>
    <w:rsid w:val="000E2394"/>
    <w:rsid w:val="000E3AD0"/>
    <w:rsid w:val="000F2D66"/>
    <w:rsid w:val="001013AD"/>
    <w:rsid w:val="0010259B"/>
    <w:rsid w:val="00102B66"/>
    <w:rsid w:val="001063A1"/>
    <w:rsid w:val="001077E4"/>
    <w:rsid w:val="00111688"/>
    <w:rsid w:val="0011199A"/>
    <w:rsid w:val="00111A4C"/>
    <w:rsid w:val="0011273D"/>
    <w:rsid w:val="00112A51"/>
    <w:rsid w:val="001142FA"/>
    <w:rsid w:val="001161C0"/>
    <w:rsid w:val="001207E1"/>
    <w:rsid w:val="0012239E"/>
    <w:rsid w:val="0012281C"/>
    <w:rsid w:val="00122EC8"/>
    <w:rsid w:val="001246A1"/>
    <w:rsid w:val="001302AA"/>
    <w:rsid w:val="00130E46"/>
    <w:rsid w:val="00133AB9"/>
    <w:rsid w:val="00143BCA"/>
    <w:rsid w:val="00144EA6"/>
    <w:rsid w:val="001450F7"/>
    <w:rsid w:val="00145215"/>
    <w:rsid w:val="001462AA"/>
    <w:rsid w:val="00153722"/>
    <w:rsid w:val="00155142"/>
    <w:rsid w:val="0015683A"/>
    <w:rsid w:val="001648EA"/>
    <w:rsid w:val="001669E3"/>
    <w:rsid w:val="001728AB"/>
    <w:rsid w:val="00172E71"/>
    <w:rsid w:val="00176298"/>
    <w:rsid w:val="0018065C"/>
    <w:rsid w:val="00183009"/>
    <w:rsid w:val="001837BF"/>
    <w:rsid w:val="00183EC5"/>
    <w:rsid w:val="00191FB7"/>
    <w:rsid w:val="00194639"/>
    <w:rsid w:val="0019674F"/>
    <w:rsid w:val="001A0777"/>
    <w:rsid w:val="001A31BD"/>
    <w:rsid w:val="001B572F"/>
    <w:rsid w:val="001C50F5"/>
    <w:rsid w:val="001C7B98"/>
    <w:rsid w:val="001D116B"/>
    <w:rsid w:val="001D2E66"/>
    <w:rsid w:val="001D7F95"/>
    <w:rsid w:val="001E502C"/>
    <w:rsid w:val="001E52A5"/>
    <w:rsid w:val="001F190C"/>
    <w:rsid w:val="001F1AE0"/>
    <w:rsid w:val="001F27F8"/>
    <w:rsid w:val="001F2B50"/>
    <w:rsid w:val="0020032B"/>
    <w:rsid w:val="00200AA3"/>
    <w:rsid w:val="0020147F"/>
    <w:rsid w:val="00202C8A"/>
    <w:rsid w:val="002226CD"/>
    <w:rsid w:val="002238CF"/>
    <w:rsid w:val="00224582"/>
    <w:rsid w:val="00224E12"/>
    <w:rsid w:val="002251FC"/>
    <w:rsid w:val="002423B7"/>
    <w:rsid w:val="00244645"/>
    <w:rsid w:val="00245638"/>
    <w:rsid w:val="0025204F"/>
    <w:rsid w:val="002520E2"/>
    <w:rsid w:val="00256484"/>
    <w:rsid w:val="002566AC"/>
    <w:rsid w:val="00257575"/>
    <w:rsid w:val="00260086"/>
    <w:rsid w:val="00260DE8"/>
    <w:rsid w:val="00262BEE"/>
    <w:rsid w:val="002653B1"/>
    <w:rsid w:val="00274C7A"/>
    <w:rsid w:val="002750EF"/>
    <w:rsid w:val="00275D0D"/>
    <w:rsid w:val="00284792"/>
    <w:rsid w:val="002927F7"/>
    <w:rsid w:val="00294CBA"/>
    <w:rsid w:val="002952DD"/>
    <w:rsid w:val="00297B32"/>
    <w:rsid w:val="002A32A5"/>
    <w:rsid w:val="002A4172"/>
    <w:rsid w:val="002B2294"/>
    <w:rsid w:val="002B31DE"/>
    <w:rsid w:val="002B473E"/>
    <w:rsid w:val="002B5E84"/>
    <w:rsid w:val="002B7265"/>
    <w:rsid w:val="002C506E"/>
    <w:rsid w:val="002C5925"/>
    <w:rsid w:val="002C67E0"/>
    <w:rsid w:val="002D3A06"/>
    <w:rsid w:val="002E0A92"/>
    <w:rsid w:val="002E6283"/>
    <w:rsid w:val="002F1577"/>
    <w:rsid w:val="002F7DA0"/>
    <w:rsid w:val="0030037C"/>
    <w:rsid w:val="00303079"/>
    <w:rsid w:val="003035FA"/>
    <w:rsid w:val="003071F6"/>
    <w:rsid w:val="00311F81"/>
    <w:rsid w:val="00311F88"/>
    <w:rsid w:val="00312FB5"/>
    <w:rsid w:val="003150B5"/>
    <w:rsid w:val="00315409"/>
    <w:rsid w:val="00321387"/>
    <w:rsid w:val="0032159B"/>
    <w:rsid w:val="00321890"/>
    <w:rsid w:val="00325A2D"/>
    <w:rsid w:val="00326D39"/>
    <w:rsid w:val="003316EF"/>
    <w:rsid w:val="0033544F"/>
    <w:rsid w:val="00336CA3"/>
    <w:rsid w:val="003374CC"/>
    <w:rsid w:val="00340339"/>
    <w:rsid w:val="0034084B"/>
    <w:rsid w:val="00343E97"/>
    <w:rsid w:val="003463F9"/>
    <w:rsid w:val="00351FC7"/>
    <w:rsid w:val="00355356"/>
    <w:rsid w:val="003557B3"/>
    <w:rsid w:val="00361211"/>
    <w:rsid w:val="00363CA6"/>
    <w:rsid w:val="00363E88"/>
    <w:rsid w:val="0036654E"/>
    <w:rsid w:val="003762D5"/>
    <w:rsid w:val="00382037"/>
    <w:rsid w:val="00384CCD"/>
    <w:rsid w:val="00386AC0"/>
    <w:rsid w:val="003870B6"/>
    <w:rsid w:val="0039419F"/>
    <w:rsid w:val="003976CE"/>
    <w:rsid w:val="003A2096"/>
    <w:rsid w:val="003A2B2D"/>
    <w:rsid w:val="003A2E2D"/>
    <w:rsid w:val="003A36C1"/>
    <w:rsid w:val="003A4607"/>
    <w:rsid w:val="003A46AB"/>
    <w:rsid w:val="003A6709"/>
    <w:rsid w:val="003B1B3D"/>
    <w:rsid w:val="003B5567"/>
    <w:rsid w:val="003C2604"/>
    <w:rsid w:val="003C3ABB"/>
    <w:rsid w:val="003C4214"/>
    <w:rsid w:val="003C47FA"/>
    <w:rsid w:val="003C48C1"/>
    <w:rsid w:val="003C696E"/>
    <w:rsid w:val="003C70F3"/>
    <w:rsid w:val="003D49AB"/>
    <w:rsid w:val="003D66C8"/>
    <w:rsid w:val="003D682E"/>
    <w:rsid w:val="003D6E5B"/>
    <w:rsid w:val="003E0C85"/>
    <w:rsid w:val="003E69D4"/>
    <w:rsid w:val="003F148C"/>
    <w:rsid w:val="003F1817"/>
    <w:rsid w:val="0040043F"/>
    <w:rsid w:val="00401F7F"/>
    <w:rsid w:val="00405210"/>
    <w:rsid w:val="00415F9F"/>
    <w:rsid w:val="0042164B"/>
    <w:rsid w:val="0042562D"/>
    <w:rsid w:val="00430AD3"/>
    <w:rsid w:val="00432B9B"/>
    <w:rsid w:val="00437B87"/>
    <w:rsid w:val="004410EB"/>
    <w:rsid w:val="0044415C"/>
    <w:rsid w:val="00452091"/>
    <w:rsid w:val="0045262E"/>
    <w:rsid w:val="00453E7C"/>
    <w:rsid w:val="004540DD"/>
    <w:rsid w:val="00454C15"/>
    <w:rsid w:val="00457A36"/>
    <w:rsid w:val="00460285"/>
    <w:rsid w:val="00461169"/>
    <w:rsid w:val="0046281B"/>
    <w:rsid w:val="0046332F"/>
    <w:rsid w:val="00464378"/>
    <w:rsid w:val="00464582"/>
    <w:rsid w:val="004715DF"/>
    <w:rsid w:val="0049074B"/>
    <w:rsid w:val="00495B5C"/>
    <w:rsid w:val="00496452"/>
    <w:rsid w:val="00497AE1"/>
    <w:rsid w:val="004A0B2F"/>
    <w:rsid w:val="004A0D08"/>
    <w:rsid w:val="004A1834"/>
    <w:rsid w:val="004A31A0"/>
    <w:rsid w:val="004A5865"/>
    <w:rsid w:val="004A58EA"/>
    <w:rsid w:val="004B263A"/>
    <w:rsid w:val="004B3D8B"/>
    <w:rsid w:val="004B5A7D"/>
    <w:rsid w:val="004B6693"/>
    <w:rsid w:val="004B7073"/>
    <w:rsid w:val="004B71DD"/>
    <w:rsid w:val="004C2B2B"/>
    <w:rsid w:val="004C33C2"/>
    <w:rsid w:val="004C5E25"/>
    <w:rsid w:val="004D6797"/>
    <w:rsid w:val="004E0ED9"/>
    <w:rsid w:val="004E1378"/>
    <w:rsid w:val="004E1B8D"/>
    <w:rsid w:val="004E2177"/>
    <w:rsid w:val="004F129B"/>
    <w:rsid w:val="004F21D5"/>
    <w:rsid w:val="00504C42"/>
    <w:rsid w:val="00507CA6"/>
    <w:rsid w:val="0051026B"/>
    <w:rsid w:val="00510555"/>
    <w:rsid w:val="0051224B"/>
    <w:rsid w:val="005146E7"/>
    <w:rsid w:val="00516331"/>
    <w:rsid w:val="005177D3"/>
    <w:rsid w:val="00522388"/>
    <w:rsid w:val="00525B71"/>
    <w:rsid w:val="005325F9"/>
    <w:rsid w:val="00534217"/>
    <w:rsid w:val="00535BF3"/>
    <w:rsid w:val="00537A67"/>
    <w:rsid w:val="00537D81"/>
    <w:rsid w:val="00541125"/>
    <w:rsid w:val="00545288"/>
    <w:rsid w:val="0055418F"/>
    <w:rsid w:val="005627AF"/>
    <w:rsid w:val="00564EBA"/>
    <w:rsid w:val="00565B5D"/>
    <w:rsid w:val="005701D2"/>
    <w:rsid w:val="005706A6"/>
    <w:rsid w:val="0057613A"/>
    <w:rsid w:val="005768A3"/>
    <w:rsid w:val="00581E07"/>
    <w:rsid w:val="005827A5"/>
    <w:rsid w:val="00584C90"/>
    <w:rsid w:val="005865AA"/>
    <w:rsid w:val="0058716E"/>
    <w:rsid w:val="00590C4E"/>
    <w:rsid w:val="0059630D"/>
    <w:rsid w:val="00597551"/>
    <w:rsid w:val="005A0C6D"/>
    <w:rsid w:val="005A384B"/>
    <w:rsid w:val="005A418E"/>
    <w:rsid w:val="005A67CE"/>
    <w:rsid w:val="005A6C1B"/>
    <w:rsid w:val="005B2D91"/>
    <w:rsid w:val="005C087C"/>
    <w:rsid w:val="005C18C4"/>
    <w:rsid w:val="005C46EA"/>
    <w:rsid w:val="005C6ADE"/>
    <w:rsid w:val="005D3068"/>
    <w:rsid w:val="005D5714"/>
    <w:rsid w:val="005D59E8"/>
    <w:rsid w:val="005E0D13"/>
    <w:rsid w:val="005E264A"/>
    <w:rsid w:val="005E2E8D"/>
    <w:rsid w:val="005E6807"/>
    <w:rsid w:val="005F25E1"/>
    <w:rsid w:val="005F5FD1"/>
    <w:rsid w:val="005F6D34"/>
    <w:rsid w:val="00600B60"/>
    <w:rsid w:val="00604FC9"/>
    <w:rsid w:val="006056CA"/>
    <w:rsid w:val="006077DA"/>
    <w:rsid w:val="00615E91"/>
    <w:rsid w:val="00617785"/>
    <w:rsid w:val="00620043"/>
    <w:rsid w:val="00624B74"/>
    <w:rsid w:val="0062758C"/>
    <w:rsid w:val="00627B91"/>
    <w:rsid w:val="0064082A"/>
    <w:rsid w:val="00642035"/>
    <w:rsid w:val="0064206B"/>
    <w:rsid w:val="006422D1"/>
    <w:rsid w:val="00646905"/>
    <w:rsid w:val="006477C3"/>
    <w:rsid w:val="006633EA"/>
    <w:rsid w:val="00666445"/>
    <w:rsid w:val="006819D0"/>
    <w:rsid w:val="006829B2"/>
    <w:rsid w:val="00686294"/>
    <w:rsid w:val="006878B4"/>
    <w:rsid w:val="00695153"/>
    <w:rsid w:val="006953EA"/>
    <w:rsid w:val="006A181F"/>
    <w:rsid w:val="006A368A"/>
    <w:rsid w:val="006A5BC7"/>
    <w:rsid w:val="006B0864"/>
    <w:rsid w:val="006B6335"/>
    <w:rsid w:val="006C2FAC"/>
    <w:rsid w:val="006C6203"/>
    <w:rsid w:val="006C6B56"/>
    <w:rsid w:val="006C6EFB"/>
    <w:rsid w:val="006D1637"/>
    <w:rsid w:val="006D2062"/>
    <w:rsid w:val="006D35BA"/>
    <w:rsid w:val="006D61E5"/>
    <w:rsid w:val="006D6826"/>
    <w:rsid w:val="006D6EAA"/>
    <w:rsid w:val="006D6FA4"/>
    <w:rsid w:val="006E03F3"/>
    <w:rsid w:val="006E4F21"/>
    <w:rsid w:val="006E6F86"/>
    <w:rsid w:val="006F231A"/>
    <w:rsid w:val="007009C6"/>
    <w:rsid w:val="00707B16"/>
    <w:rsid w:val="00711FF8"/>
    <w:rsid w:val="00716770"/>
    <w:rsid w:val="00721C1C"/>
    <w:rsid w:val="007231B2"/>
    <w:rsid w:val="0072576B"/>
    <w:rsid w:val="007320B0"/>
    <w:rsid w:val="0073568E"/>
    <w:rsid w:val="00736F98"/>
    <w:rsid w:val="00744927"/>
    <w:rsid w:val="00744A85"/>
    <w:rsid w:val="00751173"/>
    <w:rsid w:val="00751EA6"/>
    <w:rsid w:val="00755A12"/>
    <w:rsid w:val="0075632F"/>
    <w:rsid w:val="0075795E"/>
    <w:rsid w:val="00760BCF"/>
    <w:rsid w:val="00761521"/>
    <w:rsid w:val="00762A99"/>
    <w:rsid w:val="00776086"/>
    <w:rsid w:val="00787B08"/>
    <w:rsid w:val="007951DD"/>
    <w:rsid w:val="007A006E"/>
    <w:rsid w:val="007A4FC9"/>
    <w:rsid w:val="007A5CE9"/>
    <w:rsid w:val="007B0CD2"/>
    <w:rsid w:val="007B6E2C"/>
    <w:rsid w:val="007B7706"/>
    <w:rsid w:val="007C0404"/>
    <w:rsid w:val="007C158E"/>
    <w:rsid w:val="007C1E9A"/>
    <w:rsid w:val="007C74A6"/>
    <w:rsid w:val="007C7558"/>
    <w:rsid w:val="007D12D8"/>
    <w:rsid w:val="007D197A"/>
    <w:rsid w:val="007D2AC8"/>
    <w:rsid w:val="007D308E"/>
    <w:rsid w:val="007D4CB5"/>
    <w:rsid w:val="007E4920"/>
    <w:rsid w:val="007E7C82"/>
    <w:rsid w:val="007E7FF5"/>
    <w:rsid w:val="007F1538"/>
    <w:rsid w:val="007F2FCB"/>
    <w:rsid w:val="007F5026"/>
    <w:rsid w:val="008016D1"/>
    <w:rsid w:val="00803BE9"/>
    <w:rsid w:val="00812B21"/>
    <w:rsid w:val="00814493"/>
    <w:rsid w:val="008171B7"/>
    <w:rsid w:val="00820B03"/>
    <w:rsid w:val="00821388"/>
    <w:rsid w:val="00822E73"/>
    <w:rsid w:val="00824DAD"/>
    <w:rsid w:val="00824DEF"/>
    <w:rsid w:val="008262AF"/>
    <w:rsid w:val="00841728"/>
    <w:rsid w:val="008419D9"/>
    <w:rsid w:val="0084289A"/>
    <w:rsid w:val="00850873"/>
    <w:rsid w:val="0086274F"/>
    <w:rsid w:val="00863AA4"/>
    <w:rsid w:val="00871D6D"/>
    <w:rsid w:val="00875863"/>
    <w:rsid w:val="008761FC"/>
    <w:rsid w:val="00895F7F"/>
    <w:rsid w:val="008A2C17"/>
    <w:rsid w:val="008A3A39"/>
    <w:rsid w:val="008A5721"/>
    <w:rsid w:val="008B001D"/>
    <w:rsid w:val="008B0875"/>
    <w:rsid w:val="008B1645"/>
    <w:rsid w:val="008C33B3"/>
    <w:rsid w:val="008C3761"/>
    <w:rsid w:val="008C6A9C"/>
    <w:rsid w:val="008D292D"/>
    <w:rsid w:val="008D3F77"/>
    <w:rsid w:val="008E41DC"/>
    <w:rsid w:val="008E5D7B"/>
    <w:rsid w:val="008E6E93"/>
    <w:rsid w:val="008E7703"/>
    <w:rsid w:val="008F5246"/>
    <w:rsid w:val="008F5F21"/>
    <w:rsid w:val="008F7A5C"/>
    <w:rsid w:val="009052CB"/>
    <w:rsid w:val="00916941"/>
    <w:rsid w:val="009217B0"/>
    <w:rsid w:val="00921DB5"/>
    <w:rsid w:val="00923519"/>
    <w:rsid w:val="00926EA3"/>
    <w:rsid w:val="009303E7"/>
    <w:rsid w:val="00933064"/>
    <w:rsid w:val="00935B08"/>
    <w:rsid w:val="0095406B"/>
    <w:rsid w:val="00956C40"/>
    <w:rsid w:val="00957449"/>
    <w:rsid w:val="00965ACC"/>
    <w:rsid w:val="00966DC7"/>
    <w:rsid w:val="00974D05"/>
    <w:rsid w:val="0098008C"/>
    <w:rsid w:val="00982034"/>
    <w:rsid w:val="00982B34"/>
    <w:rsid w:val="009842E6"/>
    <w:rsid w:val="00991C17"/>
    <w:rsid w:val="00992233"/>
    <w:rsid w:val="009943AE"/>
    <w:rsid w:val="00996773"/>
    <w:rsid w:val="00996953"/>
    <w:rsid w:val="00997244"/>
    <w:rsid w:val="00997B54"/>
    <w:rsid w:val="009A068F"/>
    <w:rsid w:val="009A0BE7"/>
    <w:rsid w:val="009B12F0"/>
    <w:rsid w:val="009B246D"/>
    <w:rsid w:val="009B6256"/>
    <w:rsid w:val="009B7700"/>
    <w:rsid w:val="009B7734"/>
    <w:rsid w:val="009C1F90"/>
    <w:rsid w:val="009C3725"/>
    <w:rsid w:val="009C42E9"/>
    <w:rsid w:val="009C4737"/>
    <w:rsid w:val="009C4D4C"/>
    <w:rsid w:val="009C6AFB"/>
    <w:rsid w:val="009C7121"/>
    <w:rsid w:val="009D1B8A"/>
    <w:rsid w:val="009E21A2"/>
    <w:rsid w:val="009E2828"/>
    <w:rsid w:val="009E4818"/>
    <w:rsid w:val="009E6790"/>
    <w:rsid w:val="009E6EB7"/>
    <w:rsid w:val="009E763F"/>
    <w:rsid w:val="00A0085A"/>
    <w:rsid w:val="00A03EE4"/>
    <w:rsid w:val="00A04D76"/>
    <w:rsid w:val="00A05131"/>
    <w:rsid w:val="00A05490"/>
    <w:rsid w:val="00A05E32"/>
    <w:rsid w:val="00A07327"/>
    <w:rsid w:val="00A12E87"/>
    <w:rsid w:val="00A14655"/>
    <w:rsid w:val="00A149F0"/>
    <w:rsid w:val="00A152B4"/>
    <w:rsid w:val="00A1553E"/>
    <w:rsid w:val="00A16CEA"/>
    <w:rsid w:val="00A21ED9"/>
    <w:rsid w:val="00A25765"/>
    <w:rsid w:val="00A27F6D"/>
    <w:rsid w:val="00A302FE"/>
    <w:rsid w:val="00A32891"/>
    <w:rsid w:val="00A3329A"/>
    <w:rsid w:val="00A359D5"/>
    <w:rsid w:val="00A36EF4"/>
    <w:rsid w:val="00A4466D"/>
    <w:rsid w:val="00A5006A"/>
    <w:rsid w:val="00A551D1"/>
    <w:rsid w:val="00A60DBB"/>
    <w:rsid w:val="00A60F35"/>
    <w:rsid w:val="00A61CFF"/>
    <w:rsid w:val="00A62871"/>
    <w:rsid w:val="00A638C5"/>
    <w:rsid w:val="00A646B8"/>
    <w:rsid w:val="00A7627E"/>
    <w:rsid w:val="00A839BE"/>
    <w:rsid w:val="00A83F8F"/>
    <w:rsid w:val="00A90E8E"/>
    <w:rsid w:val="00A9198C"/>
    <w:rsid w:val="00A94579"/>
    <w:rsid w:val="00A95818"/>
    <w:rsid w:val="00A9590E"/>
    <w:rsid w:val="00AA3EBD"/>
    <w:rsid w:val="00AA6452"/>
    <w:rsid w:val="00AA6802"/>
    <w:rsid w:val="00AB26B5"/>
    <w:rsid w:val="00AB38E2"/>
    <w:rsid w:val="00AB6F60"/>
    <w:rsid w:val="00AB7A69"/>
    <w:rsid w:val="00AC1691"/>
    <w:rsid w:val="00AC1CA8"/>
    <w:rsid w:val="00AC4C08"/>
    <w:rsid w:val="00AC7F91"/>
    <w:rsid w:val="00AD7A4B"/>
    <w:rsid w:val="00AE05B5"/>
    <w:rsid w:val="00AE3DEB"/>
    <w:rsid w:val="00AE6181"/>
    <w:rsid w:val="00AE64FF"/>
    <w:rsid w:val="00AF1254"/>
    <w:rsid w:val="00AF5172"/>
    <w:rsid w:val="00AF5D32"/>
    <w:rsid w:val="00B01951"/>
    <w:rsid w:val="00B05254"/>
    <w:rsid w:val="00B05F3A"/>
    <w:rsid w:val="00B0640C"/>
    <w:rsid w:val="00B14396"/>
    <w:rsid w:val="00B173B5"/>
    <w:rsid w:val="00B207F2"/>
    <w:rsid w:val="00B267DC"/>
    <w:rsid w:val="00B308F2"/>
    <w:rsid w:val="00B30DEB"/>
    <w:rsid w:val="00B34B14"/>
    <w:rsid w:val="00B420A0"/>
    <w:rsid w:val="00B456B7"/>
    <w:rsid w:val="00B45912"/>
    <w:rsid w:val="00B51437"/>
    <w:rsid w:val="00B5211D"/>
    <w:rsid w:val="00B52EFE"/>
    <w:rsid w:val="00B532E2"/>
    <w:rsid w:val="00B54E3F"/>
    <w:rsid w:val="00B61944"/>
    <w:rsid w:val="00B62E0A"/>
    <w:rsid w:val="00B6351C"/>
    <w:rsid w:val="00B736A5"/>
    <w:rsid w:val="00B74778"/>
    <w:rsid w:val="00B74FC8"/>
    <w:rsid w:val="00B76163"/>
    <w:rsid w:val="00B8232C"/>
    <w:rsid w:val="00B8350D"/>
    <w:rsid w:val="00B85BB1"/>
    <w:rsid w:val="00B85DB0"/>
    <w:rsid w:val="00B87EA5"/>
    <w:rsid w:val="00B92C1B"/>
    <w:rsid w:val="00B96E99"/>
    <w:rsid w:val="00BA1C72"/>
    <w:rsid w:val="00BA3538"/>
    <w:rsid w:val="00BA600A"/>
    <w:rsid w:val="00BA7E2B"/>
    <w:rsid w:val="00BB09CD"/>
    <w:rsid w:val="00BB2E42"/>
    <w:rsid w:val="00BB5610"/>
    <w:rsid w:val="00BC5DE2"/>
    <w:rsid w:val="00BD1600"/>
    <w:rsid w:val="00BD2E28"/>
    <w:rsid w:val="00BD36A4"/>
    <w:rsid w:val="00BD3EF7"/>
    <w:rsid w:val="00BE0B41"/>
    <w:rsid w:val="00BE0D36"/>
    <w:rsid w:val="00BE21D1"/>
    <w:rsid w:val="00BE47F3"/>
    <w:rsid w:val="00BE4E55"/>
    <w:rsid w:val="00BF3AB0"/>
    <w:rsid w:val="00BF5BA2"/>
    <w:rsid w:val="00BF7BA5"/>
    <w:rsid w:val="00C0692C"/>
    <w:rsid w:val="00C12E92"/>
    <w:rsid w:val="00C1575D"/>
    <w:rsid w:val="00C22B66"/>
    <w:rsid w:val="00C2709D"/>
    <w:rsid w:val="00C27F88"/>
    <w:rsid w:val="00C33322"/>
    <w:rsid w:val="00C3632D"/>
    <w:rsid w:val="00C436C7"/>
    <w:rsid w:val="00C4584B"/>
    <w:rsid w:val="00C479E0"/>
    <w:rsid w:val="00C539B9"/>
    <w:rsid w:val="00C55B05"/>
    <w:rsid w:val="00C55D41"/>
    <w:rsid w:val="00C573FC"/>
    <w:rsid w:val="00C6101A"/>
    <w:rsid w:val="00C61524"/>
    <w:rsid w:val="00C617E1"/>
    <w:rsid w:val="00C666BA"/>
    <w:rsid w:val="00C73155"/>
    <w:rsid w:val="00C86BF0"/>
    <w:rsid w:val="00C9065C"/>
    <w:rsid w:val="00C90B5B"/>
    <w:rsid w:val="00C91236"/>
    <w:rsid w:val="00C921EF"/>
    <w:rsid w:val="00C92C9D"/>
    <w:rsid w:val="00CA21A1"/>
    <w:rsid w:val="00CA449F"/>
    <w:rsid w:val="00CA540E"/>
    <w:rsid w:val="00CA5A41"/>
    <w:rsid w:val="00CB0C6C"/>
    <w:rsid w:val="00CB2E1A"/>
    <w:rsid w:val="00CB485A"/>
    <w:rsid w:val="00CC2470"/>
    <w:rsid w:val="00CC2F8C"/>
    <w:rsid w:val="00CC449C"/>
    <w:rsid w:val="00CC535D"/>
    <w:rsid w:val="00CD2BE4"/>
    <w:rsid w:val="00CD5CC1"/>
    <w:rsid w:val="00CD6026"/>
    <w:rsid w:val="00CD6EC7"/>
    <w:rsid w:val="00CE087B"/>
    <w:rsid w:val="00CE31C8"/>
    <w:rsid w:val="00CE4330"/>
    <w:rsid w:val="00CE567F"/>
    <w:rsid w:val="00CE59E6"/>
    <w:rsid w:val="00CE7679"/>
    <w:rsid w:val="00CF277F"/>
    <w:rsid w:val="00CF4CBB"/>
    <w:rsid w:val="00D00ACC"/>
    <w:rsid w:val="00D03478"/>
    <w:rsid w:val="00D0625E"/>
    <w:rsid w:val="00D07EE1"/>
    <w:rsid w:val="00D13015"/>
    <w:rsid w:val="00D133A2"/>
    <w:rsid w:val="00D13F5C"/>
    <w:rsid w:val="00D14607"/>
    <w:rsid w:val="00D15AD4"/>
    <w:rsid w:val="00D1649F"/>
    <w:rsid w:val="00D20538"/>
    <w:rsid w:val="00D211DC"/>
    <w:rsid w:val="00D250B0"/>
    <w:rsid w:val="00D368AA"/>
    <w:rsid w:val="00D40C72"/>
    <w:rsid w:val="00D43EA3"/>
    <w:rsid w:val="00D45FAB"/>
    <w:rsid w:val="00D472FE"/>
    <w:rsid w:val="00D51065"/>
    <w:rsid w:val="00D52236"/>
    <w:rsid w:val="00D528FE"/>
    <w:rsid w:val="00D56D91"/>
    <w:rsid w:val="00D67A09"/>
    <w:rsid w:val="00D712DE"/>
    <w:rsid w:val="00D75BF6"/>
    <w:rsid w:val="00D804A1"/>
    <w:rsid w:val="00D86B2E"/>
    <w:rsid w:val="00D901BD"/>
    <w:rsid w:val="00D91710"/>
    <w:rsid w:val="00D92975"/>
    <w:rsid w:val="00DA4CF4"/>
    <w:rsid w:val="00DB3B2A"/>
    <w:rsid w:val="00DB6E09"/>
    <w:rsid w:val="00DB7B56"/>
    <w:rsid w:val="00DC27F4"/>
    <w:rsid w:val="00DC3275"/>
    <w:rsid w:val="00DC38F6"/>
    <w:rsid w:val="00DC5022"/>
    <w:rsid w:val="00DC5793"/>
    <w:rsid w:val="00DD0696"/>
    <w:rsid w:val="00DD1735"/>
    <w:rsid w:val="00DD1945"/>
    <w:rsid w:val="00DD2204"/>
    <w:rsid w:val="00DD7A7D"/>
    <w:rsid w:val="00DE4868"/>
    <w:rsid w:val="00DE4917"/>
    <w:rsid w:val="00DE57D4"/>
    <w:rsid w:val="00DE62F5"/>
    <w:rsid w:val="00DE7A48"/>
    <w:rsid w:val="00DF288A"/>
    <w:rsid w:val="00DF3DF6"/>
    <w:rsid w:val="00DF4E11"/>
    <w:rsid w:val="00DF57B8"/>
    <w:rsid w:val="00DF64FF"/>
    <w:rsid w:val="00DF72C5"/>
    <w:rsid w:val="00E005B9"/>
    <w:rsid w:val="00E00DD3"/>
    <w:rsid w:val="00E029E2"/>
    <w:rsid w:val="00E13279"/>
    <w:rsid w:val="00E15214"/>
    <w:rsid w:val="00E22F62"/>
    <w:rsid w:val="00E23211"/>
    <w:rsid w:val="00E23830"/>
    <w:rsid w:val="00E2703D"/>
    <w:rsid w:val="00E36432"/>
    <w:rsid w:val="00E41649"/>
    <w:rsid w:val="00E423E4"/>
    <w:rsid w:val="00E42A9B"/>
    <w:rsid w:val="00E46A83"/>
    <w:rsid w:val="00E47C45"/>
    <w:rsid w:val="00E501FD"/>
    <w:rsid w:val="00E53F2E"/>
    <w:rsid w:val="00E71017"/>
    <w:rsid w:val="00E71A6F"/>
    <w:rsid w:val="00E71AEC"/>
    <w:rsid w:val="00E73E13"/>
    <w:rsid w:val="00E759C9"/>
    <w:rsid w:val="00E80D04"/>
    <w:rsid w:val="00E81D2D"/>
    <w:rsid w:val="00E82ED4"/>
    <w:rsid w:val="00E853A3"/>
    <w:rsid w:val="00E854D8"/>
    <w:rsid w:val="00E87AA3"/>
    <w:rsid w:val="00E925D7"/>
    <w:rsid w:val="00E9353A"/>
    <w:rsid w:val="00E94458"/>
    <w:rsid w:val="00EA1963"/>
    <w:rsid w:val="00EA422B"/>
    <w:rsid w:val="00EA44D0"/>
    <w:rsid w:val="00EA6B9C"/>
    <w:rsid w:val="00EB4089"/>
    <w:rsid w:val="00EB542E"/>
    <w:rsid w:val="00EC2FAE"/>
    <w:rsid w:val="00EC57B1"/>
    <w:rsid w:val="00ED01F1"/>
    <w:rsid w:val="00ED1D3B"/>
    <w:rsid w:val="00ED61BD"/>
    <w:rsid w:val="00ED6DF2"/>
    <w:rsid w:val="00EE207B"/>
    <w:rsid w:val="00EE5D61"/>
    <w:rsid w:val="00EF63CD"/>
    <w:rsid w:val="00F01D85"/>
    <w:rsid w:val="00F05438"/>
    <w:rsid w:val="00F1258E"/>
    <w:rsid w:val="00F13B8E"/>
    <w:rsid w:val="00F2602E"/>
    <w:rsid w:val="00F30635"/>
    <w:rsid w:val="00F306A7"/>
    <w:rsid w:val="00F30761"/>
    <w:rsid w:val="00F31524"/>
    <w:rsid w:val="00F3240D"/>
    <w:rsid w:val="00F4092C"/>
    <w:rsid w:val="00F41173"/>
    <w:rsid w:val="00F41BB1"/>
    <w:rsid w:val="00F521E0"/>
    <w:rsid w:val="00F53E6A"/>
    <w:rsid w:val="00F57A3C"/>
    <w:rsid w:val="00F61B4F"/>
    <w:rsid w:val="00F63201"/>
    <w:rsid w:val="00F64335"/>
    <w:rsid w:val="00F645C0"/>
    <w:rsid w:val="00F6608A"/>
    <w:rsid w:val="00F701DD"/>
    <w:rsid w:val="00F71AE4"/>
    <w:rsid w:val="00F82FDC"/>
    <w:rsid w:val="00F8564E"/>
    <w:rsid w:val="00F86908"/>
    <w:rsid w:val="00F8738F"/>
    <w:rsid w:val="00F87BC0"/>
    <w:rsid w:val="00FA048B"/>
    <w:rsid w:val="00FA08BD"/>
    <w:rsid w:val="00FA0BDA"/>
    <w:rsid w:val="00FA1EB2"/>
    <w:rsid w:val="00FA4AD8"/>
    <w:rsid w:val="00FA4CBA"/>
    <w:rsid w:val="00FA7B32"/>
    <w:rsid w:val="00FB35F7"/>
    <w:rsid w:val="00FB4CD5"/>
    <w:rsid w:val="00FB6164"/>
    <w:rsid w:val="00FB7DF5"/>
    <w:rsid w:val="00FC45CB"/>
    <w:rsid w:val="00FC5496"/>
    <w:rsid w:val="00FC5F76"/>
    <w:rsid w:val="00FD1758"/>
    <w:rsid w:val="00FD189C"/>
    <w:rsid w:val="00FD29E4"/>
    <w:rsid w:val="00FD56BE"/>
    <w:rsid w:val="00FE423C"/>
    <w:rsid w:val="00FE43CD"/>
    <w:rsid w:val="00FE7BED"/>
    <w:rsid w:val="00FF1A31"/>
    <w:rsid w:val="00FF2F09"/>
    <w:rsid w:val="00FF2F15"/>
    <w:rsid w:val="00FF6E8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7172EA"/>
  <w15:docId w15:val="{DB8C17DC-5215-C94C-9D98-DB63066D7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SG" w:eastAsia="en-S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A69"/>
    <w:pPr>
      <w:spacing w:before="240" w:after="120" w:line="276" w:lineRule="auto"/>
      <w:jc w:val="both"/>
    </w:pPr>
    <w:rPr>
      <w:rFonts w:ascii="Arial" w:hAnsi="Arial"/>
      <w:lang w:val="en-US" w:eastAsia="en-US"/>
    </w:rPr>
  </w:style>
  <w:style w:type="paragraph" w:styleId="Heading1">
    <w:name w:val="heading 1"/>
    <w:basedOn w:val="Normal"/>
    <w:next w:val="Normal"/>
    <w:link w:val="Heading1Char"/>
    <w:autoRedefine/>
    <w:uiPriority w:val="9"/>
    <w:qFormat/>
    <w:rsid w:val="0040043F"/>
    <w:pPr>
      <w:keepNext/>
      <w:keepLines/>
      <w:spacing w:after="60"/>
      <w:jc w:val="center"/>
      <w:outlineLvl w:val="0"/>
    </w:pPr>
    <w:rPr>
      <w:rFonts w:eastAsia="Times New Roman"/>
      <w:b/>
      <w:bCs/>
      <w:caps/>
      <w:sz w:val="28"/>
      <w:szCs w:val="28"/>
    </w:rPr>
  </w:style>
  <w:style w:type="paragraph" w:styleId="Heading2">
    <w:name w:val="heading 2"/>
    <w:basedOn w:val="Normal"/>
    <w:next w:val="Normal"/>
    <w:link w:val="Heading2Char"/>
    <w:autoRedefine/>
    <w:uiPriority w:val="9"/>
    <w:unhideWhenUsed/>
    <w:qFormat/>
    <w:rsid w:val="00996773"/>
    <w:pPr>
      <w:jc w:val="center"/>
      <w:outlineLvl w:val="1"/>
    </w:pPr>
    <w:rPr>
      <w:b/>
      <w:bCs/>
      <w:caps/>
      <w:szCs w:val="26"/>
    </w:rPr>
  </w:style>
  <w:style w:type="paragraph" w:styleId="Heading3">
    <w:name w:val="heading 3"/>
    <w:basedOn w:val="Normal"/>
    <w:next w:val="Normal"/>
    <w:link w:val="Heading3Char"/>
    <w:autoRedefine/>
    <w:uiPriority w:val="9"/>
    <w:unhideWhenUsed/>
    <w:qFormat/>
    <w:rsid w:val="00AB7A69"/>
    <w:pPr>
      <w:outlineLvl w:val="2"/>
    </w:pPr>
    <w:rPr>
      <w:u w:val="single"/>
    </w:rPr>
  </w:style>
  <w:style w:type="paragraph" w:styleId="Heading4">
    <w:name w:val="heading 4"/>
    <w:basedOn w:val="Normal"/>
    <w:next w:val="Normal"/>
    <w:link w:val="Heading4Char"/>
    <w:uiPriority w:val="9"/>
    <w:semiHidden/>
    <w:unhideWhenUsed/>
    <w:rsid w:val="0014521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45215"/>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55142"/>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55142"/>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5514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5514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IL1Heading">
    <w:name w:val="CIL 1 Heading"/>
    <w:basedOn w:val="Heading1"/>
    <w:autoRedefine/>
    <w:rsid w:val="00A359D5"/>
    <w:pPr>
      <w:keepLines w:val="0"/>
      <w:outlineLvl w:val="9"/>
    </w:pPr>
    <w:rPr>
      <w:rFonts w:eastAsia="Batang" w:cs="Arial"/>
      <w:caps w:val="0"/>
      <w:kern w:val="32"/>
      <w:szCs w:val="32"/>
      <w:lang w:val="en-GB" w:eastAsia="ko-KR"/>
    </w:rPr>
  </w:style>
  <w:style w:type="character" w:customStyle="1" w:styleId="Heading1Char">
    <w:name w:val="Heading 1 Char"/>
    <w:link w:val="Heading1"/>
    <w:uiPriority w:val="9"/>
    <w:rsid w:val="0040043F"/>
    <w:rPr>
      <w:rFonts w:ascii="Arial" w:eastAsia="Times New Roman" w:hAnsi="Arial"/>
      <w:b/>
      <w:bCs/>
      <w:caps/>
      <w:sz w:val="28"/>
      <w:szCs w:val="28"/>
      <w:lang w:val="en-US" w:eastAsia="en-US"/>
    </w:rPr>
  </w:style>
  <w:style w:type="paragraph" w:customStyle="1" w:styleId="CIL2Heading">
    <w:name w:val="CIL 2 Heading"/>
    <w:basedOn w:val="Heading2"/>
    <w:autoRedefine/>
    <w:rsid w:val="00A359D5"/>
    <w:rPr>
      <w:rFonts w:eastAsia="Batang" w:cs="Arial"/>
      <w:b w:val="0"/>
      <w:iCs/>
      <w:caps w:val="0"/>
      <w:szCs w:val="28"/>
      <w:lang w:val="en-GB" w:eastAsia="ko-KR"/>
    </w:rPr>
  </w:style>
  <w:style w:type="character" w:customStyle="1" w:styleId="Heading2Char">
    <w:name w:val="Heading 2 Char"/>
    <w:link w:val="Heading2"/>
    <w:uiPriority w:val="9"/>
    <w:rsid w:val="00996773"/>
    <w:rPr>
      <w:rFonts w:ascii="Arial" w:hAnsi="Arial"/>
      <w:b/>
      <w:bCs/>
      <w:caps/>
      <w:szCs w:val="26"/>
      <w:lang w:val="en-US" w:eastAsia="en-US"/>
    </w:rPr>
  </w:style>
  <w:style w:type="paragraph" w:customStyle="1" w:styleId="CILFooter">
    <w:name w:val="CIL Footer"/>
    <w:basedOn w:val="Normal"/>
    <w:link w:val="CILFooterChar"/>
    <w:qFormat/>
    <w:rsid w:val="001142FA"/>
    <w:pPr>
      <w:pBdr>
        <w:top w:val="single" w:sz="4" w:space="8" w:color="auto"/>
      </w:pBdr>
      <w:tabs>
        <w:tab w:val="center" w:pos="4680"/>
        <w:tab w:val="right" w:pos="9360"/>
      </w:tabs>
      <w:jc w:val="center"/>
    </w:pPr>
    <w:rPr>
      <w:rFonts w:eastAsia="Batang" w:cs="Arial"/>
      <w:color w:val="808080"/>
      <w:sz w:val="16"/>
      <w:szCs w:val="16"/>
      <w:lang w:val="en-GB" w:eastAsia="ko-KR"/>
    </w:rPr>
  </w:style>
  <w:style w:type="character" w:customStyle="1" w:styleId="CILFooterChar">
    <w:name w:val="CIL Footer Char"/>
    <w:link w:val="CILFooter"/>
    <w:rsid w:val="001142FA"/>
    <w:rPr>
      <w:rFonts w:ascii="Arial" w:eastAsia="Batang" w:hAnsi="Arial" w:cs="Arial"/>
      <w:color w:val="808080"/>
      <w:sz w:val="16"/>
      <w:szCs w:val="16"/>
      <w:lang w:val="en-GB" w:eastAsia="ko-KR"/>
    </w:rPr>
  </w:style>
  <w:style w:type="paragraph" w:customStyle="1" w:styleId="CILparagraph">
    <w:name w:val="CIL paragraph"/>
    <w:basedOn w:val="Normal"/>
    <w:autoRedefine/>
    <w:rsid w:val="001207E1"/>
    <w:pPr>
      <w:contextualSpacing/>
    </w:pPr>
    <w:rPr>
      <w:rFonts w:eastAsia="Batang" w:cs="Arial"/>
      <w:szCs w:val="24"/>
      <w:lang w:val="en-GB" w:eastAsia="ko-KR"/>
    </w:rPr>
  </w:style>
  <w:style w:type="paragraph" w:customStyle="1" w:styleId="CILSubtitle">
    <w:name w:val="CIL Subtitle"/>
    <w:basedOn w:val="Normal"/>
    <w:link w:val="CILSubtitleChar"/>
    <w:autoRedefine/>
    <w:qFormat/>
    <w:rsid w:val="00AB7A69"/>
    <w:pPr>
      <w:jc w:val="center"/>
    </w:pPr>
    <w:rPr>
      <w:rFonts w:eastAsia="Batang" w:cs="Arial"/>
      <w:i/>
      <w:szCs w:val="24"/>
      <w:lang w:val="en-GB" w:eastAsia="ko-KR"/>
    </w:rPr>
  </w:style>
  <w:style w:type="character" w:customStyle="1" w:styleId="CILSubtitleChar">
    <w:name w:val="CIL Subtitle Char"/>
    <w:link w:val="CILSubtitle"/>
    <w:rsid w:val="00AB7A69"/>
    <w:rPr>
      <w:rFonts w:ascii="Arial" w:eastAsia="Batang" w:hAnsi="Arial" w:cs="Arial"/>
      <w:i/>
      <w:szCs w:val="24"/>
      <w:lang w:eastAsia="ko-KR"/>
    </w:rPr>
  </w:style>
  <w:style w:type="paragraph" w:customStyle="1" w:styleId="CILTitle">
    <w:name w:val="CIL Title"/>
    <w:basedOn w:val="Normal"/>
    <w:autoRedefine/>
    <w:qFormat/>
    <w:rsid w:val="00A359D5"/>
    <w:pPr>
      <w:jc w:val="center"/>
    </w:pPr>
    <w:rPr>
      <w:rFonts w:eastAsia="Batang" w:cs="Arial"/>
      <w:b/>
      <w:bCs/>
      <w:caps/>
      <w:kern w:val="32"/>
      <w:sz w:val="28"/>
      <w:szCs w:val="32"/>
      <w:lang w:val="en-GB" w:eastAsia="ko-KR"/>
    </w:rPr>
  </w:style>
  <w:style w:type="character" w:customStyle="1" w:styleId="Heading3Char">
    <w:name w:val="Heading 3 Char"/>
    <w:link w:val="Heading3"/>
    <w:uiPriority w:val="9"/>
    <w:rsid w:val="00AB7A69"/>
    <w:rPr>
      <w:rFonts w:ascii="Arial" w:hAnsi="Arial"/>
      <w:u w:val="single"/>
      <w:lang w:val="en-US" w:eastAsia="en-US"/>
    </w:rPr>
  </w:style>
  <w:style w:type="paragraph" w:customStyle="1" w:styleId="CILL1TOC">
    <w:name w:val="CIL L1 TOC"/>
    <w:basedOn w:val="TOC1"/>
    <w:autoRedefine/>
    <w:rsid w:val="0042562D"/>
    <w:pPr>
      <w:tabs>
        <w:tab w:val="right" w:leader="dot" w:pos="9350"/>
      </w:tabs>
      <w:spacing w:before="120" w:after="120" w:line="360" w:lineRule="auto"/>
    </w:pPr>
    <w:rPr>
      <w:rFonts w:cs="Arial"/>
      <w:noProof/>
    </w:rPr>
  </w:style>
  <w:style w:type="paragraph" w:styleId="TOC1">
    <w:name w:val="toc 1"/>
    <w:basedOn w:val="Normal"/>
    <w:next w:val="Normal"/>
    <w:autoRedefine/>
    <w:uiPriority w:val="39"/>
    <w:unhideWhenUsed/>
    <w:rsid w:val="00AB7A69"/>
    <w:pPr>
      <w:spacing w:before="60" w:after="60"/>
    </w:pPr>
    <w:rPr>
      <w:caps/>
    </w:rPr>
  </w:style>
  <w:style w:type="paragraph" w:customStyle="1" w:styleId="Style1">
    <w:name w:val="Style1"/>
    <w:basedOn w:val="TOC2"/>
    <w:autoRedefine/>
    <w:rsid w:val="0042562D"/>
    <w:pPr>
      <w:tabs>
        <w:tab w:val="right" w:leader="dot" w:pos="9350"/>
      </w:tabs>
      <w:spacing w:line="360" w:lineRule="auto"/>
      <w:ind w:left="202"/>
    </w:pPr>
    <w:rPr>
      <w:rFonts w:cs="Arial"/>
      <w:noProof/>
    </w:rPr>
  </w:style>
  <w:style w:type="paragraph" w:styleId="TOC2">
    <w:name w:val="toc 2"/>
    <w:basedOn w:val="Heading2"/>
    <w:next w:val="Normal"/>
    <w:autoRedefine/>
    <w:uiPriority w:val="39"/>
    <w:unhideWhenUsed/>
    <w:rsid w:val="009C1F90"/>
    <w:pPr>
      <w:spacing w:before="60" w:after="60"/>
      <w:ind w:left="284"/>
      <w:jc w:val="left"/>
      <w:outlineLvl w:val="0"/>
    </w:pPr>
    <w:rPr>
      <w:b w:val="0"/>
    </w:rPr>
  </w:style>
  <w:style w:type="paragraph" w:customStyle="1" w:styleId="CILL2TOC">
    <w:name w:val="CIL L2 TOC"/>
    <w:basedOn w:val="TOC2"/>
    <w:autoRedefine/>
    <w:rsid w:val="0042562D"/>
    <w:pPr>
      <w:tabs>
        <w:tab w:val="right" w:leader="dot" w:pos="9350"/>
      </w:tabs>
      <w:spacing w:line="360" w:lineRule="auto"/>
      <w:ind w:left="202"/>
    </w:pPr>
    <w:rPr>
      <w:rFonts w:cs="Arial"/>
      <w:noProof/>
    </w:rPr>
  </w:style>
  <w:style w:type="paragraph" w:customStyle="1" w:styleId="CILParagraph0">
    <w:name w:val="CIL Paragraph"/>
    <w:basedOn w:val="Normal"/>
    <w:next w:val="Normal"/>
    <w:autoRedefine/>
    <w:rsid w:val="00642035"/>
  </w:style>
  <w:style w:type="paragraph" w:customStyle="1" w:styleId="CILMain">
    <w:name w:val="CIL Main"/>
    <w:autoRedefine/>
    <w:rsid w:val="00025831"/>
    <w:pPr>
      <w:spacing w:before="240" w:after="120" w:line="276" w:lineRule="auto"/>
      <w:jc w:val="both"/>
    </w:pPr>
    <w:rPr>
      <w:rFonts w:ascii="Arial" w:hAnsi="Arial"/>
      <w:lang w:val="en-US" w:eastAsia="en-US"/>
    </w:rPr>
  </w:style>
  <w:style w:type="paragraph" w:styleId="Subtitle">
    <w:name w:val="Subtitle"/>
    <w:basedOn w:val="Normal"/>
    <w:next w:val="Normal"/>
    <w:link w:val="SubtitleChar"/>
    <w:autoRedefine/>
    <w:uiPriority w:val="11"/>
    <w:qFormat/>
    <w:rsid w:val="00311F81"/>
    <w:pPr>
      <w:jc w:val="center"/>
    </w:pPr>
    <w:rPr>
      <w:rFonts w:ascii="Calibri" w:eastAsia="Times New Roman" w:hAnsi="Calibri"/>
      <w:i/>
      <w:szCs w:val="24"/>
      <w:lang w:val="en-GB" w:eastAsia="ko-KR"/>
    </w:rPr>
  </w:style>
  <w:style w:type="character" w:customStyle="1" w:styleId="SubtitleChar">
    <w:name w:val="Subtitle Char"/>
    <w:link w:val="Subtitle"/>
    <w:uiPriority w:val="11"/>
    <w:rsid w:val="00311F81"/>
    <w:rPr>
      <w:rFonts w:eastAsia="Times New Roman" w:cs="Times New Roman"/>
      <w:i/>
      <w:szCs w:val="24"/>
      <w:lang w:val="en-GB" w:eastAsia="ko-KR"/>
    </w:rPr>
  </w:style>
  <w:style w:type="paragraph" w:styleId="Title">
    <w:name w:val="Title"/>
    <w:basedOn w:val="Normal"/>
    <w:next w:val="Normal"/>
    <w:link w:val="TitleChar"/>
    <w:autoRedefine/>
    <w:uiPriority w:val="10"/>
    <w:qFormat/>
    <w:rsid w:val="00311F81"/>
    <w:pPr>
      <w:jc w:val="center"/>
    </w:pPr>
    <w:rPr>
      <w:rFonts w:ascii="Calibri" w:eastAsia="Times New Roman" w:hAnsi="Calibri"/>
      <w:b/>
      <w:bCs/>
      <w:caps/>
      <w:kern w:val="28"/>
      <w:sz w:val="28"/>
      <w:szCs w:val="32"/>
      <w:lang w:val="en-GB" w:eastAsia="ko-KR"/>
    </w:rPr>
  </w:style>
  <w:style w:type="character" w:customStyle="1" w:styleId="TitleChar">
    <w:name w:val="Title Char"/>
    <w:link w:val="Title"/>
    <w:uiPriority w:val="10"/>
    <w:rsid w:val="00311F81"/>
    <w:rPr>
      <w:rFonts w:eastAsia="Times New Roman" w:cs="Times New Roman"/>
      <w:b/>
      <w:bCs/>
      <w:caps/>
      <w:kern w:val="28"/>
      <w:sz w:val="28"/>
      <w:szCs w:val="32"/>
      <w:lang w:val="en-GB" w:eastAsia="ko-KR"/>
    </w:rPr>
  </w:style>
  <w:style w:type="paragraph" w:styleId="Header">
    <w:name w:val="header"/>
    <w:basedOn w:val="Normal"/>
    <w:link w:val="HeaderChar"/>
    <w:uiPriority w:val="99"/>
    <w:unhideWhenUsed/>
    <w:rsid w:val="00F61B4F"/>
    <w:pPr>
      <w:tabs>
        <w:tab w:val="center" w:pos="4680"/>
        <w:tab w:val="right" w:pos="9360"/>
      </w:tabs>
      <w:spacing w:before="0" w:after="0" w:line="240" w:lineRule="auto"/>
    </w:pPr>
  </w:style>
  <w:style w:type="character" w:customStyle="1" w:styleId="HeaderChar">
    <w:name w:val="Header Char"/>
    <w:link w:val="Header"/>
    <w:uiPriority w:val="99"/>
    <w:rsid w:val="00F61B4F"/>
    <w:rPr>
      <w:rFonts w:ascii="Arial" w:hAnsi="Arial"/>
    </w:rPr>
  </w:style>
  <w:style w:type="paragraph" w:styleId="Footer">
    <w:name w:val="footer"/>
    <w:basedOn w:val="Normal"/>
    <w:link w:val="FooterChar"/>
    <w:uiPriority w:val="99"/>
    <w:unhideWhenUsed/>
    <w:rsid w:val="00F61B4F"/>
    <w:pPr>
      <w:tabs>
        <w:tab w:val="center" w:pos="4680"/>
        <w:tab w:val="right" w:pos="9360"/>
      </w:tabs>
      <w:spacing w:before="0" w:after="0" w:line="240" w:lineRule="auto"/>
    </w:pPr>
  </w:style>
  <w:style w:type="character" w:customStyle="1" w:styleId="FooterChar">
    <w:name w:val="Footer Char"/>
    <w:link w:val="Footer"/>
    <w:uiPriority w:val="99"/>
    <w:rsid w:val="00F61B4F"/>
    <w:rPr>
      <w:rFonts w:ascii="Arial" w:hAnsi="Arial"/>
    </w:rPr>
  </w:style>
  <w:style w:type="character" w:styleId="Hyperlink">
    <w:name w:val="Hyperlink"/>
    <w:uiPriority w:val="99"/>
    <w:unhideWhenUsed/>
    <w:rsid w:val="00F61B4F"/>
    <w:rPr>
      <w:color w:val="0000FF"/>
      <w:u w:val="single"/>
    </w:rPr>
  </w:style>
  <w:style w:type="paragraph" w:styleId="TOCHeading">
    <w:name w:val="TOC Heading"/>
    <w:basedOn w:val="Heading1"/>
    <w:next w:val="Normal"/>
    <w:uiPriority w:val="39"/>
    <w:unhideWhenUsed/>
    <w:qFormat/>
    <w:rsid w:val="00AB7A69"/>
    <w:pPr>
      <w:spacing w:after="0" w:line="259" w:lineRule="auto"/>
      <w:jc w:val="left"/>
      <w:outlineLvl w:val="9"/>
    </w:pPr>
    <w:rPr>
      <w:rFonts w:ascii="Calibri Light" w:hAnsi="Calibri Light"/>
      <w:b w:val="0"/>
      <w:bCs w:val="0"/>
      <w:caps w:val="0"/>
      <w:color w:val="2E74B5"/>
      <w:sz w:val="32"/>
      <w:szCs w:val="32"/>
    </w:rPr>
  </w:style>
  <w:style w:type="paragraph" w:styleId="TOC3">
    <w:name w:val="toc 3"/>
    <w:basedOn w:val="Heading3"/>
    <w:next w:val="Normal"/>
    <w:autoRedefine/>
    <w:uiPriority w:val="39"/>
    <w:unhideWhenUsed/>
    <w:rsid w:val="009C1F90"/>
    <w:pPr>
      <w:spacing w:before="60" w:after="60"/>
      <w:ind w:left="567"/>
    </w:pPr>
    <w:rPr>
      <w:caps/>
      <w:u w:val="none"/>
    </w:rPr>
  </w:style>
  <w:style w:type="paragraph" w:styleId="TOC4">
    <w:name w:val="toc 4"/>
    <w:basedOn w:val="Normal"/>
    <w:next w:val="Normal"/>
    <w:autoRedefine/>
    <w:uiPriority w:val="39"/>
    <w:unhideWhenUsed/>
    <w:rsid w:val="00A27F6D"/>
    <w:pPr>
      <w:spacing w:before="0" w:after="0" w:line="240" w:lineRule="auto"/>
      <w:ind w:left="720"/>
      <w:jc w:val="left"/>
    </w:pPr>
    <w:rPr>
      <w:rFonts w:ascii="Cambria" w:eastAsia="MS Mincho" w:hAnsi="Cambria"/>
      <w:sz w:val="24"/>
      <w:szCs w:val="24"/>
    </w:rPr>
  </w:style>
  <w:style w:type="paragraph" w:styleId="TOC5">
    <w:name w:val="toc 5"/>
    <w:basedOn w:val="Normal"/>
    <w:next w:val="Normal"/>
    <w:autoRedefine/>
    <w:uiPriority w:val="39"/>
    <w:unhideWhenUsed/>
    <w:rsid w:val="00A27F6D"/>
    <w:pPr>
      <w:spacing w:before="0" w:after="0" w:line="240" w:lineRule="auto"/>
      <w:ind w:left="960"/>
      <w:jc w:val="left"/>
    </w:pPr>
    <w:rPr>
      <w:rFonts w:ascii="Cambria" w:eastAsia="MS Mincho" w:hAnsi="Cambria"/>
      <w:sz w:val="24"/>
      <w:szCs w:val="24"/>
    </w:rPr>
  </w:style>
  <w:style w:type="paragraph" w:styleId="TOC6">
    <w:name w:val="toc 6"/>
    <w:basedOn w:val="Normal"/>
    <w:next w:val="Normal"/>
    <w:autoRedefine/>
    <w:uiPriority w:val="39"/>
    <w:unhideWhenUsed/>
    <w:rsid w:val="00A27F6D"/>
    <w:pPr>
      <w:spacing w:before="0" w:after="0" w:line="240" w:lineRule="auto"/>
      <w:ind w:left="1200"/>
      <w:jc w:val="left"/>
    </w:pPr>
    <w:rPr>
      <w:rFonts w:ascii="Cambria" w:eastAsia="MS Mincho" w:hAnsi="Cambria"/>
      <w:sz w:val="24"/>
      <w:szCs w:val="24"/>
    </w:rPr>
  </w:style>
  <w:style w:type="paragraph" w:styleId="TOC7">
    <w:name w:val="toc 7"/>
    <w:basedOn w:val="Normal"/>
    <w:next w:val="Normal"/>
    <w:autoRedefine/>
    <w:uiPriority w:val="39"/>
    <w:unhideWhenUsed/>
    <w:rsid w:val="00A27F6D"/>
    <w:pPr>
      <w:spacing w:before="0" w:after="0" w:line="240" w:lineRule="auto"/>
      <w:ind w:left="1440"/>
      <w:jc w:val="left"/>
    </w:pPr>
    <w:rPr>
      <w:rFonts w:ascii="Cambria" w:eastAsia="MS Mincho" w:hAnsi="Cambria"/>
      <w:sz w:val="24"/>
      <w:szCs w:val="24"/>
    </w:rPr>
  </w:style>
  <w:style w:type="paragraph" w:styleId="TOC8">
    <w:name w:val="toc 8"/>
    <w:basedOn w:val="Normal"/>
    <w:next w:val="Normal"/>
    <w:autoRedefine/>
    <w:uiPriority w:val="39"/>
    <w:unhideWhenUsed/>
    <w:rsid w:val="00A27F6D"/>
    <w:pPr>
      <w:spacing w:before="0" w:after="0" w:line="240" w:lineRule="auto"/>
      <w:ind w:left="1680"/>
      <w:jc w:val="left"/>
    </w:pPr>
    <w:rPr>
      <w:rFonts w:ascii="Cambria" w:eastAsia="MS Mincho" w:hAnsi="Cambria"/>
      <w:sz w:val="24"/>
      <w:szCs w:val="24"/>
    </w:rPr>
  </w:style>
  <w:style w:type="paragraph" w:styleId="TOC9">
    <w:name w:val="toc 9"/>
    <w:basedOn w:val="Normal"/>
    <w:next w:val="Normal"/>
    <w:autoRedefine/>
    <w:uiPriority w:val="39"/>
    <w:unhideWhenUsed/>
    <w:rsid w:val="00A27F6D"/>
    <w:pPr>
      <w:spacing w:before="0" w:after="0" w:line="240" w:lineRule="auto"/>
      <w:ind w:left="1920"/>
      <w:jc w:val="left"/>
    </w:pPr>
    <w:rPr>
      <w:rFonts w:ascii="Cambria" w:eastAsia="MS Mincho" w:hAnsi="Cambria"/>
      <w:sz w:val="24"/>
      <w:szCs w:val="24"/>
    </w:rPr>
  </w:style>
  <w:style w:type="character" w:styleId="PageNumber">
    <w:name w:val="page number"/>
    <w:uiPriority w:val="99"/>
    <w:semiHidden/>
    <w:unhideWhenUsed/>
    <w:rsid w:val="00A27F6D"/>
  </w:style>
  <w:style w:type="paragraph" w:styleId="FootnoteText">
    <w:name w:val="footnote text"/>
    <w:basedOn w:val="Normal"/>
    <w:link w:val="FootnoteTextChar"/>
    <w:uiPriority w:val="99"/>
    <w:semiHidden/>
    <w:unhideWhenUsed/>
    <w:rsid w:val="00FA048B"/>
  </w:style>
  <w:style w:type="character" w:customStyle="1" w:styleId="FootnoteTextChar">
    <w:name w:val="Footnote Text Char"/>
    <w:link w:val="FootnoteText"/>
    <w:uiPriority w:val="99"/>
    <w:semiHidden/>
    <w:rsid w:val="00FA048B"/>
    <w:rPr>
      <w:rFonts w:ascii="Arial" w:hAnsi="Arial"/>
      <w:lang w:val="en-US" w:eastAsia="en-US"/>
    </w:rPr>
  </w:style>
  <w:style w:type="character" w:styleId="FootnoteReference">
    <w:name w:val="footnote reference"/>
    <w:uiPriority w:val="99"/>
    <w:semiHidden/>
    <w:unhideWhenUsed/>
    <w:rsid w:val="00FA048B"/>
    <w:rPr>
      <w:vertAlign w:val="superscript"/>
    </w:rPr>
  </w:style>
  <w:style w:type="paragraph" w:styleId="ListParagraph">
    <w:name w:val="List Paragraph"/>
    <w:basedOn w:val="Normal"/>
    <w:uiPriority w:val="1"/>
    <w:qFormat/>
    <w:rsid w:val="00974D05"/>
    <w:pPr>
      <w:ind w:left="720"/>
      <w:contextualSpacing/>
    </w:pPr>
  </w:style>
  <w:style w:type="paragraph" w:styleId="BodyText">
    <w:name w:val="Body Text"/>
    <w:basedOn w:val="Normal"/>
    <w:link w:val="BodyTextChar"/>
    <w:uiPriority w:val="1"/>
    <w:qFormat/>
    <w:rsid w:val="00FF2F15"/>
    <w:pPr>
      <w:widowControl w:val="0"/>
      <w:autoSpaceDE w:val="0"/>
      <w:autoSpaceDN w:val="0"/>
      <w:spacing w:before="0" w:after="0" w:line="240" w:lineRule="auto"/>
    </w:pPr>
    <w:rPr>
      <w:rFonts w:eastAsia="Times New Roman"/>
      <w:szCs w:val="28"/>
    </w:rPr>
  </w:style>
  <w:style w:type="character" w:customStyle="1" w:styleId="BodyTextChar">
    <w:name w:val="Body Text Char"/>
    <w:basedOn w:val="DefaultParagraphFont"/>
    <w:link w:val="BodyText"/>
    <w:uiPriority w:val="1"/>
    <w:rsid w:val="00FF2F15"/>
    <w:rPr>
      <w:rFonts w:ascii="Arial" w:eastAsia="Times New Roman" w:hAnsi="Arial"/>
      <w:szCs w:val="28"/>
      <w:lang w:val="en-US" w:eastAsia="en-US"/>
    </w:rPr>
  </w:style>
  <w:style w:type="character" w:customStyle="1" w:styleId="Heading4Char">
    <w:name w:val="Heading 4 Char"/>
    <w:basedOn w:val="DefaultParagraphFont"/>
    <w:link w:val="Heading4"/>
    <w:uiPriority w:val="9"/>
    <w:semiHidden/>
    <w:rsid w:val="00145215"/>
    <w:rPr>
      <w:rFonts w:asciiTheme="majorHAnsi" w:eastAsiaTheme="majorEastAsia" w:hAnsiTheme="majorHAnsi" w:cstheme="majorBidi"/>
      <w:i/>
      <w:iCs/>
      <w:color w:val="2E74B5" w:themeColor="accent1" w:themeShade="BF"/>
      <w:lang w:val="en-US" w:eastAsia="en-US"/>
    </w:rPr>
  </w:style>
  <w:style w:type="character" w:customStyle="1" w:styleId="Heading5Char">
    <w:name w:val="Heading 5 Char"/>
    <w:basedOn w:val="DefaultParagraphFont"/>
    <w:link w:val="Heading5"/>
    <w:uiPriority w:val="9"/>
    <w:semiHidden/>
    <w:rsid w:val="00145215"/>
    <w:rPr>
      <w:rFonts w:asciiTheme="majorHAnsi" w:eastAsiaTheme="majorEastAsia" w:hAnsiTheme="majorHAnsi" w:cstheme="majorBidi"/>
      <w:color w:val="2E74B5" w:themeColor="accent1" w:themeShade="BF"/>
      <w:lang w:val="en-US" w:eastAsia="en-US"/>
    </w:rPr>
  </w:style>
  <w:style w:type="paragraph" w:styleId="BalloonText">
    <w:name w:val="Balloon Text"/>
    <w:basedOn w:val="Normal"/>
    <w:link w:val="BalloonTextChar"/>
    <w:uiPriority w:val="99"/>
    <w:semiHidden/>
    <w:unhideWhenUsed/>
    <w:rsid w:val="00155142"/>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5142"/>
    <w:rPr>
      <w:rFonts w:ascii="Segoe UI" w:hAnsi="Segoe UI" w:cs="Segoe UI"/>
      <w:sz w:val="18"/>
      <w:szCs w:val="18"/>
      <w:lang w:val="en-US" w:eastAsia="en-US"/>
    </w:rPr>
  </w:style>
  <w:style w:type="paragraph" w:styleId="Bibliography">
    <w:name w:val="Bibliography"/>
    <w:basedOn w:val="Normal"/>
    <w:next w:val="Normal"/>
    <w:uiPriority w:val="37"/>
    <w:semiHidden/>
    <w:unhideWhenUsed/>
    <w:rsid w:val="00155142"/>
  </w:style>
  <w:style w:type="paragraph" w:styleId="BlockText">
    <w:name w:val="Block Text"/>
    <w:basedOn w:val="Normal"/>
    <w:uiPriority w:val="99"/>
    <w:semiHidden/>
    <w:unhideWhenUsed/>
    <w:rsid w:val="00155142"/>
    <w:pPr>
      <w:pBdr>
        <w:top w:val="single" w:sz="2" w:space="10" w:color="5B9BD5" w:themeColor="accent1" w:shadow="1"/>
        <w:left w:val="single" w:sz="2" w:space="10" w:color="5B9BD5" w:themeColor="accent1" w:shadow="1"/>
        <w:bottom w:val="single" w:sz="2" w:space="10" w:color="5B9BD5" w:themeColor="accent1" w:shadow="1"/>
        <w:right w:val="single" w:sz="2" w:space="10" w:color="5B9BD5" w:themeColor="accent1" w:shadow="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iPriority w:val="99"/>
    <w:semiHidden/>
    <w:unhideWhenUsed/>
    <w:rsid w:val="00155142"/>
    <w:pPr>
      <w:spacing w:line="480" w:lineRule="auto"/>
    </w:pPr>
  </w:style>
  <w:style w:type="character" w:customStyle="1" w:styleId="BodyText2Char">
    <w:name w:val="Body Text 2 Char"/>
    <w:basedOn w:val="DefaultParagraphFont"/>
    <w:link w:val="BodyText2"/>
    <w:uiPriority w:val="99"/>
    <w:semiHidden/>
    <w:rsid w:val="00155142"/>
    <w:rPr>
      <w:rFonts w:ascii="Arial" w:hAnsi="Arial"/>
      <w:lang w:val="en-US" w:eastAsia="en-US"/>
    </w:rPr>
  </w:style>
  <w:style w:type="paragraph" w:styleId="BodyText3">
    <w:name w:val="Body Text 3"/>
    <w:basedOn w:val="Normal"/>
    <w:link w:val="BodyText3Char"/>
    <w:uiPriority w:val="99"/>
    <w:semiHidden/>
    <w:unhideWhenUsed/>
    <w:rsid w:val="00155142"/>
    <w:rPr>
      <w:sz w:val="16"/>
      <w:szCs w:val="16"/>
    </w:rPr>
  </w:style>
  <w:style w:type="character" w:customStyle="1" w:styleId="BodyText3Char">
    <w:name w:val="Body Text 3 Char"/>
    <w:basedOn w:val="DefaultParagraphFont"/>
    <w:link w:val="BodyText3"/>
    <w:uiPriority w:val="99"/>
    <w:semiHidden/>
    <w:rsid w:val="00155142"/>
    <w:rPr>
      <w:rFonts w:ascii="Arial" w:hAnsi="Arial"/>
      <w:sz w:val="16"/>
      <w:szCs w:val="16"/>
      <w:lang w:val="en-US" w:eastAsia="en-US"/>
    </w:rPr>
  </w:style>
  <w:style w:type="paragraph" w:styleId="BodyTextFirstIndent">
    <w:name w:val="Body Text First Indent"/>
    <w:basedOn w:val="BodyText"/>
    <w:link w:val="BodyTextFirstIndentChar"/>
    <w:uiPriority w:val="99"/>
    <w:semiHidden/>
    <w:unhideWhenUsed/>
    <w:rsid w:val="00155142"/>
    <w:pPr>
      <w:widowControl/>
      <w:autoSpaceDE/>
      <w:autoSpaceDN/>
      <w:spacing w:before="240" w:after="120" w:line="276" w:lineRule="auto"/>
      <w:ind w:firstLine="360"/>
    </w:pPr>
    <w:rPr>
      <w:rFonts w:eastAsia="Calibri"/>
      <w:szCs w:val="20"/>
    </w:rPr>
  </w:style>
  <w:style w:type="character" w:customStyle="1" w:styleId="BodyTextFirstIndentChar">
    <w:name w:val="Body Text First Indent Char"/>
    <w:basedOn w:val="BodyTextChar"/>
    <w:link w:val="BodyTextFirstIndent"/>
    <w:uiPriority w:val="99"/>
    <w:semiHidden/>
    <w:rsid w:val="00155142"/>
    <w:rPr>
      <w:rFonts w:ascii="Arial" w:eastAsia="Times New Roman" w:hAnsi="Arial"/>
      <w:sz w:val="28"/>
      <w:szCs w:val="28"/>
      <w:lang w:val="en-US" w:eastAsia="en-US"/>
    </w:rPr>
  </w:style>
  <w:style w:type="paragraph" w:styleId="BodyTextIndent">
    <w:name w:val="Body Text Indent"/>
    <w:basedOn w:val="Normal"/>
    <w:link w:val="BodyTextIndentChar"/>
    <w:uiPriority w:val="99"/>
    <w:semiHidden/>
    <w:unhideWhenUsed/>
    <w:rsid w:val="00155142"/>
    <w:pPr>
      <w:ind w:left="360"/>
    </w:pPr>
  </w:style>
  <w:style w:type="character" w:customStyle="1" w:styleId="BodyTextIndentChar">
    <w:name w:val="Body Text Indent Char"/>
    <w:basedOn w:val="DefaultParagraphFont"/>
    <w:link w:val="BodyTextIndent"/>
    <w:uiPriority w:val="99"/>
    <w:semiHidden/>
    <w:rsid w:val="00155142"/>
    <w:rPr>
      <w:rFonts w:ascii="Arial" w:hAnsi="Arial"/>
      <w:lang w:val="en-US" w:eastAsia="en-US"/>
    </w:rPr>
  </w:style>
  <w:style w:type="paragraph" w:styleId="BodyTextFirstIndent2">
    <w:name w:val="Body Text First Indent 2"/>
    <w:basedOn w:val="BodyTextIndent"/>
    <w:link w:val="BodyTextFirstIndent2Char"/>
    <w:uiPriority w:val="99"/>
    <w:semiHidden/>
    <w:unhideWhenUsed/>
    <w:rsid w:val="00155142"/>
    <w:pPr>
      <w:ind w:firstLine="360"/>
    </w:pPr>
  </w:style>
  <w:style w:type="character" w:customStyle="1" w:styleId="BodyTextFirstIndent2Char">
    <w:name w:val="Body Text First Indent 2 Char"/>
    <w:basedOn w:val="BodyTextIndentChar"/>
    <w:link w:val="BodyTextFirstIndent2"/>
    <w:uiPriority w:val="99"/>
    <w:semiHidden/>
    <w:rsid w:val="00155142"/>
    <w:rPr>
      <w:rFonts w:ascii="Arial" w:hAnsi="Arial"/>
      <w:lang w:val="en-US" w:eastAsia="en-US"/>
    </w:rPr>
  </w:style>
  <w:style w:type="paragraph" w:styleId="BodyTextIndent2">
    <w:name w:val="Body Text Indent 2"/>
    <w:basedOn w:val="Normal"/>
    <w:link w:val="BodyTextIndent2Char"/>
    <w:uiPriority w:val="99"/>
    <w:semiHidden/>
    <w:unhideWhenUsed/>
    <w:rsid w:val="00155142"/>
    <w:pPr>
      <w:spacing w:line="480" w:lineRule="auto"/>
      <w:ind w:left="360"/>
    </w:pPr>
  </w:style>
  <w:style w:type="character" w:customStyle="1" w:styleId="BodyTextIndent2Char">
    <w:name w:val="Body Text Indent 2 Char"/>
    <w:basedOn w:val="DefaultParagraphFont"/>
    <w:link w:val="BodyTextIndent2"/>
    <w:uiPriority w:val="99"/>
    <w:semiHidden/>
    <w:rsid w:val="00155142"/>
    <w:rPr>
      <w:rFonts w:ascii="Arial" w:hAnsi="Arial"/>
      <w:lang w:val="en-US" w:eastAsia="en-US"/>
    </w:rPr>
  </w:style>
  <w:style w:type="paragraph" w:styleId="BodyTextIndent3">
    <w:name w:val="Body Text Indent 3"/>
    <w:basedOn w:val="Normal"/>
    <w:link w:val="BodyTextIndent3Char"/>
    <w:uiPriority w:val="99"/>
    <w:semiHidden/>
    <w:unhideWhenUsed/>
    <w:rsid w:val="00155142"/>
    <w:pPr>
      <w:ind w:left="360"/>
    </w:pPr>
    <w:rPr>
      <w:sz w:val="16"/>
      <w:szCs w:val="16"/>
    </w:rPr>
  </w:style>
  <w:style w:type="character" w:customStyle="1" w:styleId="BodyTextIndent3Char">
    <w:name w:val="Body Text Indent 3 Char"/>
    <w:basedOn w:val="DefaultParagraphFont"/>
    <w:link w:val="BodyTextIndent3"/>
    <w:uiPriority w:val="99"/>
    <w:semiHidden/>
    <w:rsid w:val="00155142"/>
    <w:rPr>
      <w:rFonts w:ascii="Arial" w:hAnsi="Arial"/>
      <w:sz w:val="16"/>
      <w:szCs w:val="16"/>
      <w:lang w:val="en-US" w:eastAsia="en-US"/>
    </w:rPr>
  </w:style>
  <w:style w:type="paragraph" w:styleId="Caption">
    <w:name w:val="caption"/>
    <w:basedOn w:val="Normal"/>
    <w:next w:val="Normal"/>
    <w:uiPriority w:val="35"/>
    <w:semiHidden/>
    <w:unhideWhenUsed/>
    <w:qFormat/>
    <w:rsid w:val="00155142"/>
    <w:pPr>
      <w:spacing w:before="0"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155142"/>
    <w:pPr>
      <w:spacing w:before="0" w:after="0" w:line="240" w:lineRule="auto"/>
      <w:ind w:left="4320"/>
    </w:pPr>
  </w:style>
  <w:style w:type="character" w:customStyle="1" w:styleId="ClosingChar">
    <w:name w:val="Closing Char"/>
    <w:basedOn w:val="DefaultParagraphFont"/>
    <w:link w:val="Closing"/>
    <w:uiPriority w:val="99"/>
    <w:semiHidden/>
    <w:rsid w:val="00155142"/>
    <w:rPr>
      <w:rFonts w:ascii="Arial" w:hAnsi="Arial"/>
      <w:lang w:val="en-US" w:eastAsia="en-US"/>
    </w:rPr>
  </w:style>
  <w:style w:type="paragraph" w:styleId="CommentText">
    <w:name w:val="annotation text"/>
    <w:basedOn w:val="Normal"/>
    <w:link w:val="CommentTextChar"/>
    <w:uiPriority w:val="99"/>
    <w:semiHidden/>
    <w:unhideWhenUsed/>
    <w:rsid w:val="00155142"/>
    <w:pPr>
      <w:spacing w:line="240" w:lineRule="auto"/>
    </w:pPr>
  </w:style>
  <w:style w:type="character" w:customStyle="1" w:styleId="CommentTextChar">
    <w:name w:val="Comment Text Char"/>
    <w:basedOn w:val="DefaultParagraphFont"/>
    <w:link w:val="CommentText"/>
    <w:uiPriority w:val="99"/>
    <w:semiHidden/>
    <w:rsid w:val="00155142"/>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155142"/>
    <w:rPr>
      <w:b/>
      <w:bCs/>
    </w:rPr>
  </w:style>
  <w:style w:type="character" w:customStyle="1" w:styleId="CommentSubjectChar">
    <w:name w:val="Comment Subject Char"/>
    <w:basedOn w:val="CommentTextChar"/>
    <w:link w:val="CommentSubject"/>
    <w:uiPriority w:val="99"/>
    <w:semiHidden/>
    <w:rsid w:val="00155142"/>
    <w:rPr>
      <w:rFonts w:ascii="Arial" w:hAnsi="Arial"/>
      <w:b/>
      <w:bCs/>
      <w:lang w:val="en-US" w:eastAsia="en-US"/>
    </w:rPr>
  </w:style>
  <w:style w:type="paragraph" w:styleId="Date">
    <w:name w:val="Date"/>
    <w:basedOn w:val="Normal"/>
    <w:next w:val="Normal"/>
    <w:link w:val="DateChar"/>
    <w:uiPriority w:val="99"/>
    <w:semiHidden/>
    <w:unhideWhenUsed/>
    <w:rsid w:val="00155142"/>
  </w:style>
  <w:style w:type="character" w:customStyle="1" w:styleId="DateChar">
    <w:name w:val="Date Char"/>
    <w:basedOn w:val="DefaultParagraphFont"/>
    <w:link w:val="Date"/>
    <w:uiPriority w:val="99"/>
    <w:semiHidden/>
    <w:rsid w:val="00155142"/>
    <w:rPr>
      <w:rFonts w:ascii="Arial" w:hAnsi="Arial"/>
      <w:lang w:val="en-US" w:eastAsia="en-US"/>
    </w:rPr>
  </w:style>
  <w:style w:type="paragraph" w:styleId="DocumentMap">
    <w:name w:val="Document Map"/>
    <w:basedOn w:val="Normal"/>
    <w:link w:val="DocumentMapChar"/>
    <w:uiPriority w:val="99"/>
    <w:semiHidden/>
    <w:unhideWhenUsed/>
    <w:rsid w:val="00155142"/>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55142"/>
    <w:rPr>
      <w:rFonts w:ascii="Segoe UI" w:hAnsi="Segoe UI" w:cs="Segoe UI"/>
      <w:sz w:val="16"/>
      <w:szCs w:val="16"/>
      <w:lang w:val="en-US" w:eastAsia="en-US"/>
    </w:rPr>
  </w:style>
  <w:style w:type="paragraph" w:styleId="E-mailSignature">
    <w:name w:val="E-mail Signature"/>
    <w:basedOn w:val="Normal"/>
    <w:link w:val="E-mailSignatureChar"/>
    <w:uiPriority w:val="99"/>
    <w:semiHidden/>
    <w:unhideWhenUsed/>
    <w:rsid w:val="00155142"/>
    <w:pPr>
      <w:spacing w:before="0" w:after="0" w:line="240" w:lineRule="auto"/>
    </w:pPr>
  </w:style>
  <w:style w:type="character" w:customStyle="1" w:styleId="E-mailSignatureChar">
    <w:name w:val="E-mail Signature Char"/>
    <w:basedOn w:val="DefaultParagraphFont"/>
    <w:link w:val="E-mailSignature"/>
    <w:uiPriority w:val="99"/>
    <w:semiHidden/>
    <w:rsid w:val="00155142"/>
    <w:rPr>
      <w:rFonts w:ascii="Arial" w:hAnsi="Arial"/>
      <w:lang w:val="en-US" w:eastAsia="en-US"/>
    </w:rPr>
  </w:style>
  <w:style w:type="paragraph" w:styleId="EndnoteText">
    <w:name w:val="endnote text"/>
    <w:basedOn w:val="Normal"/>
    <w:link w:val="EndnoteTextChar"/>
    <w:uiPriority w:val="99"/>
    <w:semiHidden/>
    <w:unhideWhenUsed/>
    <w:rsid w:val="00155142"/>
    <w:pPr>
      <w:spacing w:before="0" w:after="0" w:line="240" w:lineRule="auto"/>
    </w:pPr>
  </w:style>
  <w:style w:type="character" w:customStyle="1" w:styleId="EndnoteTextChar">
    <w:name w:val="Endnote Text Char"/>
    <w:basedOn w:val="DefaultParagraphFont"/>
    <w:link w:val="EndnoteText"/>
    <w:uiPriority w:val="99"/>
    <w:semiHidden/>
    <w:rsid w:val="00155142"/>
    <w:rPr>
      <w:rFonts w:ascii="Arial" w:hAnsi="Arial"/>
      <w:lang w:val="en-US" w:eastAsia="en-US"/>
    </w:rPr>
  </w:style>
  <w:style w:type="paragraph" w:styleId="EnvelopeAddress">
    <w:name w:val="envelope address"/>
    <w:basedOn w:val="Normal"/>
    <w:uiPriority w:val="99"/>
    <w:semiHidden/>
    <w:unhideWhenUsed/>
    <w:rsid w:val="00155142"/>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55142"/>
    <w:pPr>
      <w:spacing w:before="0" w:after="0" w:line="240" w:lineRule="auto"/>
    </w:pPr>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155142"/>
    <w:rPr>
      <w:rFonts w:asciiTheme="majorHAnsi" w:eastAsiaTheme="majorEastAsia" w:hAnsiTheme="majorHAnsi" w:cstheme="majorBidi"/>
      <w:color w:val="1F4D78" w:themeColor="accent1" w:themeShade="7F"/>
      <w:lang w:val="en-US" w:eastAsia="en-US"/>
    </w:rPr>
  </w:style>
  <w:style w:type="character" w:customStyle="1" w:styleId="Heading7Char">
    <w:name w:val="Heading 7 Char"/>
    <w:basedOn w:val="DefaultParagraphFont"/>
    <w:link w:val="Heading7"/>
    <w:uiPriority w:val="9"/>
    <w:semiHidden/>
    <w:rsid w:val="00155142"/>
    <w:rPr>
      <w:rFonts w:asciiTheme="majorHAnsi" w:eastAsiaTheme="majorEastAsia" w:hAnsiTheme="majorHAnsi" w:cstheme="majorBidi"/>
      <w:i/>
      <w:iCs/>
      <w:color w:val="1F4D78" w:themeColor="accent1" w:themeShade="7F"/>
      <w:lang w:val="en-US" w:eastAsia="en-US"/>
    </w:rPr>
  </w:style>
  <w:style w:type="character" w:customStyle="1" w:styleId="Heading8Char">
    <w:name w:val="Heading 8 Char"/>
    <w:basedOn w:val="DefaultParagraphFont"/>
    <w:link w:val="Heading8"/>
    <w:uiPriority w:val="9"/>
    <w:semiHidden/>
    <w:rsid w:val="00155142"/>
    <w:rPr>
      <w:rFonts w:asciiTheme="majorHAnsi" w:eastAsiaTheme="majorEastAsia" w:hAnsiTheme="majorHAnsi" w:cstheme="majorBidi"/>
      <w:color w:val="272727" w:themeColor="text1" w:themeTint="D8"/>
      <w:sz w:val="21"/>
      <w:szCs w:val="21"/>
      <w:lang w:val="en-US" w:eastAsia="en-US"/>
    </w:rPr>
  </w:style>
  <w:style w:type="character" w:customStyle="1" w:styleId="Heading9Char">
    <w:name w:val="Heading 9 Char"/>
    <w:basedOn w:val="DefaultParagraphFont"/>
    <w:link w:val="Heading9"/>
    <w:uiPriority w:val="9"/>
    <w:semiHidden/>
    <w:rsid w:val="00155142"/>
    <w:rPr>
      <w:rFonts w:asciiTheme="majorHAnsi" w:eastAsiaTheme="majorEastAsia" w:hAnsiTheme="majorHAnsi" w:cstheme="majorBidi"/>
      <w:i/>
      <w:iCs/>
      <w:color w:val="272727" w:themeColor="text1" w:themeTint="D8"/>
      <w:sz w:val="21"/>
      <w:szCs w:val="21"/>
      <w:lang w:val="en-US" w:eastAsia="en-US"/>
    </w:rPr>
  </w:style>
  <w:style w:type="paragraph" w:styleId="HTMLAddress">
    <w:name w:val="HTML Address"/>
    <w:basedOn w:val="Normal"/>
    <w:link w:val="HTMLAddressChar"/>
    <w:uiPriority w:val="99"/>
    <w:semiHidden/>
    <w:unhideWhenUsed/>
    <w:rsid w:val="00155142"/>
    <w:pPr>
      <w:spacing w:before="0" w:after="0" w:line="240" w:lineRule="auto"/>
    </w:pPr>
    <w:rPr>
      <w:i/>
      <w:iCs/>
    </w:rPr>
  </w:style>
  <w:style w:type="character" w:customStyle="1" w:styleId="HTMLAddressChar">
    <w:name w:val="HTML Address Char"/>
    <w:basedOn w:val="DefaultParagraphFont"/>
    <w:link w:val="HTMLAddress"/>
    <w:uiPriority w:val="99"/>
    <w:semiHidden/>
    <w:rsid w:val="00155142"/>
    <w:rPr>
      <w:rFonts w:ascii="Arial" w:hAnsi="Arial"/>
      <w:i/>
      <w:iCs/>
      <w:lang w:val="en-US" w:eastAsia="en-US"/>
    </w:rPr>
  </w:style>
  <w:style w:type="paragraph" w:styleId="HTMLPreformatted">
    <w:name w:val="HTML Preformatted"/>
    <w:basedOn w:val="Normal"/>
    <w:link w:val="HTMLPreformattedChar"/>
    <w:uiPriority w:val="99"/>
    <w:semiHidden/>
    <w:unhideWhenUsed/>
    <w:rsid w:val="00155142"/>
    <w:pPr>
      <w:spacing w:before="0"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155142"/>
    <w:rPr>
      <w:rFonts w:ascii="Consolas" w:hAnsi="Consolas"/>
      <w:lang w:val="en-US" w:eastAsia="en-US"/>
    </w:rPr>
  </w:style>
  <w:style w:type="paragraph" w:styleId="Index1">
    <w:name w:val="index 1"/>
    <w:basedOn w:val="Normal"/>
    <w:next w:val="Normal"/>
    <w:autoRedefine/>
    <w:uiPriority w:val="99"/>
    <w:semiHidden/>
    <w:unhideWhenUsed/>
    <w:rsid w:val="00155142"/>
    <w:pPr>
      <w:spacing w:before="0" w:after="0" w:line="240" w:lineRule="auto"/>
      <w:ind w:left="200" w:hanging="200"/>
    </w:pPr>
  </w:style>
  <w:style w:type="paragraph" w:styleId="Index2">
    <w:name w:val="index 2"/>
    <w:basedOn w:val="Normal"/>
    <w:next w:val="Normal"/>
    <w:autoRedefine/>
    <w:uiPriority w:val="99"/>
    <w:semiHidden/>
    <w:unhideWhenUsed/>
    <w:rsid w:val="00155142"/>
    <w:pPr>
      <w:spacing w:before="0" w:after="0" w:line="240" w:lineRule="auto"/>
      <w:ind w:left="400" w:hanging="200"/>
    </w:pPr>
  </w:style>
  <w:style w:type="paragraph" w:styleId="Index3">
    <w:name w:val="index 3"/>
    <w:basedOn w:val="Normal"/>
    <w:next w:val="Normal"/>
    <w:autoRedefine/>
    <w:uiPriority w:val="99"/>
    <w:semiHidden/>
    <w:unhideWhenUsed/>
    <w:rsid w:val="00155142"/>
    <w:pPr>
      <w:spacing w:before="0" w:after="0" w:line="240" w:lineRule="auto"/>
      <w:ind w:left="600" w:hanging="200"/>
    </w:pPr>
  </w:style>
  <w:style w:type="paragraph" w:styleId="Index4">
    <w:name w:val="index 4"/>
    <w:basedOn w:val="Normal"/>
    <w:next w:val="Normal"/>
    <w:autoRedefine/>
    <w:uiPriority w:val="99"/>
    <w:semiHidden/>
    <w:unhideWhenUsed/>
    <w:rsid w:val="00155142"/>
    <w:pPr>
      <w:spacing w:before="0" w:after="0" w:line="240" w:lineRule="auto"/>
      <w:ind w:left="800" w:hanging="200"/>
    </w:pPr>
  </w:style>
  <w:style w:type="paragraph" w:styleId="Index5">
    <w:name w:val="index 5"/>
    <w:basedOn w:val="Normal"/>
    <w:next w:val="Normal"/>
    <w:autoRedefine/>
    <w:uiPriority w:val="99"/>
    <w:semiHidden/>
    <w:unhideWhenUsed/>
    <w:rsid w:val="00155142"/>
    <w:pPr>
      <w:spacing w:before="0" w:after="0" w:line="240" w:lineRule="auto"/>
      <w:ind w:left="1000" w:hanging="200"/>
    </w:pPr>
  </w:style>
  <w:style w:type="paragraph" w:styleId="Index6">
    <w:name w:val="index 6"/>
    <w:basedOn w:val="Normal"/>
    <w:next w:val="Normal"/>
    <w:autoRedefine/>
    <w:uiPriority w:val="99"/>
    <w:semiHidden/>
    <w:unhideWhenUsed/>
    <w:rsid w:val="00155142"/>
    <w:pPr>
      <w:spacing w:before="0" w:after="0" w:line="240" w:lineRule="auto"/>
      <w:ind w:left="1200" w:hanging="200"/>
    </w:pPr>
  </w:style>
  <w:style w:type="paragraph" w:styleId="Index7">
    <w:name w:val="index 7"/>
    <w:basedOn w:val="Normal"/>
    <w:next w:val="Normal"/>
    <w:autoRedefine/>
    <w:uiPriority w:val="99"/>
    <w:semiHidden/>
    <w:unhideWhenUsed/>
    <w:rsid w:val="00155142"/>
    <w:pPr>
      <w:spacing w:before="0" w:after="0" w:line="240" w:lineRule="auto"/>
      <w:ind w:left="1400" w:hanging="200"/>
    </w:pPr>
  </w:style>
  <w:style w:type="paragraph" w:styleId="Index8">
    <w:name w:val="index 8"/>
    <w:basedOn w:val="Normal"/>
    <w:next w:val="Normal"/>
    <w:autoRedefine/>
    <w:uiPriority w:val="99"/>
    <w:semiHidden/>
    <w:unhideWhenUsed/>
    <w:rsid w:val="00155142"/>
    <w:pPr>
      <w:spacing w:before="0" w:after="0" w:line="240" w:lineRule="auto"/>
      <w:ind w:left="1600" w:hanging="200"/>
    </w:pPr>
  </w:style>
  <w:style w:type="paragraph" w:styleId="Index9">
    <w:name w:val="index 9"/>
    <w:basedOn w:val="Normal"/>
    <w:next w:val="Normal"/>
    <w:autoRedefine/>
    <w:uiPriority w:val="99"/>
    <w:semiHidden/>
    <w:unhideWhenUsed/>
    <w:rsid w:val="00155142"/>
    <w:pPr>
      <w:spacing w:before="0" w:after="0" w:line="240" w:lineRule="auto"/>
      <w:ind w:left="1800" w:hanging="200"/>
    </w:pPr>
  </w:style>
  <w:style w:type="paragraph" w:styleId="IndexHeading">
    <w:name w:val="index heading"/>
    <w:basedOn w:val="Normal"/>
    <w:next w:val="Index1"/>
    <w:uiPriority w:val="99"/>
    <w:semiHidden/>
    <w:unhideWhenUsed/>
    <w:rsid w:val="00155142"/>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15514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155142"/>
    <w:rPr>
      <w:rFonts w:ascii="Arial" w:hAnsi="Arial"/>
      <w:i/>
      <w:iCs/>
      <w:color w:val="5B9BD5" w:themeColor="accent1"/>
      <w:lang w:val="en-US" w:eastAsia="en-US"/>
    </w:rPr>
  </w:style>
  <w:style w:type="paragraph" w:styleId="List">
    <w:name w:val="List"/>
    <w:basedOn w:val="Normal"/>
    <w:uiPriority w:val="99"/>
    <w:semiHidden/>
    <w:unhideWhenUsed/>
    <w:rsid w:val="00155142"/>
    <w:pPr>
      <w:ind w:left="360" w:hanging="360"/>
      <w:contextualSpacing/>
    </w:pPr>
  </w:style>
  <w:style w:type="paragraph" w:styleId="List2">
    <w:name w:val="List 2"/>
    <w:basedOn w:val="Normal"/>
    <w:uiPriority w:val="99"/>
    <w:semiHidden/>
    <w:unhideWhenUsed/>
    <w:rsid w:val="00155142"/>
    <w:pPr>
      <w:ind w:left="720" w:hanging="360"/>
      <w:contextualSpacing/>
    </w:pPr>
  </w:style>
  <w:style w:type="paragraph" w:styleId="List3">
    <w:name w:val="List 3"/>
    <w:basedOn w:val="Normal"/>
    <w:uiPriority w:val="99"/>
    <w:semiHidden/>
    <w:unhideWhenUsed/>
    <w:rsid w:val="00155142"/>
    <w:pPr>
      <w:ind w:left="1080" w:hanging="360"/>
      <w:contextualSpacing/>
    </w:pPr>
  </w:style>
  <w:style w:type="paragraph" w:styleId="List4">
    <w:name w:val="List 4"/>
    <w:basedOn w:val="Normal"/>
    <w:uiPriority w:val="99"/>
    <w:semiHidden/>
    <w:unhideWhenUsed/>
    <w:rsid w:val="00155142"/>
    <w:pPr>
      <w:ind w:left="1440" w:hanging="360"/>
      <w:contextualSpacing/>
    </w:pPr>
  </w:style>
  <w:style w:type="paragraph" w:styleId="List5">
    <w:name w:val="List 5"/>
    <w:basedOn w:val="Normal"/>
    <w:uiPriority w:val="99"/>
    <w:semiHidden/>
    <w:unhideWhenUsed/>
    <w:rsid w:val="00155142"/>
    <w:pPr>
      <w:ind w:left="1800" w:hanging="360"/>
      <w:contextualSpacing/>
    </w:pPr>
  </w:style>
  <w:style w:type="paragraph" w:styleId="ListBullet">
    <w:name w:val="List Bullet"/>
    <w:basedOn w:val="Normal"/>
    <w:uiPriority w:val="99"/>
    <w:semiHidden/>
    <w:unhideWhenUsed/>
    <w:rsid w:val="00155142"/>
    <w:pPr>
      <w:numPr>
        <w:numId w:val="3"/>
      </w:numPr>
      <w:contextualSpacing/>
    </w:pPr>
  </w:style>
  <w:style w:type="paragraph" w:styleId="ListBullet2">
    <w:name w:val="List Bullet 2"/>
    <w:basedOn w:val="Normal"/>
    <w:uiPriority w:val="99"/>
    <w:semiHidden/>
    <w:unhideWhenUsed/>
    <w:rsid w:val="00155142"/>
    <w:pPr>
      <w:numPr>
        <w:numId w:val="4"/>
      </w:numPr>
      <w:contextualSpacing/>
    </w:pPr>
  </w:style>
  <w:style w:type="paragraph" w:styleId="ListBullet3">
    <w:name w:val="List Bullet 3"/>
    <w:basedOn w:val="Normal"/>
    <w:uiPriority w:val="99"/>
    <w:semiHidden/>
    <w:unhideWhenUsed/>
    <w:rsid w:val="00155142"/>
    <w:pPr>
      <w:numPr>
        <w:numId w:val="5"/>
      </w:numPr>
      <w:contextualSpacing/>
    </w:pPr>
  </w:style>
  <w:style w:type="paragraph" w:styleId="ListBullet4">
    <w:name w:val="List Bullet 4"/>
    <w:basedOn w:val="Normal"/>
    <w:uiPriority w:val="99"/>
    <w:semiHidden/>
    <w:unhideWhenUsed/>
    <w:rsid w:val="00155142"/>
    <w:pPr>
      <w:numPr>
        <w:numId w:val="6"/>
      </w:numPr>
      <w:contextualSpacing/>
    </w:pPr>
  </w:style>
  <w:style w:type="paragraph" w:styleId="ListBullet5">
    <w:name w:val="List Bullet 5"/>
    <w:basedOn w:val="Normal"/>
    <w:uiPriority w:val="99"/>
    <w:semiHidden/>
    <w:unhideWhenUsed/>
    <w:rsid w:val="00155142"/>
    <w:pPr>
      <w:numPr>
        <w:numId w:val="7"/>
      </w:numPr>
      <w:contextualSpacing/>
    </w:pPr>
  </w:style>
  <w:style w:type="paragraph" w:styleId="ListContinue">
    <w:name w:val="List Continue"/>
    <w:basedOn w:val="Normal"/>
    <w:uiPriority w:val="99"/>
    <w:semiHidden/>
    <w:unhideWhenUsed/>
    <w:rsid w:val="00155142"/>
    <w:pPr>
      <w:ind w:left="360"/>
      <w:contextualSpacing/>
    </w:pPr>
  </w:style>
  <w:style w:type="paragraph" w:styleId="ListContinue2">
    <w:name w:val="List Continue 2"/>
    <w:basedOn w:val="Normal"/>
    <w:uiPriority w:val="99"/>
    <w:semiHidden/>
    <w:unhideWhenUsed/>
    <w:rsid w:val="00155142"/>
    <w:pPr>
      <w:ind w:left="720"/>
      <w:contextualSpacing/>
    </w:pPr>
  </w:style>
  <w:style w:type="paragraph" w:styleId="ListContinue3">
    <w:name w:val="List Continue 3"/>
    <w:basedOn w:val="Normal"/>
    <w:uiPriority w:val="99"/>
    <w:semiHidden/>
    <w:unhideWhenUsed/>
    <w:rsid w:val="00155142"/>
    <w:pPr>
      <w:ind w:left="1080"/>
      <w:contextualSpacing/>
    </w:pPr>
  </w:style>
  <w:style w:type="paragraph" w:styleId="ListContinue4">
    <w:name w:val="List Continue 4"/>
    <w:basedOn w:val="Normal"/>
    <w:uiPriority w:val="99"/>
    <w:semiHidden/>
    <w:unhideWhenUsed/>
    <w:rsid w:val="00155142"/>
    <w:pPr>
      <w:ind w:left="1440"/>
      <w:contextualSpacing/>
    </w:pPr>
  </w:style>
  <w:style w:type="paragraph" w:styleId="ListContinue5">
    <w:name w:val="List Continue 5"/>
    <w:basedOn w:val="Normal"/>
    <w:uiPriority w:val="99"/>
    <w:semiHidden/>
    <w:unhideWhenUsed/>
    <w:rsid w:val="00155142"/>
    <w:pPr>
      <w:ind w:left="1800"/>
      <w:contextualSpacing/>
    </w:pPr>
  </w:style>
  <w:style w:type="paragraph" w:styleId="ListNumber">
    <w:name w:val="List Number"/>
    <w:basedOn w:val="Normal"/>
    <w:uiPriority w:val="99"/>
    <w:semiHidden/>
    <w:unhideWhenUsed/>
    <w:rsid w:val="00155142"/>
    <w:pPr>
      <w:numPr>
        <w:numId w:val="8"/>
      </w:numPr>
      <w:contextualSpacing/>
    </w:pPr>
  </w:style>
  <w:style w:type="paragraph" w:styleId="ListNumber2">
    <w:name w:val="List Number 2"/>
    <w:basedOn w:val="Normal"/>
    <w:uiPriority w:val="99"/>
    <w:semiHidden/>
    <w:unhideWhenUsed/>
    <w:rsid w:val="00155142"/>
    <w:pPr>
      <w:numPr>
        <w:numId w:val="9"/>
      </w:numPr>
      <w:contextualSpacing/>
    </w:pPr>
  </w:style>
  <w:style w:type="paragraph" w:styleId="ListNumber3">
    <w:name w:val="List Number 3"/>
    <w:basedOn w:val="Normal"/>
    <w:uiPriority w:val="99"/>
    <w:semiHidden/>
    <w:unhideWhenUsed/>
    <w:rsid w:val="00155142"/>
    <w:pPr>
      <w:numPr>
        <w:numId w:val="10"/>
      </w:numPr>
      <w:contextualSpacing/>
    </w:pPr>
  </w:style>
  <w:style w:type="paragraph" w:styleId="ListNumber4">
    <w:name w:val="List Number 4"/>
    <w:basedOn w:val="Normal"/>
    <w:uiPriority w:val="99"/>
    <w:semiHidden/>
    <w:unhideWhenUsed/>
    <w:rsid w:val="00155142"/>
    <w:pPr>
      <w:numPr>
        <w:numId w:val="11"/>
      </w:numPr>
      <w:contextualSpacing/>
    </w:pPr>
  </w:style>
  <w:style w:type="paragraph" w:styleId="ListNumber5">
    <w:name w:val="List Number 5"/>
    <w:basedOn w:val="Normal"/>
    <w:uiPriority w:val="99"/>
    <w:semiHidden/>
    <w:unhideWhenUsed/>
    <w:rsid w:val="00155142"/>
    <w:pPr>
      <w:numPr>
        <w:numId w:val="12"/>
      </w:numPr>
      <w:contextualSpacing/>
    </w:pPr>
  </w:style>
  <w:style w:type="paragraph" w:styleId="MacroText">
    <w:name w:val="macro"/>
    <w:link w:val="MacroTextChar"/>
    <w:uiPriority w:val="99"/>
    <w:semiHidden/>
    <w:unhideWhenUsed/>
    <w:rsid w:val="00155142"/>
    <w:pPr>
      <w:tabs>
        <w:tab w:val="left" w:pos="480"/>
        <w:tab w:val="left" w:pos="960"/>
        <w:tab w:val="left" w:pos="1440"/>
        <w:tab w:val="left" w:pos="1920"/>
        <w:tab w:val="left" w:pos="2400"/>
        <w:tab w:val="left" w:pos="2880"/>
        <w:tab w:val="left" w:pos="3360"/>
        <w:tab w:val="left" w:pos="3840"/>
        <w:tab w:val="left" w:pos="4320"/>
      </w:tabs>
      <w:spacing w:before="240" w:line="276" w:lineRule="auto"/>
      <w:jc w:val="both"/>
    </w:pPr>
    <w:rPr>
      <w:rFonts w:ascii="Consolas" w:hAnsi="Consolas"/>
      <w:lang w:val="en-US" w:eastAsia="en-US"/>
    </w:rPr>
  </w:style>
  <w:style w:type="character" w:customStyle="1" w:styleId="MacroTextChar">
    <w:name w:val="Macro Text Char"/>
    <w:basedOn w:val="DefaultParagraphFont"/>
    <w:link w:val="MacroText"/>
    <w:uiPriority w:val="99"/>
    <w:semiHidden/>
    <w:rsid w:val="00155142"/>
    <w:rPr>
      <w:rFonts w:ascii="Consolas" w:hAnsi="Consolas"/>
      <w:lang w:val="en-US" w:eastAsia="en-US"/>
    </w:rPr>
  </w:style>
  <w:style w:type="paragraph" w:styleId="MessageHeader">
    <w:name w:val="Message Header"/>
    <w:basedOn w:val="Normal"/>
    <w:link w:val="MessageHeaderChar"/>
    <w:uiPriority w:val="99"/>
    <w:semiHidden/>
    <w:unhideWhenUsed/>
    <w:rsid w:val="00155142"/>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55142"/>
    <w:rPr>
      <w:rFonts w:asciiTheme="majorHAnsi" w:eastAsiaTheme="majorEastAsia" w:hAnsiTheme="majorHAnsi" w:cstheme="majorBidi"/>
      <w:sz w:val="24"/>
      <w:szCs w:val="24"/>
      <w:shd w:val="pct20" w:color="auto" w:fill="auto"/>
      <w:lang w:val="en-US" w:eastAsia="en-US"/>
    </w:rPr>
  </w:style>
  <w:style w:type="paragraph" w:styleId="NoSpacing">
    <w:name w:val="No Spacing"/>
    <w:uiPriority w:val="1"/>
    <w:qFormat/>
    <w:rsid w:val="00155142"/>
    <w:pPr>
      <w:jc w:val="both"/>
    </w:pPr>
    <w:rPr>
      <w:rFonts w:ascii="Arial" w:hAnsi="Arial"/>
      <w:lang w:val="en-US" w:eastAsia="en-US"/>
    </w:rPr>
  </w:style>
  <w:style w:type="paragraph" w:styleId="NormalWeb">
    <w:name w:val="Normal (Web)"/>
    <w:basedOn w:val="Normal"/>
    <w:uiPriority w:val="99"/>
    <w:semiHidden/>
    <w:unhideWhenUsed/>
    <w:rsid w:val="00155142"/>
    <w:rPr>
      <w:rFonts w:ascii="Times New Roman" w:hAnsi="Times New Roman"/>
      <w:sz w:val="24"/>
      <w:szCs w:val="24"/>
    </w:rPr>
  </w:style>
  <w:style w:type="paragraph" w:styleId="NormalIndent">
    <w:name w:val="Normal Indent"/>
    <w:basedOn w:val="Normal"/>
    <w:uiPriority w:val="99"/>
    <w:semiHidden/>
    <w:unhideWhenUsed/>
    <w:rsid w:val="00155142"/>
    <w:pPr>
      <w:ind w:left="720"/>
    </w:pPr>
  </w:style>
  <w:style w:type="paragraph" w:styleId="NoteHeading">
    <w:name w:val="Note Heading"/>
    <w:basedOn w:val="Normal"/>
    <w:next w:val="Normal"/>
    <w:link w:val="NoteHeadingChar"/>
    <w:uiPriority w:val="99"/>
    <w:semiHidden/>
    <w:unhideWhenUsed/>
    <w:rsid w:val="00155142"/>
    <w:pPr>
      <w:spacing w:before="0" w:after="0" w:line="240" w:lineRule="auto"/>
    </w:pPr>
  </w:style>
  <w:style w:type="character" w:customStyle="1" w:styleId="NoteHeadingChar">
    <w:name w:val="Note Heading Char"/>
    <w:basedOn w:val="DefaultParagraphFont"/>
    <w:link w:val="NoteHeading"/>
    <w:uiPriority w:val="99"/>
    <w:semiHidden/>
    <w:rsid w:val="00155142"/>
    <w:rPr>
      <w:rFonts w:ascii="Arial" w:hAnsi="Arial"/>
      <w:lang w:val="en-US" w:eastAsia="en-US"/>
    </w:rPr>
  </w:style>
  <w:style w:type="paragraph" w:styleId="PlainText">
    <w:name w:val="Plain Text"/>
    <w:basedOn w:val="Normal"/>
    <w:link w:val="PlainTextChar"/>
    <w:uiPriority w:val="99"/>
    <w:semiHidden/>
    <w:unhideWhenUsed/>
    <w:rsid w:val="00155142"/>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55142"/>
    <w:rPr>
      <w:rFonts w:ascii="Consolas" w:hAnsi="Consolas"/>
      <w:sz w:val="21"/>
      <w:szCs w:val="21"/>
      <w:lang w:val="en-US" w:eastAsia="en-US"/>
    </w:rPr>
  </w:style>
  <w:style w:type="paragraph" w:styleId="Quote">
    <w:name w:val="Quote"/>
    <w:basedOn w:val="Normal"/>
    <w:next w:val="Normal"/>
    <w:link w:val="QuoteChar"/>
    <w:uiPriority w:val="29"/>
    <w:qFormat/>
    <w:rsid w:val="0015514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55142"/>
    <w:rPr>
      <w:rFonts w:ascii="Arial" w:hAnsi="Arial"/>
      <w:i/>
      <w:iCs/>
      <w:color w:val="404040" w:themeColor="text1" w:themeTint="BF"/>
      <w:lang w:val="en-US" w:eastAsia="en-US"/>
    </w:rPr>
  </w:style>
  <w:style w:type="paragraph" w:styleId="Salutation">
    <w:name w:val="Salutation"/>
    <w:basedOn w:val="Normal"/>
    <w:next w:val="Normal"/>
    <w:link w:val="SalutationChar"/>
    <w:uiPriority w:val="99"/>
    <w:semiHidden/>
    <w:unhideWhenUsed/>
    <w:rsid w:val="00155142"/>
  </w:style>
  <w:style w:type="character" w:customStyle="1" w:styleId="SalutationChar">
    <w:name w:val="Salutation Char"/>
    <w:basedOn w:val="DefaultParagraphFont"/>
    <w:link w:val="Salutation"/>
    <w:uiPriority w:val="99"/>
    <w:semiHidden/>
    <w:rsid w:val="00155142"/>
    <w:rPr>
      <w:rFonts w:ascii="Arial" w:hAnsi="Arial"/>
      <w:lang w:val="en-US" w:eastAsia="en-US"/>
    </w:rPr>
  </w:style>
  <w:style w:type="paragraph" w:styleId="Signature">
    <w:name w:val="Signature"/>
    <w:basedOn w:val="Normal"/>
    <w:link w:val="SignatureChar"/>
    <w:uiPriority w:val="99"/>
    <w:semiHidden/>
    <w:unhideWhenUsed/>
    <w:rsid w:val="00155142"/>
    <w:pPr>
      <w:spacing w:before="0" w:after="0" w:line="240" w:lineRule="auto"/>
      <w:ind w:left="4320"/>
    </w:pPr>
  </w:style>
  <w:style w:type="character" w:customStyle="1" w:styleId="SignatureChar">
    <w:name w:val="Signature Char"/>
    <w:basedOn w:val="DefaultParagraphFont"/>
    <w:link w:val="Signature"/>
    <w:uiPriority w:val="99"/>
    <w:semiHidden/>
    <w:rsid w:val="00155142"/>
    <w:rPr>
      <w:rFonts w:ascii="Arial" w:hAnsi="Arial"/>
      <w:lang w:val="en-US" w:eastAsia="en-US"/>
    </w:rPr>
  </w:style>
  <w:style w:type="paragraph" w:styleId="TableofAuthorities">
    <w:name w:val="table of authorities"/>
    <w:basedOn w:val="Normal"/>
    <w:next w:val="Normal"/>
    <w:uiPriority w:val="99"/>
    <w:semiHidden/>
    <w:unhideWhenUsed/>
    <w:rsid w:val="00155142"/>
    <w:pPr>
      <w:spacing w:after="0"/>
      <w:ind w:left="200" w:hanging="200"/>
    </w:pPr>
  </w:style>
  <w:style w:type="paragraph" w:styleId="TableofFigures">
    <w:name w:val="table of figures"/>
    <w:basedOn w:val="Normal"/>
    <w:next w:val="Normal"/>
    <w:uiPriority w:val="99"/>
    <w:semiHidden/>
    <w:unhideWhenUsed/>
    <w:rsid w:val="00155142"/>
    <w:pPr>
      <w:spacing w:after="0"/>
    </w:pPr>
  </w:style>
  <w:style w:type="paragraph" w:styleId="TOAHeading">
    <w:name w:val="toa heading"/>
    <w:basedOn w:val="Normal"/>
    <w:next w:val="Normal"/>
    <w:uiPriority w:val="99"/>
    <w:semiHidden/>
    <w:unhideWhenUsed/>
    <w:rsid w:val="00155142"/>
    <w:pPr>
      <w:spacing w:before="120"/>
    </w:pPr>
    <w:rPr>
      <w:rFonts w:asciiTheme="majorHAnsi" w:eastAsiaTheme="majorEastAsia" w:hAnsiTheme="majorHAnsi" w:cstheme="majorBid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184183">
      <w:bodyDiv w:val="1"/>
      <w:marLeft w:val="0"/>
      <w:marRight w:val="0"/>
      <w:marTop w:val="0"/>
      <w:marBottom w:val="0"/>
      <w:divBdr>
        <w:top w:val="none" w:sz="0" w:space="0" w:color="auto"/>
        <w:left w:val="none" w:sz="0" w:space="0" w:color="auto"/>
        <w:bottom w:val="none" w:sz="0" w:space="0" w:color="auto"/>
        <w:right w:val="none" w:sz="0" w:space="0" w:color="auto"/>
      </w:divBdr>
    </w:div>
    <w:div w:id="2053067628">
      <w:bodyDiv w:val="1"/>
      <w:marLeft w:val="0"/>
      <w:marRight w:val="0"/>
      <w:marTop w:val="0"/>
      <w:marBottom w:val="0"/>
      <w:divBdr>
        <w:top w:val="none" w:sz="0" w:space="0" w:color="auto"/>
        <w:left w:val="none" w:sz="0" w:space="0" w:color="auto"/>
        <w:bottom w:val="none" w:sz="0" w:space="0" w:color="auto"/>
        <w:right w:val="none" w:sz="0" w:space="0" w:color="auto"/>
      </w:divBdr>
    </w:div>
    <w:div w:id="2139177995">
      <w:bodyDiv w:val="1"/>
      <w:marLeft w:val="0"/>
      <w:marRight w:val="0"/>
      <w:marTop w:val="0"/>
      <w:marBottom w:val="0"/>
      <w:divBdr>
        <w:top w:val="none" w:sz="0" w:space="0" w:color="auto"/>
        <w:left w:val="none" w:sz="0" w:space="0" w:color="auto"/>
        <w:bottom w:val="none" w:sz="0" w:space="0" w:color="auto"/>
        <w:right w:val="none" w:sz="0" w:space="0" w:color="auto"/>
      </w:divBdr>
      <w:divsChild>
        <w:div w:id="4625042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87ADC-D9F3-40B7-BB43-DCD923740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1182</Words>
  <Characters>6740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7907</CharactersWithSpaces>
  <SharedDoc>false</SharedDoc>
  <HLinks>
    <vt:vector size="222" baseType="variant">
      <vt:variant>
        <vt:i4>1245244</vt:i4>
      </vt:variant>
      <vt:variant>
        <vt:i4>206</vt:i4>
      </vt:variant>
      <vt:variant>
        <vt:i4>0</vt:i4>
      </vt:variant>
      <vt:variant>
        <vt:i4>5</vt:i4>
      </vt:variant>
      <vt:variant>
        <vt:lpwstr/>
      </vt:variant>
      <vt:variant>
        <vt:lpwstr>_Toc473030836</vt:lpwstr>
      </vt:variant>
      <vt:variant>
        <vt:i4>1245244</vt:i4>
      </vt:variant>
      <vt:variant>
        <vt:i4>200</vt:i4>
      </vt:variant>
      <vt:variant>
        <vt:i4>0</vt:i4>
      </vt:variant>
      <vt:variant>
        <vt:i4>5</vt:i4>
      </vt:variant>
      <vt:variant>
        <vt:lpwstr/>
      </vt:variant>
      <vt:variant>
        <vt:lpwstr>_Toc473030835</vt:lpwstr>
      </vt:variant>
      <vt:variant>
        <vt:i4>1245244</vt:i4>
      </vt:variant>
      <vt:variant>
        <vt:i4>194</vt:i4>
      </vt:variant>
      <vt:variant>
        <vt:i4>0</vt:i4>
      </vt:variant>
      <vt:variant>
        <vt:i4>5</vt:i4>
      </vt:variant>
      <vt:variant>
        <vt:lpwstr/>
      </vt:variant>
      <vt:variant>
        <vt:lpwstr>_Toc473030834</vt:lpwstr>
      </vt:variant>
      <vt:variant>
        <vt:i4>1245244</vt:i4>
      </vt:variant>
      <vt:variant>
        <vt:i4>188</vt:i4>
      </vt:variant>
      <vt:variant>
        <vt:i4>0</vt:i4>
      </vt:variant>
      <vt:variant>
        <vt:i4>5</vt:i4>
      </vt:variant>
      <vt:variant>
        <vt:lpwstr/>
      </vt:variant>
      <vt:variant>
        <vt:lpwstr>_Toc473030833</vt:lpwstr>
      </vt:variant>
      <vt:variant>
        <vt:i4>1245244</vt:i4>
      </vt:variant>
      <vt:variant>
        <vt:i4>182</vt:i4>
      </vt:variant>
      <vt:variant>
        <vt:i4>0</vt:i4>
      </vt:variant>
      <vt:variant>
        <vt:i4>5</vt:i4>
      </vt:variant>
      <vt:variant>
        <vt:lpwstr/>
      </vt:variant>
      <vt:variant>
        <vt:lpwstr>_Toc473030832</vt:lpwstr>
      </vt:variant>
      <vt:variant>
        <vt:i4>1245244</vt:i4>
      </vt:variant>
      <vt:variant>
        <vt:i4>176</vt:i4>
      </vt:variant>
      <vt:variant>
        <vt:i4>0</vt:i4>
      </vt:variant>
      <vt:variant>
        <vt:i4>5</vt:i4>
      </vt:variant>
      <vt:variant>
        <vt:lpwstr/>
      </vt:variant>
      <vt:variant>
        <vt:lpwstr>_Toc473030831</vt:lpwstr>
      </vt:variant>
      <vt:variant>
        <vt:i4>1245244</vt:i4>
      </vt:variant>
      <vt:variant>
        <vt:i4>170</vt:i4>
      </vt:variant>
      <vt:variant>
        <vt:i4>0</vt:i4>
      </vt:variant>
      <vt:variant>
        <vt:i4>5</vt:i4>
      </vt:variant>
      <vt:variant>
        <vt:lpwstr/>
      </vt:variant>
      <vt:variant>
        <vt:lpwstr>_Toc473030830</vt:lpwstr>
      </vt:variant>
      <vt:variant>
        <vt:i4>1179708</vt:i4>
      </vt:variant>
      <vt:variant>
        <vt:i4>164</vt:i4>
      </vt:variant>
      <vt:variant>
        <vt:i4>0</vt:i4>
      </vt:variant>
      <vt:variant>
        <vt:i4>5</vt:i4>
      </vt:variant>
      <vt:variant>
        <vt:lpwstr/>
      </vt:variant>
      <vt:variant>
        <vt:lpwstr>_Toc473030829</vt:lpwstr>
      </vt:variant>
      <vt:variant>
        <vt:i4>1179708</vt:i4>
      </vt:variant>
      <vt:variant>
        <vt:i4>158</vt:i4>
      </vt:variant>
      <vt:variant>
        <vt:i4>0</vt:i4>
      </vt:variant>
      <vt:variant>
        <vt:i4>5</vt:i4>
      </vt:variant>
      <vt:variant>
        <vt:lpwstr/>
      </vt:variant>
      <vt:variant>
        <vt:lpwstr>_Toc473030828</vt:lpwstr>
      </vt:variant>
      <vt:variant>
        <vt:i4>1179708</vt:i4>
      </vt:variant>
      <vt:variant>
        <vt:i4>152</vt:i4>
      </vt:variant>
      <vt:variant>
        <vt:i4>0</vt:i4>
      </vt:variant>
      <vt:variant>
        <vt:i4>5</vt:i4>
      </vt:variant>
      <vt:variant>
        <vt:lpwstr/>
      </vt:variant>
      <vt:variant>
        <vt:lpwstr>_Toc473030827</vt:lpwstr>
      </vt:variant>
      <vt:variant>
        <vt:i4>1179708</vt:i4>
      </vt:variant>
      <vt:variant>
        <vt:i4>146</vt:i4>
      </vt:variant>
      <vt:variant>
        <vt:i4>0</vt:i4>
      </vt:variant>
      <vt:variant>
        <vt:i4>5</vt:i4>
      </vt:variant>
      <vt:variant>
        <vt:lpwstr/>
      </vt:variant>
      <vt:variant>
        <vt:lpwstr>_Toc473030826</vt:lpwstr>
      </vt:variant>
      <vt:variant>
        <vt:i4>1179708</vt:i4>
      </vt:variant>
      <vt:variant>
        <vt:i4>140</vt:i4>
      </vt:variant>
      <vt:variant>
        <vt:i4>0</vt:i4>
      </vt:variant>
      <vt:variant>
        <vt:i4>5</vt:i4>
      </vt:variant>
      <vt:variant>
        <vt:lpwstr/>
      </vt:variant>
      <vt:variant>
        <vt:lpwstr>_Toc473030825</vt:lpwstr>
      </vt:variant>
      <vt:variant>
        <vt:i4>1179708</vt:i4>
      </vt:variant>
      <vt:variant>
        <vt:i4>134</vt:i4>
      </vt:variant>
      <vt:variant>
        <vt:i4>0</vt:i4>
      </vt:variant>
      <vt:variant>
        <vt:i4>5</vt:i4>
      </vt:variant>
      <vt:variant>
        <vt:lpwstr/>
      </vt:variant>
      <vt:variant>
        <vt:lpwstr>_Toc473030824</vt:lpwstr>
      </vt:variant>
      <vt:variant>
        <vt:i4>1179708</vt:i4>
      </vt:variant>
      <vt:variant>
        <vt:i4>128</vt:i4>
      </vt:variant>
      <vt:variant>
        <vt:i4>0</vt:i4>
      </vt:variant>
      <vt:variant>
        <vt:i4>5</vt:i4>
      </vt:variant>
      <vt:variant>
        <vt:lpwstr/>
      </vt:variant>
      <vt:variant>
        <vt:lpwstr>_Toc473030823</vt:lpwstr>
      </vt:variant>
      <vt:variant>
        <vt:i4>1179708</vt:i4>
      </vt:variant>
      <vt:variant>
        <vt:i4>122</vt:i4>
      </vt:variant>
      <vt:variant>
        <vt:i4>0</vt:i4>
      </vt:variant>
      <vt:variant>
        <vt:i4>5</vt:i4>
      </vt:variant>
      <vt:variant>
        <vt:lpwstr/>
      </vt:variant>
      <vt:variant>
        <vt:lpwstr>_Toc473030822</vt:lpwstr>
      </vt:variant>
      <vt:variant>
        <vt:i4>1179708</vt:i4>
      </vt:variant>
      <vt:variant>
        <vt:i4>116</vt:i4>
      </vt:variant>
      <vt:variant>
        <vt:i4>0</vt:i4>
      </vt:variant>
      <vt:variant>
        <vt:i4>5</vt:i4>
      </vt:variant>
      <vt:variant>
        <vt:lpwstr/>
      </vt:variant>
      <vt:variant>
        <vt:lpwstr>_Toc473030821</vt:lpwstr>
      </vt:variant>
      <vt:variant>
        <vt:i4>1179708</vt:i4>
      </vt:variant>
      <vt:variant>
        <vt:i4>110</vt:i4>
      </vt:variant>
      <vt:variant>
        <vt:i4>0</vt:i4>
      </vt:variant>
      <vt:variant>
        <vt:i4>5</vt:i4>
      </vt:variant>
      <vt:variant>
        <vt:lpwstr/>
      </vt:variant>
      <vt:variant>
        <vt:lpwstr>_Toc473030820</vt:lpwstr>
      </vt:variant>
      <vt:variant>
        <vt:i4>1114172</vt:i4>
      </vt:variant>
      <vt:variant>
        <vt:i4>104</vt:i4>
      </vt:variant>
      <vt:variant>
        <vt:i4>0</vt:i4>
      </vt:variant>
      <vt:variant>
        <vt:i4>5</vt:i4>
      </vt:variant>
      <vt:variant>
        <vt:lpwstr/>
      </vt:variant>
      <vt:variant>
        <vt:lpwstr>_Toc473030819</vt:lpwstr>
      </vt:variant>
      <vt:variant>
        <vt:i4>1114172</vt:i4>
      </vt:variant>
      <vt:variant>
        <vt:i4>98</vt:i4>
      </vt:variant>
      <vt:variant>
        <vt:i4>0</vt:i4>
      </vt:variant>
      <vt:variant>
        <vt:i4>5</vt:i4>
      </vt:variant>
      <vt:variant>
        <vt:lpwstr/>
      </vt:variant>
      <vt:variant>
        <vt:lpwstr>_Toc473030818</vt:lpwstr>
      </vt:variant>
      <vt:variant>
        <vt:i4>1114172</vt:i4>
      </vt:variant>
      <vt:variant>
        <vt:i4>92</vt:i4>
      </vt:variant>
      <vt:variant>
        <vt:i4>0</vt:i4>
      </vt:variant>
      <vt:variant>
        <vt:i4>5</vt:i4>
      </vt:variant>
      <vt:variant>
        <vt:lpwstr/>
      </vt:variant>
      <vt:variant>
        <vt:lpwstr>_Toc473030817</vt:lpwstr>
      </vt:variant>
      <vt:variant>
        <vt:i4>1114172</vt:i4>
      </vt:variant>
      <vt:variant>
        <vt:i4>86</vt:i4>
      </vt:variant>
      <vt:variant>
        <vt:i4>0</vt:i4>
      </vt:variant>
      <vt:variant>
        <vt:i4>5</vt:i4>
      </vt:variant>
      <vt:variant>
        <vt:lpwstr/>
      </vt:variant>
      <vt:variant>
        <vt:lpwstr>_Toc473030816</vt:lpwstr>
      </vt:variant>
      <vt:variant>
        <vt:i4>1114172</vt:i4>
      </vt:variant>
      <vt:variant>
        <vt:i4>80</vt:i4>
      </vt:variant>
      <vt:variant>
        <vt:i4>0</vt:i4>
      </vt:variant>
      <vt:variant>
        <vt:i4>5</vt:i4>
      </vt:variant>
      <vt:variant>
        <vt:lpwstr/>
      </vt:variant>
      <vt:variant>
        <vt:lpwstr>_Toc473030815</vt:lpwstr>
      </vt:variant>
      <vt:variant>
        <vt:i4>1114172</vt:i4>
      </vt:variant>
      <vt:variant>
        <vt:i4>74</vt:i4>
      </vt:variant>
      <vt:variant>
        <vt:i4>0</vt:i4>
      </vt:variant>
      <vt:variant>
        <vt:i4>5</vt:i4>
      </vt:variant>
      <vt:variant>
        <vt:lpwstr/>
      </vt:variant>
      <vt:variant>
        <vt:lpwstr>_Toc473030814</vt:lpwstr>
      </vt:variant>
      <vt:variant>
        <vt:i4>1114172</vt:i4>
      </vt:variant>
      <vt:variant>
        <vt:i4>68</vt:i4>
      </vt:variant>
      <vt:variant>
        <vt:i4>0</vt:i4>
      </vt:variant>
      <vt:variant>
        <vt:i4>5</vt:i4>
      </vt:variant>
      <vt:variant>
        <vt:lpwstr/>
      </vt:variant>
      <vt:variant>
        <vt:lpwstr>_Toc473030813</vt:lpwstr>
      </vt:variant>
      <vt:variant>
        <vt:i4>1114172</vt:i4>
      </vt:variant>
      <vt:variant>
        <vt:i4>62</vt:i4>
      </vt:variant>
      <vt:variant>
        <vt:i4>0</vt:i4>
      </vt:variant>
      <vt:variant>
        <vt:i4>5</vt:i4>
      </vt:variant>
      <vt:variant>
        <vt:lpwstr/>
      </vt:variant>
      <vt:variant>
        <vt:lpwstr>_Toc473030812</vt:lpwstr>
      </vt:variant>
      <vt:variant>
        <vt:i4>1114172</vt:i4>
      </vt:variant>
      <vt:variant>
        <vt:i4>56</vt:i4>
      </vt:variant>
      <vt:variant>
        <vt:i4>0</vt:i4>
      </vt:variant>
      <vt:variant>
        <vt:i4>5</vt:i4>
      </vt:variant>
      <vt:variant>
        <vt:lpwstr/>
      </vt:variant>
      <vt:variant>
        <vt:lpwstr>_Toc473030811</vt:lpwstr>
      </vt:variant>
      <vt:variant>
        <vt:i4>1114172</vt:i4>
      </vt:variant>
      <vt:variant>
        <vt:i4>50</vt:i4>
      </vt:variant>
      <vt:variant>
        <vt:i4>0</vt:i4>
      </vt:variant>
      <vt:variant>
        <vt:i4>5</vt:i4>
      </vt:variant>
      <vt:variant>
        <vt:lpwstr/>
      </vt:variant>
      <vt:variant>
        <vt:lpwstr>_Toc473030810</vt:lpwstr>
      </vt:variant>
      <vt:variant>
        <vt:i4>1048636</vt:i4>
      </vt:variant>
      <vt:variant>
        <vt:i4>44</vt:i4>
      </vt:variant>
      <vt:variant>
        <vt:i4>0</vt:i4>
      </vt:variant>
      <vt:variant>
        <vt:i4>5</vt:i4>
      </vt:variant>
      <vt:variant>
        <vt:lpwstr/>
      </vt:variant>
      <vt:variant>
        <vt:lpwstr>_Toc473030809</vt:lpwstr>
      </vt:variant>
      <vt:variant>
        <vt:i4>1048636</vt:i4>
      </vt:variant>
      <vt:variant>
        <vt:i4>38</vt:i4>
      </vt:variant>
      <vt:variant>
        <vt:i4>0</vt:i4>
      </vt:variant>
      <vt:variant>
        <vt:i4>5</vt:i4>
      </vt:variant>
      <vt:variant>
        <vt:lpwstr/>
      </vt:variant>
      <vt:variant>
        <vt:lpwstr>_Toc473030808</vt:lpwstr>
      </vt:variant>
      <vt:variant>
        <vt:i4>1048636</vt:i4>
      </vt:variant>
      <vt:variant>
        <vt:i4>32</vt:i4>
      </vt:variant>
      <vt:variant>
        <vt:i4>0</vt:i4>
      </vt:variant>
      <vt:variant>
        <vt:i4>5</vt:i4>
      </vt:variant>
      <vt:variant>
        <vt:lpwstr/>
      </vt:variant>
      <vt:variant>
        <vt:lpwstr>_Toc473030807</vt:lpwstr>
      </vt:variant>
      <vt:variant>
        <vt:i4>1048636</vt:i4>
      </vt:variant>
      <vt:variant>
        <vt:i4>26</vt:i4>
      </vt:variant>
      <vt:variant>
        <vt:i4>0</vt:i4>
      </vt:variant>
      <vt:variant>
        <vt:i4>5</vt:i4>
      </vt:variant>
      <vt:variant>
        <vt:lpwstr/>
      </vt:variant>
      <vt:variant>
        <vt:lpwstr>_Toc473030806</vt:lpwstr>
      </vt:variant>
      <vt:variant>
        <vt:i4>1048636</vt:i4>
      </vt:variant>
      <vt:variant>
        <vt:i4>20</vt:i4>
      </vt:variant>
      <vt:variant>
        <vt:i4>0</vt:i4>
      </vt:variant>
      <vt:variant>
        <vt:i4>5</vt:i4>
      </vt:variant>
      <vt:variant>
        <vt:lpwstr/>
      </vt:variant>
      <vt:variant>
        <vt:lpwstr>_Toc473030805</vt:lpwstr>
      </vt:variant>
      <vt:variant>
        <vt:i4>1048636</vt:i4>
      </vt:variant>
      <vt:variant>
        <vt:i4>14</vt:i4>
      </vt:variant>
      <vt:variant>
        <vt:i4>0</vt:i4>
      </vt:variant>
      <vt:variant>
        <vt:i4>5</vt:i4>
      </vt:variant>
      <vt:variant>
        <vt:lpwstr/>
      </vt:variant>
      <vt:variant>
        <vt:lpwstr>_Toc473030804</vt:lpwstr>
      </vt:variant>
      <vt:variant>
        <vt:i4>1048636</vt:i4>
      </vt:variant>
      <vt:variant>
        <vt:i4>8</vt:i4>
      </vt:variant>
      <vt:variant>
        <vt:i4>0</vt:i4>
      </vt:variant>
      <vt:variant>
        <vt:i4>5</vt:i4>
      </vt:variant>
      <vt:variant>
        <vt:lpwstr/>
      </vt:variant>
      <vt:variant>
        <vt:lpwstr>_Toc473030803</vt:lpwstr>
      </vt:variant>
      <vt:variant>
        <vt:i4>1048636</vt:i4>
      </vt:variant>
      <vt:variant>
        <vt:i4>2</vt:i4>
      </vt:variant>
      <vt:variant>
        <vt:i4>0</vt:i4>
      </vt:variant>
      <vt:variant>
        <vt:i4>5</vt:i4>
      </vt:variant>
      <vt:variant>
        <vt:lpwstr/>
      </vt:variant>
      <vt:variant>
        <vt:lpwstr>_Toc473030802</vt:lpwstr>
      </vt:variant>
      <vt:variant>
        <vt:i4>7667809</vt:i4>
      </vt:variant>
      <vt:variant>
        <vt:i4>9</vt:i4>
      </vt:variant>
      <vt:variant>
        <vt:i4>0</vt:i4>
      </vt:variant>
      <vt:variant>
        <vt:i4>5</vt:i4>
      </vt:variant>
      <vt:variant>
        <vt:lpwstr>http://www.cil.nus.edu.sg/</vt:lpwstr>
      </vt:variant>
      <vt:variant>
        <vt:lpwstr/>
      </vt:variant>
      <vt:variant>
        <vt:i4>7667809</vt:i4>
      </vt:variant>
      <vt:variant>
        <vt:i4>0</vt:i4>
      </vt:variant>
      <vt:variant>
        <vt:i4>0</vt:i4>
      </vt:variant>
      <vt:variant>
        <vt:i4>5</vt:i4>
      </vt:variant>
      <vt:variant>
        <vt:lpwstr>http://www.cil.nus.edu.sg/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Sng</dc:creator>
  <cp:keywords/>
  <dc:description/>
  <cp:lastModifiedBy>Microsoft Office User</cp:lastModifiedBy>
  <cp:revision>6</cp:revision>
  <cp:lastPrinted>2019-01-29T09:08:00Z</cp:lastPrinted>
  <dcterms:created xsi:type="dcterms:W3CDTF">2026-04-06T02:24:00Z</dcterms:created>
  <dcterms:modified xsi:type="dcterms:W3CDTF">2026-05-08T03:33:00Z</dcterms:modified>
</cp:coreProperties>
</file>