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3E609" w14:textId="77777777" w:rsidR="00C036CD" w:rsidRDefault="00C036CD" w:rsidP="00DA49A6">
      <w:pPr>
        <w:pStyle w:val="CILTitle"/>
      </w:pPr>
      <w:r>
        <w:t xml:space="preserve">2025 ASEAN LEADERS’ DECLARATION ON HIGHER EDUCATION: TOWARDS AN INCLUSIVE, SUSTAINABLE </w:t>
      </w:r>
    </w:p>
    <w:p w14:paraId="5E2CD3EA" w14:textId="77777777" w:rsidR="00C036CD" w:rsidRDefault="00C036CD" w:rsidP="00DA49A6">
      <w:pPr>
        <w:pStyle w:val="CILTitle"/>
      </w:pPr>
      <w:r>
        <w:t>AND PROSPEROUS ASEAN</w:t>
      </w:r>
    </w:p>
    <w:p w14:paraId="71002F1E" w14:textId="1BD5284C" w:rsidR="00F36C6C" w:rsidRDefault="00F36C6C" w:rsidP="00F36C6C">
      <w:pPr>
        <w:pStyle w:val="CILSubtitle"/>
      </w:pPr>
      <w:r>
        <w:br/>
        <w:t>Adopted in Kuala Lumpur, Malaysia on 26 October 2025</w:t>
      </w:r>
    </w:p>
    <w:p w14:paraId="78CAA088" w14:textId="77777777" w:rsidR="00C036CD" w:rsidRDefault="00C036CD" w:rsidP="00C036CD"/>
    <w:p w14:paraId="107D6A29" w14:textId="77777777" w:rsidR="00C036CD" w:rsidRDefault="00C036CD" w:rsidP="00C036CD">
      <w:r w:rsidRPr="00DA49A6">
        <w:rPr>
          <w:b/>
          <w:bCs/>
        </w:rPr>
        <w:t>We,</w:t>
      </w:r>
      <w:r>
        <w:t xml:space="preserve"> ASEAN Member States, consisting of Brunei Darussalam, the Kingdom of Cambodia, the Republic of Indonesia, the Lao People’s Democratic Republic, Malaysia, the Republic of the Union of Myanmar, the Republic of the Philippines, the Republic of Singapore, the Kingdom of Thailand, and the Socialist Republic of Viet Nam, on the occasion of the Forty Seventh (47th) Summit in Kuala Lumpur.</w:t>
      </w:r>
    </w:p>
    <w:p w14:paraId="365E57F9" w14:textId="77777777" w:rsidR="00C036CD" w:rsidRDefault="00C036CD" w:rsidP="00C036CD"/>
    <w:p w14:paraId="5C61C452" w14:textId="77777777" w:rsidR="00C036CD" w:rsidRDefault="00C036CD" w:rsidP="00C036CD">
      <w:r w:rsidRPr="00DA49A6">
        <w:rPr>
          <w:b/>
          <w:bCs/>
        </w:rPr>
        <w:t>RECALLING</w:t>
      </w:r>
      <w:r>
        <w:t xml:space="preserve"> the Kuala Lumpur Declaration on Higher Education 2015 which outlines the direction of higher education in ASEAN between 2015 and 2025;</w:t>
      </w:r>
    </w:p>
    <w:p w14:paraId="2DB567F7" w14:textId="77777777" w:rsidR="00C036CD" w:rsidRDefault="00C036CD" w:rsidP="00C036CD"/>
    <w:p w14:paraId="236230F8" w14:textId="77777777" w:rsidR="00C036CD" w:rsidRDefault="00C036CD" w:rsidP="00C036CD">
      <w:r w:rsidRPr="00DA49A6">
        <w:rPr>
          <w:b/>
          <w:bCs/>
        </w:rPr>
        <w:t>ACKNOWLEDGING</w:t>
      </w:r>
      <w:r>
        <w:t xml:space="preserve"> the formation of the ASEAN Community in 2015 and the adoption of the ASEAN Vision 2025 to deepen the ASEAN integration process, through among others, the realisation of a rules-based, people-oriented, people-centred ASEAN Community, where ASEAN peoples may enjoy higher quality of life and the benefits of community building; enhanced capacity to respond effectively to challenges; and ASEAN as a region as an outward-looking region within a global community of nations, while maintaining ASEAN centrality;</w:t>
      </w:r>
    </w:p>
    <w:p w14:paraId="08FD6374" w14:textId="77777777" w:rsidR="00C036CD" w:rsidRDefault="00C036CD" w:rsidP="00C036CD"/>
    <w:p w14:paraId="7BDD05F2" w14:textId="77777777" w:rsidR="00C036CD" w:rsidRDefault="00C036CD" w:rsidP="00C036CD">
      <w:r w:rsidRPr="00DA49A6">
        <w:rPr>
          <w:b/>
          <w:bCs/>
        </w:rPr>
        <w:t>RECALLING</w:t>
      </w:r>
      <w:r>
        <w:t xml:space="preserve"> the ASEAN Socio-cultural Community Blueprint 2025, to enhance the competitiveness of ASEAN human resources through the promotion of life-long learning, pathways, equivalencies, and skills development as well as the use of information and communication technologies across age groups; promote an innovative ASEAN approach to higher education, incorporating academics, community service, regional placement, and entrepreneurship incubation and support; encourage regional cooperation in the areas of education, training and research, and strengthen ASEAN’s role in regional and global research network by promoting initiatives and providing incentives and support for research and development, including research publications; promote the free flow of ideas, knowledge, expertise, and skills to inject dynamism within the region;</w:t>
      </w:r>
    </w:p>
    <w:p w14:paraId="693A0694" w14:textId="77777777" w:rsidR="00C036CD" w:rsidRDefault="00C036CD" w:rsidP="00C036CD"/>
    <w:p w14:paraId="721B4ABB" w14:textId="77777777" w:rsidR="00C036CD" w:rsidRDefault="00C036CD" w:rsidP="00C036CD">
      <w:r w:rsidRPr="00D65A27">
        <w:rPr>
          <w:b/>
          <w:bCs/>
        </w:rPr>
        <w:t>ACKNOWLEDGING</w:t>
      </w:r>
      <w:r>
        <w:t xml:space="preserve"> initiatives to implement the ASEAN Socio-cultural Community Blueprint 2025 including the Declaration on Digital Transformation of Education Systems in ASEAN 2022, the Declaration on the ASEAN Comprehensive Recovery Plan 2020, the Joint Declaration on the Common Space in Southeast Asian Higher Education, the Roadmap of the ASEAN Declaration on Human Resources Development for the Changing World of Work 2020, and the ASEAN Digital Masterplan 2025;</w:t>
      </w:r>
    </w:p>
    <w:p w14:paraId="1C0EE883" w14:textId="77777777" w:rsidR="00C036CD" w:rsidRDefault="00C036CD" w:rsidP="00C036CD"/>
    <w:p w14:paraId="02FAB7BE" w14:textId="77777777" w:rsidR="00C036CD" w:rsidRDefault="00C036CD" w:rsidP="00C036CD">
      <w:r w:rsidRPr="00D65A27">
        <w:rPr>
          <w:b/>
          <w:bCs/>
        </w:rPr>
        <w:t>TAKING INTO CONSIDERATION</w:t>
      </w:r>
      <w:r>
        <w:t xml:space="preserve"> the global megatrends towards 2045 which predicts the changing geopolitical and geo-economic challenges, the development of frontier technologies, the changing demography in ASEAN and the world at large, which impact the higher education sector, and bring changes in societies, challenges in building shared peace, security, and prosperity across communities in ASEAN, and the need for transformation at regional and global levels;</w:t>
      </w:r>
    </w:p>
    <w:p w14:paraId="6767B8CE" w14:textId="77777777" w:rsidR="00C036CD" w:rsidRPr="00D65A27" w:rsidRDefault="00C036CD" w:rsidP="00C036CD">
      <w:pPr>
        <w:rPr>
          <w:b/>
          <w:bCs/>
        </w:rPr>
      </w:pPr>
    </w:p>
    <w:p w14:paraId="1129AD4E" w14:textId="77777777" w:rsidR="00C036CD" w:rsidRDefault="00C036CD" w:rsidP="00C036CD">
      <w:r w:rsidRPr="00D65A27">
        <w:rPr>
          <w:b/>
          <w:bCs/>
        </w:rPr>
        <w:t>REAFFIRMING</w:t>
      </w:r>
      <w:r>
        <w:t xml:space="preserve"> the important role and contribution of higher education as one of the catalysts in achieving the ASEAN Community Vision 2045 and in supporting the implementation of the ASEAN Socio-Cultural Community (ASCC) Post-2025 Strategic Plan of ASEAN Community Vision 2045.</w:t>
      </w:r>
    </w:p>
    <w:p w14:paraId="06EA3420" w14:textId="77777777" w:rsidR="00C036CD" w:rsidRDefault="00C036CD" w:rsidP="00C036CD"/>
    <w:p w14:paraId="6A3671FB" w14:textId="77777777" w:rsidR="00225628" w:rsidRDefault="00225628">
      <w:pPr>
        <w:widowControl/>
        <w:autoSpaceDE/>
        <w:autoSpaceDN/>
        <w:jc w:val="left"/>
      </w:pPr>
      <w:r>
        <w:br w:type="page"/>
      </w:r>
    </w:p>
    <w:p w14:paraId="61DE583C" w14:textId="034E343B" w:rsidR="00C036CD" w:rsidRDefault="00C036CD" w:rsidP="00C036CD">
      <w:r>
        <w:lastRenderedPageBreak/>
        <w:t>Hereby agree to:</w:t>
      </w:r>
    </w:p>
    <w:p w14:paraId="29EBE0DF" w14:textId="77777777" w:rsidR="00C036CD" w:rsidRDefault="00C036CD" w:rsidP="00C036CD"/>
    <w:p w14:paraId="591E9424" w14:textId="77777777" w:rsidR="00C036CD" w:rsidRPr="00D65A27" w:rsidRDefault="00C036CD" w:rsidP="00D65A27">
      <w:pPr>
        <w:ind w:left="630" w:hanging="630"/>
        <w:rPr>
          <w:b/>
          <w:bCs/>
        </w:rPr>
      </w:pPr>
      <w:r w:rsidRPr="00D65A27">
        <w:rPr>
          <w:b/>
          <w:bCs/>
        </w:rPr>
        <w:t>1.</w:t>
      </w:r>
      <w:r w:rsidRPr="00D65A27">
        <w:rPr>
          <w:b/>
          <w:bCs/>
        </w:rPr>
        <w:tab/>
        <w:t>Vision and Leadership</w:t>
      </w:r>
    </w:p>
    <w:p w14:paraId="05260DB6" w14:textId="77777777" w:rsidR="00C036CD" w:rsidRDefault="00C036CD" w:rsidP="00D65A27">
      <w:pPr>
        <w:ind w:left="630" w:hanging="630"/>
      </w:pPr>
    </w:p>
    <w:p w14:paraId="1FE8B06C" w14:textId="77777777" w:rsidR="00C036CD" w:rsidRDefault="00C036CD" w:rsidP="00D65A27">
      <w:pPr>
        <w:ind w:left="630"/>
      </w:pPr>
      <w:r>
        <w:t>Recognise the role of higher education in realising the ASEAN Community Vision 2045, and the regional and national development agenda across the political security, economic and social-cultural pillars of ASEAN integration; towards building a community of resilient, innovative, dynamic, and people-centred ASEAN.</w:t>
      </w:r>
    </w:p>
    <w:p w14:paraId="3CC4E6A4" w14:textId="77777777" w:rsidR="00C036CD" w:rsidRDefault="00C036CD" w:rsidP="00D65A27">
      <w:pPr>
        <w:ind w:left="630" w:hanging="630"/>
      </w:pPr>
    </w:p>
    <w:p w14:paraId="68D0FF63" w14:textId="77777777" w:rsidR="00C036CD" w:rsidRDefault="00C036CD" w:rsidP="00D65A27">
      <w:pPr>
        <w:ind w:left="630"/>
      </w:pPr>
      <w:r>
        <w:t>Strengthen the role of organisations that are active in the development of an ASEAN higher education community, including the ASEAN University Network (AUN), and the Southeast Asian Ministers of Education Organization Regional Centre for Higher Education and Development (SEAMEO-RIHED).</w:t>
      </w:r>
    </w:p>
    <w:p w14:paraId="34E262B1" w14:textId="77777777" w:rsidR="00C036CD" w:rsidRDefault="00C036CD" w:rsidP="00D65A27">
      <w:pPr>
        <w:ind w:left="630" w:hanging="630"/>
      </w:pPr>
    </w:p>
    <w:p w14:paraId="6BF0DF17" w14:textId="77777777" w:rsidR="00C036CD" w:rsidRPr="00D65A27" w:rsidRDefault="00C036CD" w:rsidP="00D65A27">
      <w:pPr>
        <w:ind w:left="630" w:hanging="630"/>
        <w:rPr>
          <w:b/>
          <w:bCs/>
        </w:rPr>
      </w:pPr>
      <w:r w:rsidRPr="003320AC">
        <w:rPr>
          <w:b/>
          <w:bCs/>
        </w:rPr>
        <w:t>2.</w:t>
      </w:r>
      <w:r w:rsidRPr="003320AC">
        <w:rPr>
          <w:b/>
          <w:bCs/>
        </w:rPr>
        <w:tab/>
      </w:r>
      <w:r w:rsidRPr="00D65A27">
        <w:rPr>
          <w:b/>
          <w:bCs/>
        </w:rPr>
        <w:t>Equitable and Inclusive Access to Higher Education</w:t>
      </w:r>
    </w:p>
    <w:p w14:paraId="12AB5771" w14:textId="77777777" w:rsidR="00C036CD" w:rsidRDefault="00C036CD" w:rsidP="00D65A27">
      <w:pPr>
        <w:ind w:left="630" w:hanging="630"/>
      </w:pPr>
    </w:p>
    <w:p w14:paraId="524634AF" w14:textId="77777777" w:rsidR="00C036CD" w:rsidRDefault="00C036CD" w:rsidP="00D65A27">
      <w:pPr>
        <w:ind w:left="630"/>
      </w:pPr>
      <w:r>
        <w:t>Continue to create and implement policies and practices to ensure equitable access to quality higher education for all the peoples of ASEAN, including access to educational institutions, education technologies, financial assistance, and other non-monetary instruments to increase focus on people in vulnerable situations, and to reduce the gap between ASEAN Member States.</w:t>
      </w:r>
    </w:p>
    <w:p w14:paraId="6A6004F9" w14:textId="77777777" w:rsidR="00C036CD" w:rsidRDefault="00C036CD" w:rsidP="00D65A27">
      <w:pPr>
        <w:ind w:left="630" w:hanging="630"/>
      </w:pPr>
    </w:p>
    <w:p w14:paraId="00ABB7C7" w14:textId="77777777" w:rsidR="00C036CD" w:rsidRDefault="00C036CD" w:rsidP="00D65A27">
      <w:pPr>
        <w:ind w:left="630"/>
      </w:pPr>
      <w:r>
        <w:t>Advance gender-inclusive policies and leadership pathways in higher education by fostering cross-border collaboration, equitable access, and regional initiatives that empower women as key drivers of innovation and sustainable development within ASEAN.</w:t>
      </w:r>
    </w:p>
    <w:p w14:paraId="56B5EF4F" w14:textId="77777777" w:rsidR="00C036CD" w:rsidRDefault="00C036CD" w:rsidP="00D65A27">
      <w:pPr>
        <w:ind w:left="630" w:hanging="630"/>
      </w:pPr>
    </w:p>
    <w:p w14:paraId="1CAA9560" w14:textId="77777777" w:rsidR="00C036CD" w:rsidRDefault="00C036CD" w:rsidP="00D65A27">
      <w:pPr>
        <w:ind w:left="630" w:hanging="630"/>
      </w:pPr>
      <w:r w:rsidRPr="003320AC">
        <w:rPr>
          <w:b/>
          <w:bCs/>
        </w:rPr>
        <w:t>3.</w:t>
      </w:r>
      <w:r w:rsidRPr="003320AC">
        <w:rPr>
          <w:b/>
          <w:bCs/>
        </w:rPr>
        <w:tab/>
        <w:t>Learners Experience, Support and Success</w:t>
      </w:r>
    </w:p>
    <w:p w14:paraId="5731437D" w14:textId="77777777" w:rsidR="00C036CD" w:rsidRDefault="00C036CD" w:rsidP="00D65A27">
      <w:pPr>
        <w:ind w:left="630" w:hanging="630"/>
      </w:pPr>
    </w:p>
    <w:p w14:paraId="17F6F46B" w14:textId="77777777" w:rsidR="00C036CD" w:rsidRDefault="00C036CD" w:rsidP="00D65A27">
      <w:pPr>
        <w:ind w:left="630"/>
      </w:pPr>
      <w:r>
        <w:t>In the spirit of the principle of “access to success”, further develop values-based, purpose driven, humanity-centric, entrepreneurial, and adaptive learners equipped to address global sustainability challenges, thereby contributing to a more equitable world focused on People, Planet, and Prosperity; towards the development of a skilled workforce/competitive talent that aligns with the industry needs in the region.</w:t>
      </w:r>
    </w:p>
    <w:p w14:paraId="780B76D2" w14:textId="77777777" w:rsidR="00C036CD" w:rsidRDefault="00C036CD" w:rsidP="00D65A27">
      <w:pPr>
        <w:ind w:left="630" w:hanging="630"/>
      </w:pPr>
    </w:p>
    <w:p w14:paraId="6ADA6134" w14:textId="77777777" w:rsidR="00C036CD" w:rsidRPr="003320AC" w:rsidRDefault="00C036CD" w:rsidP="00D65A27">
      <w:pPr>
        <w:ind w:left="630" w:hanging="630"/>
        <w:rPr>
          <w:b/>
          <w:bCs/>
        </w:rPr>
      </w:pPr>
      <w:r w:rsidRPr="003320AC">
        <w:rPr>
          <w:b/>
          <w:bCs/>
        </w:rPr>
        <w:t>4.</w:t>
      </w:r>
      <w:r w:rsidRPr="003320AC">
        <w:rPr>
          <w:b/>
          <w:bCs/>
        </w:rPr>
        <w:tab/>
        <w:t>Talent Development</w:t>
      </w:r>
    </w:p>
    <w:p w14:paraId="56CFFF1A" w14:textId="77777777" w:rsidR="00C036CD" w:rsidRDefault="00C036CD" w:rsidP="00D65A27">
      <w:pPr>
        <w:ind w:left="630" w:hanging="630"/>
      </w:pPr>
    </w:p>
    <w:p w14:paraId="047A61FD" w14:textId="77777777" w:rsidR="00C036CD" w:rsidRDefault="00C036CD" w:rsidP="00D65A27">
      <w:pPr>
        <w:ind w:left="630"/>
      </w:pPr>
      <w:r>
        <w:t>Strengthen leadership and talent development in higher education institutions, through capacity building programs and cross-border mobility initiatives that enhance institutional resilience, academic excellence, and regional competitiveness, innovation, and advancement of frontier technologies.</w:t>
      </w:r>
    </w:p>
    <w:p w14:paraId="660DDCB5" w14:textId="77777777" w:rsidR="00C036CD" w:rsidRDefault="00C036CD" w:rsidP="00D65A27">
      <w:pPr>
        <w:ind w:left="630" w:hanging="630"/>
      </w:pPr>
    </w:p>
    <w:p w14:paraId="3CD8F5A1" w14:textId="77777777" w:rsidR="00C036CD" w:rsidRPr="003320AC" w:rsidRDefault="00C036CD" w:rsidP="00D65A27">
      <w:pPr>
        <w:ind w:left="630" w:hanging="630"/>
        <w:rPr>
          <w:b/>
          <w:bCs/>
        </w:rPr>
      </w:pPr>
      <w:r w:rsidRPr="003320AC">
        <w:rPr>
          <w:b/>
          <w:bCs/>
        </w:rPr>
        <w:t>5.</w:t>
      </w:r>
      <w:r w:rsidRPr="003320AC">
        <w:rPr>
          <w:b/>
          <w:bCs/>
        </w:rPr>
        <w:tab/>
        <w:t>TVET as a Viable Education Pathway</w:t>
      </w:r>
    </w:p>
    <w:p w14:paraId="6A53EE36" w14:textId="77777777" w:rsidR="00C036CD" w:rsidRDefault="00C036CD" w:rsidP="00D65A27">
      <w:pPr>
        <w:ind w:left="630" w:hanging="630"/>
      </w:pPr>
    </w:p>
    <w:p w14:paraId="30E68DD2" w14:textId="77777777" w:rsidR="00C036CD" w:rsidRDefault="00C036CD" w:rsidP="00D65A27">
      <w:pPr>
        <w:ind w:left="630"/>
      </w:pPr>
      <w:r>
        <w:t>Strengthen TVET as a viable education pathway in synergy/harmony with academic pathways to meet industry requirements, enhance employability and significantly contribute to regional growth by closing the skills gap.</w:t>
      </w:r>
    </w:p>
    <w:p w14:paraId="17DB82F7" w14:textId="77777777" w:rsidR="00C036CD" w:rsidRDefault="00C036CD" w:rsidP="00D65A27">
      <w:pPr>
        <w:ind w:left="630" w:hanging="630"/>
      </w:pPr>
    </w:p>
    <w:p w14:paraId="5B3BF0C1" w14:textId="77777777" w:rsidR="00C036CD" w:rsidRPr="003320AC" w:rsidRDefault="00C036CD" w:rsidP="00D65A27">
      <w:pPr>
        <w:ind w:left="630" w:hanging="630"/>
        <w:rPr>
          <w:b/>
          <w:bCs/>
        </w:rPr>
      </w:pPr>
      <w:r w:rsidRPr="003320AC">
        <w:rPr>
          <w:b/>
          <w:bCs/>
        </w:rPr>
        <w:t>6.</w:t>
      </w:r>
      <w:r w:rsidRPr="003320AC">
        <w:rPr>
          <w:b/>
          <w:bCs/>
        </w:rPr>
        <w:tab/>
        <w:t>Lifelong and Life-wide Learning Opportunities</w:t>
      </w:r>
    </w:p>
    <w:p w14:paraId="259010B4" w14:textId="77777777" w:rsidR="00C036CD" w:rsidRDefault="00C036CD" w:rsidP="00D65A27">
      <w:pPr>
        <w:ind w:left="630" w:hanging="630"/>
      </w:pPr>
    </w:p>
    <w:p w14:paraId="23CE44BB" w14:textId="4376A420" w:rsidR="003320AC" w:rsidRDefault="00C036CD" w:rsidP="00225628">
      <w:pPr>
        <w:ind w:left="630"/>
      </w:pPr>
      <w:r>
        <w:t xml:space="preserve">Further encourage the implementation, recognition, and validation of individuals’ prior experiential learning via flexible education pathways to include formal, informal, and non-formal learning to provide broader access and progressive pathways to the people in vulnerable situations to ensure that their experiences and skills are formally acknowledged, thus promoting lifelong and life-wide learning for career advancement </w:t>
      </w:r>
      <w:r>
        <w:lastRenderedPageBreak/>
        <w:t>and talent development.</w:t>
      </w:r>
      <w:r w:rsidR="00225628">
        <w:t xml:space="preserve"> </w:t>
      </w:r>
    </w:p>
    <w:p w14:paraId="46530467" w14:textId="77777777" w:rsidR="00C036CD" w:rsidRDefault="00C036CD" w:rsidP="00D65A27">
      <w:pPr>
        <w:ind w:left="630"/>
      </w:pPr>
    </w:p>
    <w:p w14:paraId="4BAB81C1" w14:textId="77777777" w:rsidR="00C036CD" w:rsidRPr="003320AC" w:rsidRDefault="00C036CD" w:rsidP="00D65A27">
      <w:pPr>
        <w:ind w:left="630" w:hanging="630"/>
        <w:rPr>
          <w:b/>
          <w:bCs/>
        </w:rPr>
      </w:pPr>
      <w:r w:rsidRPr="003320AC">
        <w:rPr>
          <w:b/>
          <w:bCs/>
        </w:rPr>
        <w:t>7.</w:t>
      </w:r>
      <w:r w:rsidRPr="003320AC">
        <w:rPr>
          <w:b/>
          <w:bCs/>
        </w:rPr>
        <w:tab/>
        <w:t>Quality and Excellence in Higher Education</w:t>
      </w:r>
    </w:p>
    <w:p w14:paraId="0D9D9DA3" w14:textId="77777777" w:rsidR="00C036CD" w:rsidRDefault="00C036CD" w:rsidP="00D65A27">
      <w:pPr>
        <w:ind w:left="630" w:hanging="630"/>
      </w:pPr>
    </w:p>
    <w:p w14:paraId="72B5257E" w14:textId="77777777" w:rsidR="00C036CD" w:rsidRDefault="00C036CD" w:rsidP="00D65A27">
      <w:pPr>
        <w:ind w:left="630"/>
      </w:pPr>
      <w:r>
        <w:t>Ensure the provision of quality higher education across all ASEAN Member States, by fostering purpose and value driven education, and research institutions within ASEAN to drive thought leadership in emerging fields and increasingly dynamic global challenges.</w:t>
      </w:r>
    </w:p>
    <w:p w14:paraId="2A6C4437" w14:textId="77777777" w:rsidR="00C036CD" w:rsidRDefault="00C036CD" w:rsidP="00D65A27">
      <w:pPr>
        <w:ind w:left="630" w:hanging="630"/>
      </w:pPr>
    </w:p>
    <w:p w14:paraId="1681CC1F" w14:textId="77777777" w:rsidR="00C036CD" w:rsidRDefault="00C036CD" w:rsidP="00D65A27">
      <w:pPr>
        <w:ind w:left="630"/>
      </w:pPr>
      <w:r>
        <w:t>Encourage active participation and networking among higher education providers to foster innovation, collaboration, and continuous improvement in academic standards and institutional performance.</w:t>
      </w:r>
    </w:p>
    <w:p w14:paraId="0C808872" w14:textId="77777777" w:rsidR="00C036CD" w:rsidRDefault="00C036CD" w:rsidP="00D65A27">
      <w:pPr>
        <w:ind w:left="630" w:hanging="630"/>
      </w:pPr>
    </w:p>
    <w:p w14:paraId="39FF4652" w14:textId="77777777" w:rsidR="00C036CD" w:rsidRDefault="00C036CD" w:rsidP="00D65A27">
      <w:pPr>
        <w:ind w:left="630"/>
      </w:pPr>
      <w:r>
        <w:t>Encourage participation to promote community service in higher education in supporting holistic education and sustainable development.</w:t>
      </w:r>
    </w:p>
    <w:p w14:paraId="11398784" w14:textId="77777777" w:rsidR="00C036CD" w:rsidRDefault="00C036CD" w:rsidP="00D65A27">
      <w:pPr>
        <w:ind w:left="630" w:hanging="630"/>
      </w:pPr>
    </w:p>
    <w:p w14:paraId="6710909E" w14:textId="77777777" w:rsidR="00C036CD" w:rsidRDefault="00C036CD" w:rsidP="00D65A27">
      <w:pPr>
        <w:ind w:left="630"/>
      </w:pPr>
      <w:r>
        <w:t>Strengthen ASEAN-wide quality assurance mechanisms and cross-border recognition of qualifications via ASEAN Qualifications Reference Framework Committee (AQRFC) and ASEAN Quality Assurance Network (AQAN), as appropriate, in accordance with the domestic context.</w:t>
      </w:r>
    </w:p>
    <w:p w14:paraId="0188EA0C" w14:textId="77777777" w:rsidR="00C036CD" w:rsidRPr="003320AC" w:rsidRDefault="00C036CD" w:rsidP="00D65A27">
      <w:pPr>
        <w:ind w:left="630" w:hanging="630"/>
        <w:rPr>
          <w:b/>
          <w:bCs/>
        </w:rPr>
      </w:pPr>
    </w:p>
    <w:p w14:paraId="7C87905E" w14:textId="77777777" w:rsidR="00C036CD" w:rsidRPr="00D65A27" w:rsidRDefault="00C036CD" w:rsidP="00D65A27">
      <w:pPr>
        <w:ind w:left="630" w:hanging="630"/>
        <w:rPr>
          <w:b/>
          <w:bCs/>
        </w:rPr>
      </w:pPr>
      <w:r w:rsidRPr="003320AC">
        <w:rPr>
          <w:b/>
          <w:bCs/>
        </w:rPr>
        <w:t>8.</w:t>
      </w:r>
      <w:r>
        <w:tab/>
      </w:r>
      <w:r w:rsidRPr="00D65A27">
        <w:rPr>
          <w:b/>
          <w:bCs/>
        </w:rPr>
        <w:t>Research and Knowledge Creation</w:t>
      </w:r>
    </w:p>
    <w:p w14:paraId="77BA6753" w14:textId="77777777" w:rsidR="00C036CD" w:rsidRDefault="00C036CD" w:rsidP="00D65A27">
      <w:pPr>
        <w:ind w:left="630" w:hanging="630"/>
      </w:pPr>
    </w:p>
    <w:p w14:paraId="451AC63A" w14:textId="77777777" w:rsidR="00C036CD" w:rsidRDefault="00C036CD" w:rsidP="00D65A27">
      <w:pPr>
        <w:ind w:left="630"/>
      </w:pPr>
      <w:r>
        <w:t>Advance ASEAN as a Global Knowledge hub, by enhancing regional and global collaboration through joint research initiatives, student and scholar exchange programs, and cross border innovation ecosystems with regional and international partners; promote the application of knowledge-based solutions to foster inclusive and sustainable economic growth, with the aim of empowering local, national, and regional economies.</w:t>
      </w:r>
    </w:p>
    <w:p w14:paraId="2F336847" w14:textId="77777777" w:rsidR="00C036CD" w:rsidRDefault="00C036CD" w:rsidP="00D65A27">
      <w:pPr>
        <w:ind w:left="630" w:hanging="630"/>
      </w:pPr>
    </w:p>
    <w:p w14:paraId="62343106" w14:textId="77777777" w:rsidR="00C036CD" w:rsidRDefault="00C036CD" w:rsidP="00D65A27">
      <w:pPr>
        <w:ind w:left="630"/>
      </w:pPr>
      <w:r>
        <w:t xml:space="preserve">Build </w:t>
      </w:r>
      <w:proofErr w:type="gramStart"/>
      <w:r>
        <w:t>a knowledge</w:t>
      </w:r>
      <w:proofErr w:type="gramEnd"/>
      <w:r>
        <w:t xml:space="preserve"> driven ASEAN identity by fostering regional thought leadership, supporting ASEAN scholars in global research initiatives and establishing ASEAN-led international academic forums and policy platforms under the Common Space Initiative.</w:t>
      </w:r>
    </w:p>
    <w:p w14:paraId="0749AD18" w14:textId="77777777" w:rsidR="00C036CD" w:rsidRDefault="00C036CD" w:rsidP="00D65A27">
      <w:pPr>
        <w:ind w:left="630" w:hanging="630"/>
      </w:pPr>
    </w:p>
    <w:p w14:paraId="30821323" w14:textId="77777777" w:rsidR="00C036CD" w:rsidRDefault="00C036CD" w:rsidP="00D65A27">
      <w:pPr>
        <w:ind w:left="630"/>
      </w:pPr>
      <w:r>
        <w:t xml:space="preserve">Promote awareness and encourage collaborative initiatives on protection, utilization and commercialization of Intellectual Property Rights within Higher Education Institutions across ASEAN, as part of collaborative dialogue and potential harmonisation in these areas. </w:t>
      </w:r>
    </w:p>
    <w:p w14:paraId="09250002" w14:textId="77777777" w:rsidR="00C036CD" w:rsidRDefault="00C036CD" w:rsidP="00D65A27">
      <w:pPr>
        <w:ind w:left="630" w:hanging="630"/>
      </w:pPr>
    </w:p>
    <w:p w14:paraId="6B7DFB7B" w14:textId="77777777" w:rsidR="00C036CD" w:rsidRPr="003320AC" w:rsidRDefault="00C036CD" w:rsidP="00D65A27">
      <w:pPr>
        <w:ind w:left="630" w:hanging="630"/>
        <w:rPr>
          <w:b/>
          <w:bCs/>
        </w:rPr>
      </w:pPr>
      <w:r w:rsidRPr="003320AC">
        <w:rPr>
          <w:b/>
          <w:bCs/>
        </w:rPr>
        <w:t>9.</w:t>
      </w:r>
      <w:r w:rsidRPr="003320AC">
        <w:rPr>
          <w:b/>
          <w:bCs/>
        </w:rPr>
        <w:tab/>
        <w:t>Sustainability and Planetary Health</w:t>
      </w:r>
    </w:p>
    <w:p w14:paraId="5B2584B5" w14:textId="77777777" w:rsidR="00C036CD" w:rsidRDefault="00C036CD" w:rsidP="00D65A27">
      <w:pPr>
        <w:ind w:left="630" w:hanging="630"/>
      </w:pPr>
    </w:p>
    <w:p w14:paraId="49610AAA" w14:textId="77777777" w:rsidR="00C036CD" w:rsidRDefault="00C036CD" w:rsidP="00D65A27">
      <w:pPr>
        <w:ind w:left="630"/>
      </w:pPr>
      <w:r>
        <w:t>Recognise the urgent need to advance sustainability and planetary health through higher education as a means to safeguard the well-being of present and future generations by committing to strengthening the role of Higher Learning Institutions (HLIs) as key drivers of knowledge, innovation, and action to address pressing environmental challenges and ensure the resilience of our region.</w:t>
      </w:r>
    </w:p>
    <w:p w14:paraId="2AE2FFB7" w14:textId="77777777" w:rsidR="00C036CD" w:rsidRDefault="00C036CD" w:rsidP="00D65A27">
      <w:pPr>
        <w:ind w:left="630" w:hanging="630"/>
      </w:pPr>
    </w:p>
    <w:p w14:paraId="6178CECB" w14:textId="77777777" w:rsidR="00C036CD" w:rsidRDefault="00C036CD" w:rsidP="00D65A27">
      <w:pPr>
        <w:ind w:left="630"/>
      </w:pPr>
      <w:r>
        <w:t>Embed Planetary Health and Sustainability in Higher Education by integrating planetary health principles into curricula, research, and institutional strategies to equip all stakeholders in the higher education ecosystem with the knowledge, skills, and values necessary to address challenges such as climate change, biodiversity loss, pollution, and environmental degradation.</w:t>
      </w:r>
    </w:p>
    <w:p w14:paraId="72A22E3D" w14:textId="77777777" w:rsidR="00C036CD" w:rsidRDefault="00C036CD" w:rsidP="00D65A27">
      <w:pPr>
        <w:ind w:left="630" w:hanging="630"/>
      </w:pPr>
    </w:p>
    <w:p w14:paraId="724FF367" w14:textId="77777777" w:rsidR="00225628" w:rsidRDefault="00225628">
      <w:pPr>
        <w:widowControl/>
        <w:autoSpaceDE/>
        <w:autoSpaceDN/>
        <w:jc w:val="left"/>
      </w:pPr>
      <w:r>
        <w:br w:type="page"/>
      </w:r>
    </w:p>
    <w:p w14:paraId="52D4DAF6" w14:textId="6E9F5A16" w:rsidR="00C036CD" w:rsidRDefault="00C036CD" w:rsidP="005360D2">
      <w:pPr>
        <w:ind w:left="630"/>
      </w:pPr>
      <w:r>
        <w:lastRenderedPageBreak/>
        <w:t>Align Higher Education with the United Nations’ Sustainable Development Goals (SDGs) by embedding sustainability across teaching, research, and community engagement, while remaining within planetary boundaries.</w:t>
      </w:r>
    </w:p>
    <w:p w14:paraId="7A461BA4" w14:textId="77777777" w:rsidR="00225628" w:rsidRDefault="00225628" w:rsidP="005360D2">
      <w:pPr>
        <w:ind w:left="630"/>
      </w:pPr>
    </w:p>
    <w:p w14:paraId="32C3D7E4" w14:textId="77777777" w:rsidR="00C036CD" w:rsidRPr="003320AC" w:rsidRDefault="00C036CD" w:rsidP="00D65A27">
      <w:pPr>
        <w:ind w:left="630" w:hanging="630"/>
        <w:rPr>
          <w:b/>
          <w:bCs/>
        </w:rPr>
      </w:pPr>
      <w:r w:rsidRPr="003320AC">
        <w:rPr>
          <w:b/>
          <w:bCs/>
        </w:rPr>
        <w:t>10.</w:t>
      </w:r>
      <w:r w:rsidRPr="003320AC">
        <w:rPr>
          <w:b/>
          <w:bCs/>
        </w:rPr>
        <w:tab/>
        <w:t>Digital Transformation and Ecosystem</w:t>
      </w:r>
    </w:p>
    <w:p w14:paraId="1E3E12EF" w14:textId="77777777" w:rsidR="00C036CD" w:rsidRDefault="00C036CD" w:rsidP="00D65A27">
      <w:pPr>
        <w:ind w:left="630" w:hanging="630"/>
      </w:pPr>
    </w:p>
    <w:p w14:paraId="4E690AC7" w14:textId="77777777" w:rsidR="00C036CD" w:rsidRDefault="00C036CD" w:rsidP="005360D2">
      <w:pPr>
        <w:ind w:left="630"/>
      </w:pPr>
      <w:r>
        <w:t>Solidify digital transformation through advancement of digital infrastructure, emphasizing ethical practices and bridging digital divide in higher education ecosystem to enable ASEAN Member States to enhance connectivity, foster innovation, boost economic resilience, and ensure sustainable progress.</w:t>
      </w:r>
    </w:p>
    <w:p w14:paraId="2ECF57B9" w14:textId="77777777" w:rsidR="00C036CD" w:rsidRDefault="00C036CD" w:rsidP="00D65A27">
      <w:pPr>
        <w:ind w:left="630" w:hanging="630"/>
      </w:pPr>
    </w:p>
    <w:p w14:paraId="63652F78" w14:textId="77777777" w:rsidR="00C036CD" w:rsidRPr="003320AC" w:rsidRDefault="00C036CD" w:rsidP="00D65A27">
      <w:pPr>
        <w:ind w:left="630" w:hanging="630"/>
        <w:rPr>
          <w:b/>
          <w:bCs/>
        </w:rPr>
      </w:pPr>
      <w:r w:rsidRPr="003320AC">
        <w:rPr>
          <w:b/>
          <w:bCs/>
        </w:rPr>
        <w:t>11.</w:t>
      </w:r>
      <w:r w:rsidRPr="003320AC">
        <w:rPr>
          <w:b/>
          <w:bCs/>
        </w:rPr>
        <w:tab/>
        <w:t>Global Prominence</w:t>
      </w:r>
    </w:p>
    <w:p w14:paraId="3BDAF193" w14:textId="77777777" w:rsidR="00C036CD" w:rsidRDefault="00C036CD" w:rsidP="00D65A27">
      <w:pPr>
        <w:ind w:left="630" w:hanging="630"/>
      </w:pPr>
    </w:p>
    <w:p w14:paraId="59726C38" w14:textId="77777777" w:rsidR="00C036CD" w:rsidRDefault="00C036CD" w:rsidP="005360D2">
      <w:pPr>
        <w:ind w:left="630"/>
      </w:pPr>
      <w:r>
        <w:t>Promote ASEAN higher education diplomacy and internationalisation within ASEAN and beyond through academic collaboration and cultural exchanges and strengthen people-to-people connectivity by intensifying mobility programs, ASEAN studies, and supporting language learning initiatives to foster intercultural understanding and elevate global prominence.</w:t>
      </w:r>
    </w:p>
    <w:p w14:paraId="15AE75B1" w14:textId="77777777" w:rsidR="00C036CD" w:rsidRDefault="00C036CD" w:rsidP="00C036CD"/>
    <w:p w14:paraId="60E5B681" w14:textId="77777777" w:rsidR="00C036CD" w:rsidRDefault="00C036CD" w:rsidP="00C036CD">
      <w:r w:rsidRPr="005360D2">
        <w:rPr>
          <w:b/>
          <w:bCs/>
        </w:rPr>
        <w:t>WE</w:t>
      </w:r>
      <w:r>
        <w:t xml:space="preserve"> are committed </w:t>
      </w:r>
      <w:proofErr w:type="gramStart"/>
      <w:r>
        <w:t>on</w:t>
      </w:r>
      <w:proofErr w:type="gramEnd"/>
      <w:r>
        <w:t xml:space="preserve"> the above aspirations and this document serves as the guiding principles in promoting a people-oriented and people-centred ASEAN together with the elements contained in the Strategic Plan of ASEAN Community Vision 2045 and ASEAN Socio-Cultural Community (ASCC).</w:t>
      </w:r>
    </w:p>
    <w:p w14:paraId="67975D56" w14:textId="77777777" w:rsidR="00C036CD" w:rsidRDefault="00C036CD" w:rsidP="00C036CD">
      <w:r>
        <w:t xml:space="preserve"> </w:t>
      </w:r>
    </w:p>
    <w:p w14:paraId="34E48A5A" w14:textId="77777777" w:rsidR="00C036CD" w:rsidRDefault="00C036CD" w:rsidP="00C036CD">
      <w:r w:rsidRPr="005360D2">
        <w:rPr>
          <w:b/>
          <w:bCs/>
        </w:rPr>
        <w:t>WE</w:t>
      </w:r>
      <w:r>
        <w:t xml:space="preserve"> task the ASEAN Ministerial Meeting on Education (ASED) to implement this Declaration and report to us regularly through the ASEAN Socio-Cultural Community Council on the progress of the implementation.</w:t>
      </w:r>
    </w:p>
    <w:p w14:paraId="3E9C7DEE" w14:textId="77777777" w:rsidR="00C036CD" w:rsidRDefault="00C036CD" w:rsidP="00C036CD"/>
    <w:p w14:paraId="1497E822" w14:textId="3E4E8042" w:rsidR="00C036CD" w:rsidRDefault="00C036CD" w:rsidP="00C036CD">
      <w:r w:rsidRPr="003C1EE7">
        <w:rPr>
          <w:b/>
          <w:bCs/>
        </w:rPr>
        <w:t>Adopted</w:t>
      </w:r>
      <w:r>
        <w:t xml:space="preserve"> in Kuala Lumpur, Malaysia, this Twenty Sixth Day of October in the Year </w:t>
      </w:r>
      <w:r w:rsidR="003C1EE7">
        <w:br/>
      </w:r>
      <w:r>
        <w:t>Two Thousand and Twenty-Five in a single original copy in the English Language.</w:t>
      </w:r>
    </w:p>
    <w:p w14:paraId="64D68FA2" w14:textId="77777777" w:rsidR="00DF288A" w:rsidRPr="00E423E4" w:rsidRDefault="00DF288A" w:rsidP="00CD6026"/>
    <w:sectPr w:rsidR="00DF288A" w:rsidRPr="00E423E4" w:rsidSect="00F61B4F">
      <w:headerReference w:type="default" r:id="rId8"/>
      <w:footerReference w:type="default" r:id="rId9"/>
      <w:footerReference w:type="first" r:id="rId10"/>
      <w:footnotePr>
        <w:numRestart w:val="eachPage"/>
      </w:footnotePr>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E0421" w14:textId="77777777" w:rsidR="001645E7" w:rsidRDefault="001645E7" w:rsidP="00F61B4F">
      <w:r>
        <w:separator/>
      </w:r>
    </w:p>
  </w:endnote>
  <w:endnote w:type="continuationSeparator" w:id="0">
    <w:p w14:paraId="77F88C7F" w14:textId="77777777" w:rsidR="001645E7" w:rsidRDefault="001645E7" w:rsidP="00F6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6B3CD" w14:textId="6846241A" w:rsidR="00B532E2" w:rsidRDefault="00B532E2" w:rsidP="00F61B4F">
    <w:pPr>
      <w:pStyle w:val="Footer"/>
      <w:tabs>
        <w:tab w:val="clear" w:pos="9360"/>
        <w:tab w:val="right" w:pos="8931"/>
      </w:tabs>
      <w:jc w:val="right"/>
    </w:pPr>
  </w:p>
  <w:p w14:paraId="046C835D" w14:textId="77777777" w:rsidR="00B532E2" w:rsidRPr="00F61B4F" w:rsidRDefault="00B532E2" w:rsidP="00F61B4F">
    <w:pPr>
      <w:pStyle w:val="Footer"/>
      <w:pBdr>
        <w:top w:val="single" w:sz="4" w:space="7" w:color="auto"/>
      </w:pBdr>
      <w:tabs>
        <w:tab w:val="clear" w:pos="9360"/>
        <w:tab w:val="right" w:pos="8931"/>
      </w:tabs>
      <w:jc w:val="left"/>
      <w:rPr>
        <w:color w:val="7F7F7F"/>
        <w:sz w:val="16"/>
        <w:szCs w:val="16"/>
      </w:rPr>
    </w:pPr>
    <w:r w:rsidRPr="004943C3">
      <w:rPr>
        <w:color w:val="7F7F7F"/>
        <w:sz w:val="16"/>
        <w:szCs w:val="16"/>
      </w:rPr>
      <w:t xml:space="preserve">UNOFFICIAL TEXT · CENTRE FOR INTERNATIONAL LAW · </w:t>
    </w:r>
    <w:hyperlink r:id="rId1" w:history="1">
      <w:r w:rsidRPr="004943C3">
        <w:rPr>
          <w:rStyle w:val="Hyperlink"/>
          <w:color w:val="7F7F7F"/>
          <w:sz w:val="16"/>
          <w:szCs w:val="16"/>
        </w:rPr>
        <w:t>www.cil.nus.edu.sg</w:t>
      </w:r>
    </w:hyperlink>
    <w:r>
      <w:rPr>
        <w:color w:val="7F7F7F"/>
        <w:sz w:val="16"/>
        <w:szCs w:val="16"/>
      </w:rPr>
      <w:t xml:space="preserve">                    </w:t>
    </w:r>
    <w:r w:rsidRPr="004943C3">
      <w:rPr>
        <w:color w:val="7F7F7F"/>
        <w:sz w:val="16"/>
        <w:szCs w:val="16"/>
      </w:rPr>
      <w:t xml:space="preserve">       </w:t>
    </w:r>
    <w:r>
      <w:rPr>
        <w:color w:val="7F7F7F"/>
        <w:sz w:val="16"/>
        <w:szCs w:val="16"/>
      </w:rPr>
      <w:tab/>
    </w:r>
    <w:r w:rsidRPr="004943C3">
      <w:rPr>
        <w:color w:val="7F7F7F"/>
        <w:sz w:val="16"/>
        <w:szCs w:val="16"/>
      </w:rPr>
      <w:t xml:space="preserve">     Page </w:t>
    </w:r>
    <w:r w:rsidRPr="004943C3">
      <w:rPr>
        <w:color w:val="7F7F7F"/>
        <w:sz w:val="16"/>
        <w:szCs w:val="16"/>
      </w:rPr>
      <w:fldChar w:fldCharType="begin"/>
    </w:r>
    <w:r w:rsidRPr="004943C3">
      <w:rPr>
        <w:color w:val="7F7F7F"/>
        <w:sz w:val="16"/>
        <w:szCs w:val="16"/>
      </w:rPr>
      <w:instrText xml:space="preserve"> PAGE </w:instrText>
    </w:r>
    <w:r w:rsidRPr="004943C3">
      <w:rPr>
        <w:color w:val="7F7F7F"/>
        <w:sz w:val="16"/>
        <w:szCs w:val="16"/>
      </w:rPr>
      <w:fldChar w:fldCharType="separate"/>
    </w:r>
    <w:r w:rsidR="00DF288A">
      <w:rPr>
        <w:noProof/>
        <w:color w:val="7F7F7F"/>
        <w:sz w:val="16"/>
        <w:szCs w:val="16"/>
      </w:rPr>
      <w:t>2</w:t>
    </w:r>
    <w:r w:rsidRPr="004943C3">
      <w:rPr>
        <w:color w:val="7F7F7F"/>
        <w:sz w:val="16"/>
        <w:szCs w:val="16"/>
      </w:rPr>
      <w:fldChar w:fldCharType="end"/>
    </w:r>
    <w:r w:rsidRPr="004943C3">
      <w:rPr>
        <w:color w:val="7F7F7F"/>
        <w:sz w:val="16"/>
        <w:szCs w:val="16"/>
      </w:rPr>
      <w:t xml:space="preserve"> of </w:t>
    </w:r>
    <w:r w:rsidRPr="004943C3">
      <w:rPr>
        <w:color w:val="7F7F7F"/>
        <w:sz w:val="16"/>
        <w:szCs w:val="16"/>
      </w:rPr>
      <w:fldChar w:fldCharType="begin"/>
    </w:r>
    <w:r w:rsidRPr="004943C3">
      <w:rPr>
        <w:color w:val="7F7F7F"/>
        <w:sz w:val="16"/>
        <w:szCs w:val="16"/>
      </w:rPr>
      <w:instrText xml:space="preserve"> NUMPAGES  </w:instrText>
    </w:r>
    <w:r w:rsidRPr="004943C3">
      <w:rPr>
        <w:color w:val="7F7F7F"/>
        <w:sz w:val="16"/>
        <w:szCs w:val="16"/>
      </w:rPr>
      <w:fldChar w:fldCharType="separate"/>
    </w:r>
    <w:r w:rsidR="00DF288A">
      <w:rPr>
        <w:noProof/>
        <w:color w:val="7F7F7F"/>
        <w:sz w:val="16"/>
        <w:szCs w:val="16"/>
      </w:rPr>
      <w:t>2</w:t>
    </w:r>
    <w:r w:rsidRPr="004943C3">
      <w:rPr>
        <w:color w:val="7F7F7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9E45C" w14:textId="77777777" w:rsidR="00C036CD" w:rsidRDefault="00C036CD" w:rsidP="00C036CD">
    <w:pPr>
      <w:pStyle w:val="Footer"/>
      <w:tabs>
        <w:tab w:val="clear" w:pos="9360"/>
        <w:tab w:val="right" w:pos="8931"/>
      </w:tabs>
      <w:jc w:val="right"/>
    </w:pPr>
  </w:p>
  <w:p w14:paraId="5DD2107A" w14:textId="0E1A6AD4" w:rsidR="00B532E2" w:rsidRPr="00F61B4F" w:rsidRDefault="00C036CD" w:rsidP="00C036CD">
    <w:pPr>
      <w:pStyle w:val="Footer"/>
      <w:pBdr>
        <w:top w:val="single" w:sz="4" w:space="7" w:color="auto"/>
      </w:pBdr>
      <w:tabs>
        <w:tab w:val="clear" w:pos="9360"/>
        <w:tab w:val="right" w:pos="8931"/>
      </w:tabs>
      <w:jc w:val="left"/>
      <w:rPr>
        <w:color w:val="7F7F7F"/>
        <w:sz w:val="16"/>
        <w:szCs w:val="16"/>
      </w:rPr>
    </w:pPr>
    <w:r w:rsidRPr="004943C3">
      <w:rPr>
        <w:color w:val="7F7F7F"/>
        <w:sz w:val="16"/>
        <w:szCs w:val="16"/>
      </w:rPr>
      <w:t xml:space="preserve">UNOFFICIAL TEXT · CENTRE FOR INTERNATIONAL LAW · </w:t>
    </w:r>
    <w:hyperlink r:id="rId1" w:history="1">
      <w:r w:rsidRPr="004943C3">
        <w:rPr>
          <w:rStyle w:val="Hyperlink"/>
          <w:color w:val="7F7F7F"/>
          <w:sz w:val="16"/>
          <w:szCs w:val="16"/>
        </w:rPr>
        <w:t>www.cil.nus.edu.sg</w:t>
      </w:r>
    </w:hyperlink>
    <w:r>
      <w:rPr>
        <w:color w:val="7F7F7F"/>
        <w:sz w:val="16"/>
        <w:szCs w:val="16"/>
      </w:rPr>
      <w:t xml:space="preserve">                    </w:t>
    </w:r>
    <w:r w:rsidRPr="004943C3">
      <w:rPr>
        <w:color w:val="7F7F7F"/>
        <w:sz w:val="16"/>
        <w:szCs w:val="16"/>
      </w:rPr>
      <w:t xml:space="preserve">       </w:t>
    </w:r>
    <w:r w:rsidR="00B532E2">
      <w:rPr>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8F1EE" w14:textId="77777777" w:rsidR="001645E7" w:rsidRDefault="001645E7" w:rsidP="00F61B4F">
      <w:r>
        <w:separator/>
      </w:r>
    </w:p>
  </w:footnote>
  <w:footnote w:type="continuationSeparator" w:id="0">
    <w:p w14:paraId="5D6557F6" w14:textId="77777777" w:rsidR="001645E7" w:rsidRDefault="001645E7" w:rsidP="00F61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E0DA" w14:textId="76301BF9" w:rsidR="00B532E2" w:rsidRPr="00CD6026" w:rsidRDefault="0061261D" w:rsidP="0061261D">
    <w:pPr>
      <w:pStyle w:val="Header"/>
      <w:pBdr>
        <w:bottom w:val="single" w:sz="4" w:space="1" w:color="auto"/>
      </w:pBdr>
      <w:rPr>
        <w:caps/>
        <w:color w:val="808080"/>
        <w:sz w:val="16"/>
        <w:szCs w:val="16"/>
      </w:rPr>
    </w:pPr>
    <w:r>
      <w:rPr>
        <w:caps/>
        <w:color w:val="808080"/>
        <w:sz w:val="16"/>
        <w:szCs w:val="16"/>
      </w:rPr>
      <w:t xml:space="preserve">2025 </w:t>
    </w:r>
    <w:r w:rsidRPr="0061261D">
      <w:rPr>
        <w:caps/>
        <w:color w:val="808080"/>
        <w:sz w:val="16"/>
        <w:szCs w:val="16"/>
      </w:rPr>
      <w:t>ASEAN LEADERS’ DECLARATION ON HIGHER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80F85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EE31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C06D2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A8DB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72C5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0625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1AB9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DABA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C686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7291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06B03D2"/>
    <w:multiLevelType w:val="hybridMultilevel"/>
    <w:tmpl w:val="F0A8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151307"/>
    <w:multiLevelType w:val="hybridMultilevel"/>
    <w:tmpl w:val="46BAC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6575316">
    <w:abstractNumId w:val="11"/>
  </w:num>
  <w:num w:numId="2" w16cid:durableId="360320398">
    <w:abstractNumId w:val="10"/>
  </w:num>
  <w:num w:numId="3" w16cid:durableId="1365135478">
    <w:abstractNumId w:val="9"/>
  </w:num>
  <w:num w:numId="4" w16cid:durableId="422728191">
    <w:abstractNumId w:val="7"/>
  </w:num>
  <w:num w:numId="5" w16cid:durableId="1791898566">
    <w:abstractNumId w:val="6"/>
  </w:num>
  <w:num w:numId="6" w16cid:durableId="575356698">
    <w:abstractNumId w:val="5"/>
  </w:num>
  <w:num w:numId="7" w16cid:durableId="1771004132">
    <w:abstractNumId w:val="4"/>
  </w:num>
  <w:num w:numId="8" w16cid:durableId="2024550645">
    <w:abstractNumId w:val="8"/>
  </w:num>
  <w:num w:numId="9" w16cid:durableId="1253127530">
    <w:abstractNumId w:val="3"/>
  </w:num>
  <w:num w:numId="10" w16cid:durableId="343827254">
    <w:abstractNumId w:val="2"/>
  </w:num>
  <w:num w:numId="11" w16cid:durableId="538207194">
    <w:abstractNumId w:val="1"/>
  </w:num>
  <w:num w:numId="12" w16cid:durableId="951783813">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6CD"/>
    <w:rsid w:val="00000FB0"/>
    <w:rsid w:val="00002446"/>
    <w:rsid w:val="000043E5"/>
    <w:rsid w:val="00011723"/>
    <w:rsid w:val="00013D73"/>
    <w:rsid w:val="000173F4"/>
    <w:rsid w:val="00022AE1"/>
    <w:rsid w:val="00023AFA"/>
    <w:rsid w:val="00025831"/>
    <w:rsid w:val="000260A8"/>
    <w:rsid w:val="00032218"/>
    <w:rsid w:val="00032623"/>
    <w:rsid w:val="00032C84"/>
    <w:rsid w:val="0003432F"/>
    <w:rsid w:val="00036034"/>
    <w:rsid w:val="00040670"/>
    <w:rsid w:val="00045076"/>
    <w:rsid w:val="00045F9A"/>
    <w:rsid w:val="000460FD"/>
    <w:rsid w:val="00046C7E"/>
    <w:rsid w:val="0005003E"/>
    <w:rsid w:val="00055254"/>
    <w:rsid w:val="00055923"/>
    <w:rsid w:val="00061193"/>
    <w:rsid w:val="00061B8B"/>
    <w:rsid w:val="000627D9"/>
    <w:rsid w:val="00063C84"/>
    <w:rsid w:val="0007234F"/>
    <w:rsid w:val="000768A2"/>
    <w:rsid w:val="000771E0"/>
    <w:rsid w:val="00080879"/>
    <w:rsid w:val="00080FD6"/>
    <w:rsid w:val="00081E70"/>
    <w:rsid w:val="00082260"/>
    <w:rsid w:val="00083FFE"/>
    <w:rsid w:val="000922A6"/>
    <w:rsid w:val="0009558E"/>
    <w:rsid w:val="00097F77"/>
    <w:rsid w:val="000A329C"/>
    <w:rsid w:val="000B02EF"/>
    <w:rsid w:val="000B197F"/>
    <w:rsid w:val="000B335D"/>
    <w:rsid w:val="000C2967"/>
    <w:rsid w:val="000C2977"/>
    <w:rsid w:val="000C2CE8"/>
    <w:rsid w:val="000C49F6"/>
    <w:rsid w:val="000C5A1A"/>
    <w:rsid w:val="000D004B"/>
    <w:rsid w:val="000D31BC"/>
    <w:rsid w:val="000D57EE"/>
    <w:rsid w:val="000D6DF5"/>
    <w:rsid w:val="000D7512"/>
    <w:rsid w:val="000E1719"/>
    <w:rsid w:val="000E1DDB"/>
    <w:rsid w:val="000E2394"/>
    <w:rsid w:val="000E3AD0"/>
    <w:rsid w:val="000F2D66"/>
    <w:rsid w:val="001013AD"/>
    <w:rsid w:val="0010259B"/>
    <w:rsid w:val="00102B66"/>
    <w:rsid w:val="001063A1"/>
    <w:rsid w:val="001077E4"/>
    <w:rsid w:val="00111688"/>
    <w:rsid w:val="0011199A"/>
    <w:rsid w:val="00111A4C"/>
    <w:rsid w:val="0011273D"/>
    <w:rsid w:val="00112A51"/>
    <w:rsid w:val="001142FA"/>
    <w:rsid w:val="001161C0"/>
    <w:rsid w:val="001207E1"/>
    <w:rsid w:val="0012281C"/>
    <w:rsid w:val="00122EC8"/>
    <w:rsid w:val="001246A1"/>
    <w:rsid w:val="001302AA"/>
    <w:rsid w:val="00130E46"/>
    <w:rsid w:val="00133AB9"/>
    <w:rsid w:val="00143BCA"/>
    <w:rsid w:val="00144EA6"/>
    <w:rsid w:val="001450F7"/>
    <w:rsid w:val="00145215"/>
    <w:rsid w:val="001462AA"/>
    <w:rsid w:val="00153722"/>
    <w:rsid w:val="00155142"/>
    <w:rsid w:val="0015683A"/>
    <w:rsid w:val="001645E7"/>
    <w:rsid w:val="001648EA"/>
    <w:rsid w:val="001669E3"/>
    <w:rsid w:val="001728AB"/>
    <w:rsid w:val="00172E71"/>
    <w:rsid w:val="00176298"/>
    <w:rsid w:val="0018065C"/>
    <w:rsid w:val="00183009"/>
    <w:rsid w:val="001837BF"/>
    <w:rsid w:val="00183EC5"/>
    <w:rsid w:val="00191FB7"/>
    <w:rsid w:val="00194639"/>
    <w:rsid w:val="0019674F"/>
    <w:rsid w:val="001A0777"/>
    <w:rsid w:val="001A31BD"/>
    <w:rsid w:val="001B572F"/>
    <w:rsid w:val="001C50F5"/>
    <w:rsid w:val="001C7B98"/>
    <w:rsid w:val="001D116B"/>
    <w:rsid w:val="001D2E66"/>
    <w:rsid w:val="001D7F95"/>
    <w:rsid w:val="001E502C"/>
    <w:rsid w:val="001E52A5"/>
    <w:rsid w:val="001F190C"/>
    <w:rsid w:val="001F1AE0"/>
    <w:rsid w:val="001F27F8"/>
    <w:rsid w:val="001F2B50"/>
    <w:rsid w:val="0020032B"/>
    <w:rsid w:val="00200AA3"/>
    <w:rsid w:val="0020147F"/>
    <w:rsid w:val="00202C8A"/>
    <w:rsid w:val="002226CD"/>
    <w:rsid w:val="002238CF"/>
    <w:rsid w:val="00224582"/>
    <w:rsid w:val="00224E12"/>
    <w:rsid w:val="002251FC"/>
    <w:rsid w:val="00225628"/>
    <w:rsid w:val="002423B7"/>
    <w:rsid w:val="00244645"/>
    <w:rsid w:val="00245638"/>
    <w:rsid w:val="0025204F"/>
    <w:rsid w:val="002520E2"/>
    <w:rsid w:val="00256484"/>
    <w:rsid w:val="002566AC"/>
    <w:rsid w:val="00257575"/>
    <w:rsid w:val="00260086"/>
    <w:rsid w:val="00260DE8"/>
    <w:rsid w:val="00262BEE"/>
    <w:rsid w:val="002653B1"/>
    <w:rsid w:val="00274C7A"/>
    <w:rsid w:val="002750EF"/>
    <w:rsid w:val="00275D0D"/>
    <w:rsid w:val="00284792"/>
    <w:rsid w:val="002927F7"/>
    <w:rsid w:val="00294CBA"/>
    <w:rsid w:val="002952DD"/>
    <w:rsid w:val="00297B32"/>
    <w:rsid w:val="002A32A5"/>
    <w:rsid w:val="002A4172"/>
    <w:rsid w:val="002B2294"/>
    <w:rsid w:val="002B31DE"/>
    <w:rsid w:val="002B473E"/>
    <w:rsid w:val="002B5E84"/>
    <w:rsid w:val="002B7265"/>
    <w:rsid w:val="002C506E"/>
    <w:rsid w:val="002C5925"/>
    <w:rsid w:val="002C67E0"/>
    <w:rsid w:val="002D3A06"/>
    <w:rsid w:val="002E0A92"/>
    <w:rsid w:val="002E6283"/>
    <w:rsid w:val="002F1577"/>
    <w:rsid w:val="002F1FF7"/>
    <w:rsid w:val="002F7DA0"/>
    <w:rsid w:val="0030037C"/>
    <w:rsid w:val="00303079"/>
    <w:rsid w:val="003035FA"/>
    <w:rsid w:val="003071F6"/>
    <w:rsid w:val="00311F81"/>
    <w:rsid w:val="00311F88"/>
    <w:rsid w:val="00312FB5"/>
    <w:rsid w:val="003150B5"/>
    <w:rsid w:val="00315409"/>
    <w:rsid w:val="00321387"/>
    <w:rsid w:val="0032159B"/>
    <w:rsid w:val="00321890"/>
    <w:rsid w:val="00325A2D"/>
    <w:rsid w:val="00326D39"/>
    <w:rsid w:val="003316EF"/>
    <w:rsid w:val="003320AC"/>
    <w:rsid w:val="0033544F"/>
    <w:rsid w:val="00336CA3"/>
    <w:rsid w:val="003374CC"/>
    <w:rsid w:val="00340339"/>
    <w:rsid w:val="0034084B"/>
    <w:rsid w:val="00343E97"/>
    <w:rsid w:val="003463F9"/>
    <w:rsid w:val="00351FC7"/>
    <w:rsid w:val="00355356"/>
    <w:rsid w:val="003557B3"/>
    <w:rsid w:val="0036010D"/>
    <w:rsid w:val="00361211"/>
    <w:rsid w:val="00363CA6"/>
    <w:rsid w:val="00363E88"/>
    <w:rsid w:val="0036654E"/>
    <w:rsid w:val="003762D5"/>
    <w:rsid w:val="00382037"/>
    <w:rsid w:val="00384CCD"/>
    <w:rsid w:val="00386AC0"/>
    <w:rsid w:val="003870B6"/>
    <w:rsid w:val="0039419F"/>
    <w:rsid w:val="003A2096"/>
    <w:rsid w:val="003A2B2D"/>
    <w:rsid w:val="003A2E2D"/>
    <w:rsid w:val="003A36C1"/>
    <w:rsid w:val="003A4607"/>
    <w:rsid w:val="003A46AB"/>
    <w:rsid w:val="003A6709"/>
    <w:rsid w:val="003B1B3D"/>
    <w:rsid w:val="003B5567"/>
    <w:rsid w:val="003C1EE7"/>
    <w:rsid w:val="003C3ABB"/>
    <w:rsid w:val="003C4214"/>
    <w:rsid w:val="003C47FA"/>
    <w:rsid w:val="003C48C1"/>
    <w:rsid w:val="003C696E"/>
    <w:rsid w:val="003C70F3"/>
    <w:rsid w:val="003D49AB"/>
    <w:rsid w:val="003D66C8"/>
    <w:rsid w:val="003D682E"/>
    <w:rsid w:val="003D6E5B"/>
    <w:rsid w:val="003E0C85"/>
    <w:rsid w:val="003E69D4"/>
    <w:rsid w:val="003F148C"/>
    <w:rsid w:val="003F1817"/>
    <w:rsid w:val="0040043F"/>
    <w:rsid w:val="00401F7F"/>
    <w:rsid w:val="00405210"/>
    <w:rsid w:val="00415F9F"/>
    <w:rsid w:val="0042164B"/>
    <w:rsid w:val="0042562D"/>
    <w:rsid w:val="00430AD3"/>
    <w:rsid w:val="00432B9B"/>
    <w:rsid w:val="004410EB"/>
    <w:rsid w:val="0044415C"/>
    <w:rsid w:val="00452091"/>
    <w:rsid w:val="0045262E"/>
    <w:rsid w:val="00453E7C"/>
    <w:rsid w:val="004540DD"/>
    <w:rsid w:val="00454C15"/>
    <w:rsid w:val="00457A36"/>
    <w:rsid w:val="00460285"/>
    <w:rsid w:val="00461169"/>
    <w:rsid w:val="0046281B"/>
    <w:rsid w:val="0046332F"/>
    <w:rsid w:val="00464378"/>
    <w:rsid w:val="00464582"/>
    <w:rsid w:val="004715DF"/>
    <w:rsid w:val="0049074B"/>
    <w:rsid w:val="00495B5C"/>
    <w:rsid w:val="00496452"/>
    <w:rsid w:val="00497AE1"/>
    <w:rsid w:val="004A0B2F"/>
    <w:rsid w:val="004A0D08"/>
    <w:rsid w:val="004A1834"/>
    <w:rsid w:val="004A31A0"/>
    <w:rsid w:val="004A5865"/>
    <w:rsid w:val="004A58EA"/>
    <w:rsid w:val="004B263A"/>
    <w:rsid w:val="004B3D8B"/>
    <w:rsid w:val="004B5A7D"/>
    <w:rsid w:val="004B6693"/>
    <w:rsid w:val="004B7073"/>
    <w:rsid w:val="004B71DD"/>
    <w:rsid w:val="004C2B2B"/>
    <w:rsid w:val="004C33C2"/>
    <w:rsid w:val="004C5E25"/>
    <w:rsid w:val="004D6797"/>
    <w:rsid w:val="004E0ED9"/>
    <w:rsid w:val="004E1378"/>
    <w:rsid w:val="004E1B8D"/>
    <w:rsid w:val="004E2177"/>
    <w:rsid w:val="004F129B"/>
    <w:rsid w:val="004F21D5"/>
    <w:rsid w:val="00504C42"/>
    <w:rsid w:val="00507CA6"/>
    <w:rsid w:val="0051026B"/>
    <w:rsid w:val="00510555"/>
    <w:rsid w:val="0051224B"/>
    <w:rsid w:val="005146E7"/>
    <w:rsid w:val="00516331"/>
    <w:rsid w:val="005177D3"/>
    <w:rsid w:val="00522388"/>
    <w:rsid w:val="00525B71"/>
    <w:rsid w:val="005325F9"/>
    <w:rsid w:val="00534217"/>
    <w:rsid w:val="00535BF3"/>
    <w:rsid w:val="005360D2"/>
    <w:rsid w:val="00537A67"/>
    <w:rsid w:val="00537D81"/>
    <w:rsid w:val="00541125"/>
    <w:rsid w:val="00545288"/>
    <w:rsid w:val="005627AF"/>
    <w:rsid w:val="00564EBA"/>
    <w:rsid w:val="00565B5D"/>
    <w:rsid w:val="005701D2"/>
    <w:rsid w:val="005706A6"/>
    <w:rsid w:val="0057613A"/>
    <w:rsid w:val="005768A3"/>
    <w:rsid w:val="00581E07"/>
    <w:rsid w:val="005827A5"/>
    <w:rsid w:val="00584C90"/>
    <w:rsid w:val="005865AA"/>
    <w:rsid w:val="0058716E"/>
    <w:rsid w:val="00590C4E"/>
    <w:rsid w:val="0059630D"/>
    <w:rsid w:val="00597551"/>
    <w:rsid w:val="005A0C6D"/>
    <w:rsid w:val="005A384B"/>
    <w:rsid w:val="005A418E"/>
    <w:rsid w:val="005A67CE"/>
    <w:rsid w:val="005A6C1B"/>
    <w:rsid w:val="005B2D91"/>
    <w:rsid w:val="005C087C"/>
    <w:rsid w:val="005C18C4"/>
    <w:rsid w:val="005C46EA"/>
    <w:rsid w:val="005C6ADE"/>
    <w:rsid w:val="005D3068"/>
    <w:rsid w:val="005D5714"/>
    <w:rsid w:val="005D59E8"/>
    <w:rsid w:val="005E0D13"/>
    <w:rsid w:val="005E264A"/>
    <w:rsid w:val="005E2E8D"/>
    <w:rsid w:val="005E6807"/>
    <w:rsid w:val="005F25E1"/>
    <w:rsid w:val="005F5FD1"/>
    <w:rsid w:val="005F6D34"/>
    <w:rsid w:val="00604FC9"/>
    <w:rsid w:val="006056CA"/>
    <w:rsid w:val="006077DA"/>
    <w:rsid w:val="0061261D"/>
    <w:rsid w:val="00615E91"/>
    <w:rsid w:val="00617785"/>
    <w:rsid w:val="00620043"/>
    <w:rsid w:val="00624B74"/>
    <w:rsid w:val="0062758C"/>
    <w:rsid w:val="00627B91"/>
    <w:rsid w:val="0064082A"/>
    <w:rsid w:val="00642035"/>
    <w:rsid w:val="0064206B"/>
    <w:rsid w:val="006422D1"/>
    <w:rsid w:val="00646905"/>
    <w:rsid w:val="006477C3"/>
    <w:rsid w:val="006633EA"/>
    <w:rsid w:val="00666445"/>
    <w:rsid w:val="006819D0"/>
    <w:rsid w:val="006829B2"/>
    <w:rsid w:val="00686294"/>
    <w:rsid w:val="006878B4"/>
    <w:rsid w:val="00695153"/>
    <w:rsid w:val="006953EA"/>
    <w:rsid w:val="006A181F"/>
    <w:rsid w:val="006A368A"/>
    <w:rsid w:val="006A5BC7"/>
    <w:rsid w:val="006B0864"/>
    <w:rsid w:val="006B6335"/>
    <w:rsid w:val="006C2FAC"/>
    <w:rsid w:val="006C6203"/>
    <w:rsid w:val="006C6B56"/>
    <w:rsid w:val="006C6EFB"/>
    <w:rsid w:val="006D1637"/>
    <w:rsid w:val="006D2062"/>
    <w:rsid w:val="006D35BA"/>
    <w:rsid w:val="006D61E5"/>
    <w:rsid w:val="006D6826"/>
    <w:rsid w:val="006D6EAA"/>
    <w:rsid w:val="006D6FA4"/>
    <w:rsid w:val="006E03F3"/>
    <w:rsid w:val="006E4F21"/>
    <w:rsid w:val="006E6F86"/>
    <w:rsid w:val="006F231A"/>
    <w:rsid w:val="007009C6"/>
    <w:rsid w:val="00707B16"/>
    <w:rsid w:val="00711FF8"/>
    <w:rsid w:val="00716770"/>
    <w:rsid w:val="00721C1C"/>
    <w:rsid w:val="007231B2"/>
    <w:rsid w:val="0072576B"/>
    <w:rsid w:val="007320B0"/>
    <w:rsid w:val="0073568E"/>
    <w:rsid w:val="00736F98"/>
    <w:rsid w:val="00744927"/>
    <w:rsid w:val="00744A85"/>
    <w:rsid w:val="00751173"/>
    <w:rsid w:val="00751EA6"/>
    <w:rsid w:val="00755A12"/>
    <w:rsid w:val="0075632F"/>
    <w:rsid w:val="0075795E"/>
    <w:rsid w:val="00760BCF"/>
    <w:rsid w:val="00761521"/>
    <w:rsid w:val="00762A99"/>
    <w:rsid w:val="00776086"/>
    <w:rsid w:val="00787B08"/>
    <w:rsid w:val="007951DD"/>
    <w:rsid w:val="007A006E"/>
    <w:rsid w:val="007A4FC9"/>
    <w:rsid w:val="007A5CE9"/>
    <w:rsid w:val="007B0CD2"/>
    <w:rsid w:val="007B6E2C"/>
    <w:rsid w:val="007B7706"/>
    <w:rsid w:val="007C0404"/>
    <w:rsid w:val="007C158E"/>
    <w:rsid w:val="007C1E9A"/>
    <w:rsid w:val="007C74A6"/>
    <w:rsid w:val="007C7558"/>
    <w:rsid w:val="007D12D8"/>
    <w:rsid w:val="007D197A"/>
    <w:rsid w:val="007D2AC8"/>
    <w:rsid w:val="007D308E"/>
    <w:rsid w:val="007D4CB5"/>
    <w:rsid w:val="007E4920"/>
    <w:rsid w:val="007E7C82"/>
    <w:rsid w:val="007E7FF5"/>
    <w:rsid w:val="007F1538"/>
    <w:rsid w:val="007F2FCB"/>
    <w:rsid w:val="007F5026"/>
    <w:rsid w:val="008016D1"/>
    <w:rsid w:val="00803BE9"/>
    <w:rsid w:val="00812B21"/>
    <w:rsid w:val="00814493"/>
    <w:rsid w:val="008171B7"/>
    <w:rsid w:val="00820B03"/>
    <w:rsid w:val="00821388"/>
    <w:rsid w:val="00822E73"/>
    <w:rsid w:val="00824DAD"/>
    <w:rsid w:val="00824DEF"/>
    <w:rsid w:val="008262AF"/>
    <w:rsid w:val="00841728"/>
    <w:rsid w:val="008419D9"/>
    <w:rsid w:val="0084289A"/>
    <w:rsid w:val="00850873"/>
    <w:rsid w:val="0086274F"/>
    <w:rsid w:val="00863AA4"/>
    <w:rsid w:val="00871D6D"/>
    <w:rsid w:val="00875863"/>
    <w:rsid w:val="008761FC"/>
    <w:rsid w:val="008A2C17"/>
    <w:rsid w:val="008A3A39"/>
    <w:rsid w:val="008A5721"/>
    <w:rsid w:val="008B001D"/>
    <w:rsid w:val="008B0875"/>
    <w:rsid w:val="008B1645"/>
    <w:rsid w:val="008C33B3"/>
    <w:rsid w:val="008C3761"/>
    <w:rsid w:val="008C6A9C"/>
    <w:rsid w:val="008D292D"/>
    <w:rsid w:val="008D3F77"/>
    <w:rsid w:val="008E41DC"/>
    <w:rsid w:val="008E5D7B"/>
    <w:rsid w:val="008E6E93"/>
    <w:rsid w:val="008E7703"/>
    <w:rsid w:val="008F5246"/>
    <w:rsid w:val="008F5F21"/>
    <w:rsid w:val="008F7A5C"/>
    <w:rsid w:val="009052CB"/>
    <w:rsid w:val="00916941"/>
    <w:rsid w:val="009217B0"/>
    <w:rsid w:val="00921DB5"/>
    <w:rsid w:val="00923519"/>
    <w:rsid w:val="00926EA3"/>
    <w:rsid w:val="009303E7"/>
    <w:rsid w:val="00933064"/>
    <w:rsid w:val="00935B08"/>
    <w:rsid w:val="0095406B"/>
    <w:rsid w:val="00956C40"/>
    <w:rsid w:val="00957449"/>
    <w:rsid w:val="00965ACC"/>
    <w:rsid w:val="00966DC7"/>
    <w:rsid w:val="00974D05"/>
    <w:rsid w:val="0098008C"/>
    <w:rsid w:val="00982034"/>
    <w:rsid w:val="00982B34"/>
    <w:rsid w:val="009842E6"/>
    <w:rsid w:val="00991C17"/>
    <w:rsid w:val="00992233"/>
    <w:rsid w:val="009943AE"/>
    <w:rsid w:val="00996773"/>
    <w:rsid w:val="00996953"/>
    <w:rsid w:val="00997244"/>
    <w:rsid w:val="00997B54"/>
    <w:rsid w:val="009A068F"/>
    <w:rsid w:val="009A0BE7"/>
    <w:rsid w:val="009B12F0"/>
    <w:rsid w:val="009B246D"/>
    <w:rsid w:val="009B6256"/>
    <w:rsid w:val="009B7700"/>
    <w:rsid w:val="009B7734"/>
    <w:rsid w:val="009C1F90"/>
    <w:rsid w:val="009C3725"/>
    <w:rsid w:val="009C42E9"/>
    <w:rsid w:val="009C4737"/>
    <w:rsid w:val="009C4D4C"/>
    <w:rsid w:val="009C6AFB"/>
    <w:rsid w:val="009C7121"/>
    <w:rsid w:val="009D1B8A"/>
    <w:rsid w:val="009E21A2"/>
    <w:rsid w:val="009E2828"/>
    <w:rsid w:val="009E4818"/>
    <w:rsid w:val="009E6790"/>
    <w:rsid w:val="009E6EB7"/>
    <w:rsid w:val="009E763F"/>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65"/>
    <w:rsid w:val="00A27F6D"/>
    <w:rsid w:val="00A302FE"/>
    <w:rsid w:val="00A32891"/>
    <w:rsid w:val="00A3329A"/>
    <w:rsid w:val="00A359D5"/>
    <w:rsid w:val="00A36EF4"/>
    <w:rsid w:val="00A4466D"/>
    <w:rsid w:val="00A5006A"/>
    <w:rsid w:val="00A551D1"/>
    <w:rsid w:val="00A60DBB"/>
    <w:rsid w:val="00A60F35"/>
    <w:rsid w:val="00A61CFF"/>
    <w:rsid w:val="00A62871"/>
    <w:rsid w:val="00A638C5"/>
    <w:rsid w:val="00A646B8"/>
    <w:rsid w:val="00A7627E"/>
    <w:rsid w:val="00A839BE"/>
    <w:rsid w:val="00A83F8F"/>
    <w:rsid w:val="00A90E8E"/>
    <w:rsid w:val="00A9198C"/>
    <w:rsid w:val="00A94579"/>
    <w:rsid w:val="00A95818"/>
    <w:rsid w:val="00A9590E"/>
    <w:rsid w:val="00AA6452"/>
    <w:rsid w:val="00AA6802"/>
    <w:rsid w:val="00AB26B5"/>
    <w:rsid w:val="00AB38E2"/>
    <w:rsid w:val="00AB6F60"/>
    <w:rsid w:val="00AB7A69"/>
    <w:rsid w:val="00AC1691"/>
    <w:rsid w:val="00AC1CA8"/>
    <w:rsid w:val="00AC4C08"/>
    <w:rsid w:val="00AC6A3A"/>
    <w:rsid w:val="00AC7F91"/>
    <w:rsid w:val="00AD7A4B"/>
    <w:rsid w:val="00AE05B5"/>
    <w:rsid w:val="00AE3DEB"/>
    <w:rsid w:val="00AE6181"/>
    <w:rsid w:val="00AE64FF"/>
    <w:rsid w:val="00AF1254"/>
    <w:rsid w:val="00AF5172"/>
    <w:rsid w:val="00AF5D32"/>
    <w:rsid w:val="00B01951"/>
    <w:rsid w:val="00B05254"/>
    <w:rsid w:val="00B05F3A"/>
    <w:rsid w:val="00B0640C"/>
    <w:rsid w:val="00B14396"/>
    <w:rsid w:val="00B173B5"/>
    <w:rsid w:val="00B207F2"/>
    <w:rsid w:val="00B267DC"/>
    <w:rsid w:val="00B308F2"/>
    <w:rsid w:val="00B30DEB"/>
    <w:rsid w:val="00B34B14"/>
    <w:rsid w:val="00B420A0"/>
    <w:rsid w:val="00B456B7"/>
    <w:rsid w:val="00B45912"/>
    <w:rsid w:val="00B51437"/>
    <w:rsid w:val="00B5211D"/>
    <w:rsid w:val="00B52EFE"/>
    <w:rsid w:val="00B532E2"/>
    <w:rsid w:val="00B54E3F"/>
    <w:rsid w:val="00B61944"/>
    <w:rsid w:val="00B62E0A"/>
    <w:rsid w:val="00B6351C"/>
    <w:rsid w:val="00B736A5"/>
    <w:rsid w:val="00B74778"/>
    <w:rsid w:val="00B74FC8"/>
    <w:rsid w:val="00B76163"/>
    <w:rsid w:val="00B8232C"/>
    <w:rsid w:val="00B8350D"/>
    <w:rsid w:val="00B85BB1"/>
    <w:rsid w:val="00B85DB0"/>
    <w:rsid w:val="00B87EA5"/>
    <w:rsid w:val="00B92C1B"/>
    <w:rsid w:val="00B96E99"/>
    <w:rsid w:val="00BA1C72"/>
    <w:rsid w:val="00BA3538"/>
    <w:rsid w:val="00BA600A"/>
    <w:rsid w:val="00BA7E2B"/>
    <w:rsid w:val="00BB09CD"/>
    <w:rsid w:val="00BB2E42"/>
    <w:rsid w:val="00BB5610"/>
    <w:rsid w:val="00BC5DE2"/>
    <w:rsid w:val="00BD1600"/>
    <w:rsid w:val="00BD2E28"/>
    <w:rsid w:val="00BD36A4"/>
    <w:rsid w:val="00BD3EF7"/>
    <w:rsid w:val="00BE0B41"/>
    <w:rsid w:val="00BE0D36"/>
    <w:rsid w:val="00BE21D1"/>
    <w:rsid w:val="00BE47F3"/>
    <w:rsid w:val="00BE4E55"/>
    <w:rsid w:val="00BF3AB0"/>
    <w:rsid w:val="00BF5BA2"/>
    <w:rsid w:val="00BF7BA5"/>
    <w:rsid w:val="00C036CD"/>
    <w:rsid w:val="00C0692C"/>
    <w:rsid w:val="00C12E92"/>
    <w:rsid w:val="00C1575D"/>
    <w:rsid w:val="00C22B66"/>
    <w:rsid w:val="00C2709D"/>
    <w:rsid w:val="00C27F88"/>
    <w:rsid w:val="00C33322"/>
    <w:rsid w:val="00C3632D"/>
    <w:rsid w:val="00C436C7"/>
    <w:rsid w:val="00C4584B"/>
    <w:rsid w:val="00C479E0"/>
    <w:rsid w:val="00C539B9"/>
    <w:rsid w:val="00C55B05"/>
    <w:rsid w:val="00C55D41"/>
    <w:rsid w:val="00C573FC"/>
    <w:rsid w:val="00C6101A"/>
    <w:rsid w:val="00C61524"/>
    <w:rsid w:val="00C617E1"/>
    <w:rsid w:val="00C666BA"/>
    <w:rsid w:val="00C73155"/>
    <w:rsid w:val="00C86BF0"/>
    <w:rsid w:val="00C9065C"/>
    <w:rsid w:val="00C90B5B"/>
    <w:rsid w:val="00C91236"/>
    <w:rsid w:val="00C921EF"/>
    <w:rsid w:val="00C92C9D"/>
    <w:rsid w:val="00CA21A1"/>
    <w:rsid w:val="00CA449F"/>
    <w:rsid w:val="00CA540E"/>
    <w:rsid w:val="00CA5A41"/>
    <w:rsid w:val="00CB0C6C"/>
    <w:rsid w:val="00CB2E1A"/>
    <w:rsid w:val="00CB485A"/>
    <w:rsid w:val="00CC2470"/>
    <w:rsid w:val="00CC2F8C"/>
    <w:rsid w:val="00CC449C"/>
    <w:rsid w:val="00CC535D"/>
    <w:rsid w:val="00CD2BE4"/>
    <w:rsid w:val="00CD5CC1"/>
    <w:rsid w:val="00CD6026"/>
    <w:rsid w:val="00CD6EC7"/>
    <w:rsid w:val="00CE087B"/>
    <w:rsid w:val="00CE31C8"/>
    <w:rsid w:val="00CE4330"/>
    <w:rsid w:val="00CE567F"/>
    <w:rsid w:val="00CE59E6"/>
    <w:rsid w:val="00CE7679"/>
    <w:rsid w:val="00CF277F"/>
    <w:rsid w:val="00CF4CBB"/>
    <w:rsid w:val="00D00ACC"/>
    <w:rsid w:val="00D0625E"/>
    <w:rsid w:val="00D07EE1"/>
    <w:rsid w:val="00D13015"/>
    <w:rsid w:val="00D133A2"/>
    <w:rsid w:val="00D13F5C"/>
    <w:rsid w:val="00D14607"/>
    <w:rsid w:val="00D15AD4"/>
    <w:rsid w:val="00D1649F"/>
    <w:rsid w:val="00D20538"/>
    <w:rsid w:val="00D211DC"/>
    <w:rsid w:val="00D250B0"/>
    <w:rsid w:val="00D368AA"/>
    <w:rsid w:val="00D40C72"/>
    <w:rsid w:val="00D43EA3"/>
    <w:rsid w:val="00D45FAB"/>
    <w:rsid w:val="00D472FE"/>
    <w:rsid w:val="00D51065"/>
    <w:rsid w:val="00D52236"/>
    <w:rsid w:val="00D528FE"/>
    <w:rsid w:val="00D56D91"/>
    <w:rsid w:val="00D65A27"/>
    <w:rsid w:val="00D67A09"/>
    <w:rsid w:val="00D712DE"/>
    <w:rsid w:val="00D75BF6"/>
    <w:rsid w:val="00D804A1"/>
    <w:rsid w:val="00D86B2E"/>
    <w:rsid w:val="00D901BD"/>
    <w:rsid w:val="00D91710"/>
    <w:rsid w:val="00D92975"/>
    <w:rsid w:val="00DA49A6"/>
    <w:rsid w:val="00DA4CF4"/>
    <w:rsid w:val="00DB3B2A"/>
    <w:rsid w:val="00DB6E09"/>
    <w:rsid w:val="00DB7B56"/>
    <w:rsid w:val="00DC27F4"/>
    <w:rsid w:val="00DC3275"/>
    <w:rsid w:val="00DC38F6"/>
    <w:rsid w:val="00DC5022"/>
    <w:rsid w:val="00DC5793"/>
    <w:rsid w:val="00DC7C15"/>
    <w:rsid w:val="00DD0696"/>
    <w:rsid w:val="00DD1735"/>
    <w:rsid w:val="00DD1945"/>
    <w:rsid w:val="00DD2204"/>
    <w:rsid w:val="00DD7A7D"/>
    <w:rsid w:val="00DE4868"/>
    <w:rsid w:val="00DE4917"/>
    <w:rsid w:val="00DE57D4"/>
    <w:rsid w:val="00DE62F5"/>
    <w:rsid w:val="00DE7A48"/>
    <w:rsid w:val="00DF288A"/>
    <w:rsid w:val="00DF3DF6"/>
    <w:rsid w:val="00DF4E11"/>
    <w:rsid w:val="00DF57B8"/>
    <w:rsid w:val="00DF64FF"/>
    <w:rsid w:val="00DF72C5"/>
    <w:rsid w:val="00E005B9"/>
    <w:rsid w:val="00E00DD3"/>
    <w:rsid w:val="00E029E2"/>
    <w:rsid w:val="00E13279"/>
    <w:rsid w:val="00E15214"/>
    <w:rsid w:val="00E22F62"/>
    <w:rsid w:val="00E23211"/>
    <w:rsid w:val="00E23830"/>
    <w:rsid w:val="00E2703D"/>
    <w:rsid w:val="00E36432"/>
    <w:rsid w:val="00E41649"/>
    <w:rsid w:val="00E423E4"/>
    <w:rsid w:val="00E42A9B"/>
    <w:rsid w:val="00E46A83"/>
    <w:rsid w:val="00E47C45"/>
    <w:rsid w:val="00E501FD"/>
    <w:rsid w:val="00E53F2E"/>
    <w:rsid w:val="00E71017"/>
    <w:rsid w:val="00E71A6F"/>
    <w:rsid w:val="00E71AEC"/>
    <w:rsid w:val="00E73E13"/>
    <w:rsid w:val="00E759C9"/>
    <w:rsid w:val="00E80D04"/>
    <w:rsid w:val="00E81D2D"/>
    <w:rsid w:val="00E82ED4"/>
    <w:rsid w:val="00E853A3"/>
    <w:rsid w:val="00E854D8"/>
    <w:rsid w:val="00E87AA3"/>
    <w:rsid w:val="00E9064F"/>
    <w:rsid w:val="00E925D7"/>
    <w:rsid w:val="00E9353A"/>
    <w:rsid w:val="00E94458"/>
    <w:rsid w:val="00EA1963"/>
    <w:rsid w:val="00EA422B"/>
    <w:rsid w:val="00EA44D0"/>
    <w:rsid w:val="00EA6B9C"/>
    <w:rsid w:val="00EB4089"/>
    <w:rsid w:val="00EB542E"/>
    <w:rsid w:val="00EC2FAE"/>
    <w:rsid w:val="00EC57B1"/>
    <w:rsid w:val="00ED01F1"/>
    <w:rsid w:val="00ED1D3B"/>
    <w:rsid w:val="00ED61BD"/>
    <w:rsid w:val="00ED6DF2"/>
    <w:rsid w:val="00EE207B"/>
    <w:rsid w:val="00EE5D61"/>
    <w:rsid w:val="00EF63CD"/>
    <w:rsid w:val="00F01D85"/>
    <w:rsid w:val="00F05438"/>
    <w:rsid w:val="00F1258E"/>
    <w:rsid w:val="00F13B8E"/>
    <w:rsid w:val="00F24C18"/>
    <w:rsid w:val="00F2602E"/>
    <w:rsid w:val="00F30635"/>
    <w:rsid w:val="00F306A7"/>
    <w:rsid w:val="00F30761"/>
    <w:rsid w:val="00F31524"/>
    <w:rsid w:val="00F3240D"/>
    <w:rsid w:val="00F36C6C"/>
    <w:rsid w:val="00F4092C"/>
    <w:rsid w:val="00F41173"/>
    <w:rsid w:val="00F41BB1"/>
    <w:rsid w:val="00F521E0"/>
    <w:rsid w:val="00F53E6A"/>
    <w:rsid w:val="00F57A3C"/>
    <w:rsid w:val="00F61B4F"/>
    <w:rsid w:val="00F63201"/>
    <w:rsid w:val="00F64335"/>
    <w:rsid w:val="00F645C0"/>
    <w:rsid w:val="00F6608A"/>
    <w:rsid w:val="00F701DD"/>
    <w:rsid w:val="00F71AE4"/>
    <w:rsid w:val="00F82FDC"/>
    <w:rsid w:val="00F8564E"/>
    <w:rsid w:val="00F86908"/>
    <w:rsid w:val="00F8738F"/>
    <w:rsid w:val="00F87BC0"/>
    <w:rsid w:val="00FA048B"/>
    <w:rsid w:val="00FA08BD"/>
    <w:rsid w:val="00FA0BDA"/>
    <w:rsid w:val="00FA1EB2"/>
    <w:rsid w:val="00FA4AD8"/>
    <w:rsid w:val="00FA4CBA"/>
    <w:rsid w:val="00FA7B32"/>
    <w:rsid w:val="00FB35F7"/>
    <w:rsid w:val="00FB4CD5"/>
    <w:rsid w:val="00FB6164"/>
    <w:rsid w:val="00FB7DF5"/>
    <w:rsid w:val="00FC45CB"/>
    <w:rsid w:val="00FC5496"/>
    <w:rsid w:val="00FC5F76"/>
    <w:rsid w:val="00FD1758"/>
    <w:rsid w:val="00FD189C"/>
    <w:rsid w:val="00FD29E4"/>
    <w:rsid w:val="00FD56BE"/>
    <w:rsid w:val="00FE423C"/>
    <w:rsid w:val="00FE43CD"/>
    <w:rsid w:val="00FE7BED"/>
    <w:rsid w:val="00FF1A31"/>
    <w:rsid w:val="00FF2F09"/>
    <w:rsid w:val="00FF2F15"/>
    <w:rsid w:val="00FF6E8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0BA972"/>
  <w15:docId w15:val="{A669A894-7CF7-40A0-BA90-E6F25FFDD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A3A"/>
    <w:pPr>
      <w:widowControl w:val="0"/>
      <w:autoSpaceDE w:val="0"/>
      <w:autoSpaceDN w:val="0"/>
      <w:jc w:val="both"/>
    </w:pPr>
    <w:rPr>
      <w:rFonts w:ascii="Arial" w:eastAsia="Arial" w:hAnsi="Arial" w:cs="Arial"/>
      <w:sz w:val="22"/>
      <w:szCs w:val="22"/>
      <w:lang w:val="en-US" w:eastAsia="en-US"/>
    </w:rPr>
  </w:style>
  <w:style w:type="paragraph" w:styleId="Heading1">
    <w:name w:val="heading 1"/>
    <w:basedOn w:val="Normal"/>
    <w:next w:val="Normal"/>
    <w:link w:val="Heading1Char"/>
    <w:autoRedefine/>
    <w:uiPriority w:val="9"/>
    <w:qFormat/>
    <w:rsid w:val="0040043F"/>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996773"/>
    <w:pPr>
      <w:jc w:val="center"/>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paragraph" w:styleId="Heading4">
    <w:name w:val="heading 4"/>
    <w:basedOn w:val="Normal"/>
    <w:next w:val="Normal"/>
    <w:link w:val="Heading4Char"/>
    <w:uiPriority w:val="9"/>
    <w:semiHidden/>
    <w:unhideWhenUsed/>
    <w:rsid w:val="00145215"/>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45215"/>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5142"/>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55142"/>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5514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514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aps w:val="0"/>
      <w:kern w:val="32"/>
      <w:szCs w:val="32"/>
      <w:lang w:val="en-GB" w:eastAsia="ko-KR"/>
    </w:rPr>
  </w:style>
  <w:style w:type="character" w:customStyle="1" w:styleId="Heading1Char">
    <w:name w:val="Heading 1 Char"/>
    <w:link w:val="Heading1"/>
    <w:uiPriority w:val="9"/>
    <w:rsid w:val="0040043F"/>
    <w:rPr>
      <w:rFonts w:ascii="Arial" w:eastAsia="Times New Roman" w:hAnsi="Arial"/>
      <w:b/>
      <w:bCs/>
      <w:caps/>
      <w:sz w:val="28"/>
      <w:szCs w:val="28"/>
      <w:lang w:val="en-US" w:eastAsia="en-US"/>
    </w:rPr>
  </w:style>
  <w:style w:type="paragraph" w:customStyle="1" w:styleId="CIL2Heading">
    <w:name w:val="CIL 2 Heading"/>
    <w:basedOn w:val="Heading2"/>
    <w:autoRedefine/>
    <w:rsid w:val="00A359D5"/>
    <w:rPr>
      <w:rFonts w:eastAsia="Batang"/>
      <w:b w:val="0"/>
      <w:iCs/>
      <w:caps w:val="0"/>
      <w:szCs w:val="28"/>
      <w:lang w:val="en-GB" w:eastAsia="ko-KR"/>
    </w:rPr>
  </w:style>
  <w:style w:type="character" w:customStyle="1" w:styleId="Heading2Char">
    <w:name w:val="Heading 2 Char"/>
    <w:link w:val="Heading2"/>
    <w:uiPriority w:val="9"/>
    <w:rsid w:val="00996773"/>
    <w:rPr>
      <w:rFonts w:ascii="Arial" w:hAnsi="Arial"/>
      <w:b/>
      <w:bCs/>
      <w:caps/>
      <w:szCs w:val="26"/>
      <w:lang w:val="en-US" w:eastAsia="en-US"/>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szCs w:val="24"/>
      <w:lang w:val="en-GB" w:eastAsia="ko-KR"/>
    </w:rPr>
  </w:style>
  <w:style w:type="paragraph" w:customStyle="1" w:styleId="CILSubtitle">
    <w:name w:val="CIL Subtitle"/>
    <w:basedOn w:val="Normal"/>
    <w:link w:val="CILSubtitleChar"/>
    <w:autoRedefine/>
    <w:qFormat/>
    <w:rsid w:val="00AB7A69"/>
    <w:pPr>
      <w:jc w:val="center"/>
    </w:pPr>
    <w:rPr>
      <w:rFonts w:eastAsia="Batang"/>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ind w:left="1920"/>
      <w:jc w:val="left"/>
    </w:pPr>
    <w:rPr>
      <w:rFonts w:ascii="Cambria" w:eastAsia="MS Mincho" w:hAnsi="Cambria"/>
      <w:sz w:val="24"/>
      <w:szCs w:val="24"/>
    </w:rPr>
  </w:style>
  <w:style w:type="character" w:styleId="PageNumber">
    <w:name w:val="page number"/>
    <w:uiPriority w:val="99"/>
    <w:semiHidden/>
    <w:unhideWhenUsed/>
    <w:rsid w:val="00A27F6D"/>
  </w:style>
  <w:style w:type="paragraph" w:styleId="FootnoteText">
    <w:name w:val="footnote text"/>
    <w:basedOn w:val="Normal"/>
    <w:link w:val="FootnoteTextChar"/>
    <w:uiPriority w:val="99"/>
    <w:semiHidden/>
    <w:unhideWhenUsed/>
    <w:rsid w:val="00FA048B"/>
  </w:style>
  <w:style w:type="character" w:customStyle="1" w:styleId="FootnoteTextChar">
    <w:name w:val="Footnote Text Char"/>
    <w:link w:val="FootnoteText"/>
    <w:uiPriority w:val="99"/>
    <w:semiHidden/>
    <w:rsid w:val="00FA048B"/>
    <w:rPr>
      <w:rFonts w:ascii="Arial" w:hAnsi="Arial"/>
      <w:lang w:val="en-US" w:eastAsia="en-US"/>
    </w:rPr>
  </w:style>
  <w:style w:type="character" w:styleId="FootnoteReference">
    <w:name w:val="footnote reference"/>
    <w:uiPriority w:val="99"/>
    <w:semiHidden/>
    <w:unhideWhenUsed/>
    <w:rsid w:val="00FA048B"/>
    <w:rPr>
      <w:vertAlign w:val="superscript"/>
    </w:rPr>
  </w:style>
  <w:style w:type="paragraph" w:styleId="ListParagraph">
    <w:name w:val="List Paragraph"/>
    <w:basedOn w:val="Normal"/>
    <w:uiPriority w:val="1"/>
    <w:qFormat/>
    <w:rsid w:val="00974D05"/>
    <w:pPr>
      <w:ind w:left="720"/>
      <w:contextualSpacing/>
    </w:pPr>
  </w:style>
  <w:style w:type="paragraph" w:styleId="BodyText">
    <w:name w:val="Body Text"/>
    <w:basedOn w:val="Normal"/>
    <w:link w:val="BodyTextChar"/>
    <w:uiPriority w:val="1"/>
    <w:qFormat/>
    <w:rsid w:val="00FF2F15"/>
    <w:rPr>
      <w:rFonts w:eastAsia="Times New Roman"/>
      <w:szCs w:val="28"/>
    </w:rPr>
  </w:style>
  <w:style w:type="character" w:customStyle="1" w:styleId="BodyTextChar">
    <w:name w:val="Body Text Char"/>
    <w:basedOn w:val="DefaultParagraphFont"/>
    <w:link w:val="BodyText"/>
    <w:uiPriority w:val="1"/>
    <w:rsid w:val="00FF2F15"/>
    <w:rPr>
      <w:rFonts w:ascii="Arial" w:eastAsia="Times New Roman" w:hAnsi="Arial"/>
      <w:szCs w:val="28"/>
      <w:lang w:val="en-US" w:eastAsia="en-US"/>
    </w:rPr>
  </w:style>
  <w:style w:type="character" w:customStyle="1" w:styleId="Heading4Char">
    <w:name w:val="Heading 4 Char"/>
    <w:basedOn w:val="DefaultParagraphFont"/>
    <w:link w:val="Heading4"/>
    <w:uiPriority w:val="9"/>
    <w:semiHidden/>
    <w:rsid w:val="0014521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semiHidden/>
    <w:rsid w:val="00145215"/>
    <w:rPr>
      <w:rFonts w:asciiTheme="majorHAnsi" w:eastAsiaTheme="majorEastAsia" w:hAnsiTheme="majorHAnsi" w:cstheme="majorBidi"/>
      <w:color w:val="2E74B5" w:themeColor="accent1" w:themeShade="BF"/>
      <w:lang w:val="en-US" w:eastAsia="en-US"/>
    </w:rPr>
  </w:style>
  <w:style w:type="paragraph" w:styleId="BalloonText">
    <w:name w:val="Balloon Text"/>
    <w:basedOn w:val="Normal"/>
    <w:link w:val="BalloonTextChar"/>
    <w:uiPriority w:val="99"/>
    <w:semiHidden/>
    <w:unhideWhenUsed/>
    <w:rsid w:val="001551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42"/>
    <w:rPr>
      <w:rFonts w:ascii="Segoe UI" w:hAnsi="Segoe UI" w:cs="Segoe UI"/>
      <w:sz w:val="18"/>
      <w:szCs w:val="18"/>
      <w:lang w:val="en-US" w:eastAsia="en-US"/>
    </w:rPr>
  </w:style>
  <w:style w:type="paragraph" w:styleId="Bibliography">
    <w:name w:val="Bibliography"/>
    <w:basedOn w:val="Normal"/>
    <w:next w:val="Normal"/>
    <w:uiPriority w:val="37"/>
    <w:semiHidden/>
    <w:unhideWhenUsed/>
    <w:rsid w:val="00155142"/>
  </w:style>
  <w:style w:type="paragraph" w:styleId="BlockText">
    <w:name w:val="Block Text"/>
    <w:basedOn w:val="Normal"/>
    <w:uiPriority w:val="99"/>
    <w:semiHidden/>
    <w:unhideWhenUsed/>
    <w:rsid w:val="0015514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155142"/>
    <w:pPr>
      <w:spacing w:line="480" w:lineRule="auto"/>
    </w:pPr>
  </w:style>
  <w:style w:type="character" w:customStyle="1" w:styleId="BodyText2Char">
    <w:name w:val="Body Text 2 Char"/>
    <w:basedOn w:val="DefaultParagraphFont"/>
    <w:link w:val="BodyText2"/>
    <w:uiPriority w:val="99"/>
    <w:semiHidden/>
    <w:rsid w:val="00155142"/>
    <w:rPr>
      <w:rFonts w:ascii="Arial" w:hAnsi="Arial"/>
      <w:lang w:val="en-US" w:eastAsia="en-US"/>
    </w:rPr>
  </w:style>
  <w:style w:type="paragraph" w:styleId="BodyText3">
    <w:name w:val="Body Text 3"/>
    <w:basedOn w:val="Normal"/>
    <w:link w:val="BodyText3Char"/>
    <w:uiPriority w:val="99"/>
    <w:semiHidden/>
    <w:unhideWhenUsed/>
    <w:rsid w:val="00155142"/>
    <w:rPr>
      <w:sz w:val="16"/>
      <w:szCs w:val="16"/>
    </w:rPr>
  </w:style>
  <w:style w:type="character" w:customStyle="1" w:styleId="BodyText3Char">
    <w:name w:val="Body Text 3 Char"/>
    <w:basedOn w:val="DefaultParagraphFont"/>
    <w:link w:val="BodyText3"/>
    <w:uiPriority w:val="99"/>
    <w:semiHidden/>
    <w:rsid w:val="00155142"/>
    <w:rPr>
      <w:rFonts w:ascii="Arial" w:hAnsi="Arial"/>
      <w:sz w:val="16"/>
      <w:szCs w:val="16"/>
      <w:lang w:val="en-US" w:eastAsia="en-US"/>
    </w:rPr>
  </w:style>
  <w:style w:type="paragraph" w:styleId="BodyTextFirstIndent">
    <w:name w:val="Body Text First Indent"/>
    <w:basedOn w:val="BodyText"/>
    <w:link w:val="BodyTextFirstIndentChar"/>
    <w:uiPriority w:val="99"/>
    <w:semiHidden/>
    <w:unhideWhenUsed/>
    <w:rsid w:val="00155142"/>
    <w:pPr>
      <w:widowControl/>
      <w:autoSpaceDE/>
      <w:autoSpaceDN/>
      <w:spacing w:before="240" w:after="120" w:line="276" w:lineRule="auto"/>
      <w:ind w:firstLine="360"/>
    </w:pPr>
    <w:rPr>
      <w:rFonts w:eastAsia="Calibri"/>
      <w:szCs w:val="20"/>
    </w:rPr>
  </w:style>
  <w:style w:type="character" w:customStyle="1" w:styleId="BodyTextFirstIndentChar">
    <w:name w:val="Body Text First Indent Char"/>
    <w:basedOn w:val="BodyTextChar"/>
    <w:link w:val="BodyTextFirstIndent"/>
    <w:uiPriority w:val="99"/>
    <w:semiHidden/>
    <w:rsid w:val="00155142"/>
    <w:rPr>
      <w:rFonts w:ascii="Arial" w:eastAsia="Times New Roman" w:hAnsi="Arial"/>
      <w:sz w:val="28"/>
      <w:szCs w:val="28"/>
      <w:lang w:val="en-US" w:eastAsia="en-US"/>
    </w:rPr>
  </w:style>
  <w:style w:type="paragraph" w:styleId="BodyTextIndent">
    <w:name w:val="Body Text Indent"/>
    <w:basedOn w:val="Normal"/>
    <w:link w:val="BodyTextIndentChar"/>
    <w:uiPriority w:val="99"/>
    <w:semiHidden/>
    <w:unhideWhenUsed/>
    <w:rsid w:val="00155142"/>
    <w:pPr>
      <w:ind w:left="360"/>
    </w:pPr>
  </w:style>
  <w:style w:type="character" w:customStyle="1" w:styleId="BodyTextIndentChar">
    <w:name w:val="Body Text Indent Char"/>
    <w:basedOn w:val="DefaultParagraphFont"/>
    <w:link w:val="BodyTextIndent"/>
    <w:uiPriority w:val="99"/>
    <w:semiHidden/>
    <w:rsid w:val="00155142"/>
    <w:rPr>
      <w:rFonts w:ascii="Arial" w:hAnsi="Arial"/>
      <w:lang w:val="en-US" w:eastAsia="en-US"/>
    </w:rPr>
  </w:style>
  <w:style w:type="paragraph" w:styleId="BodyTextFirstIndent2">
    <w:name w:val="Body Text First Indent 2"/>
    <w:basedOn w:val="BodyTextIndent"/>
    <w:link w:val="BodyTextFirstIndent2Char"/>
    <w:uiPriority w:val="99"/>
    <w:semiHidden/>
    <w:unhideWhenUsed/>
    <w:rsid w:val="00155142"/>
    <w:pPr>
      <w:ind w:firstLine="360"/>
    </w:pPr>
  </w:style>
  <w:style w:type="character" w:customStyle="1" w:styleId="BodyTextFirstIndent2Char">
    <w:name w:val="Body Text First Indent 2 Char"/>
    <w:basedOn w:val="BodyTextIndentChar"/>
    <w:link w:val="BodyTextFirstIndent2"/>
    <w:uiPriority w:val="99"/>
    <w:semiHidden/>
    <w:rsid w:val="00155142"/>
    <w:rPr>
      <w:rFonts w:ascii="Arial" w:hAnsi="Arial"/>
      <w:lang w:val="en-US" w:eastAsia="en-US"/>
    </w:rPr>
  </w:style>
  <w:style w:type="paragraph" w:styleId="BodyTextIndent2">
    <w:name w:val="Body Text Indent 2"/>
    <w:basedOn w:val="Normal"/>
    <w:link w:val="BodyTextIndent2Char"/>
    <w:uiPriority w:val="99"/>
    <w:semiHidden/>
    <w:unhideWhenUsed/>
    <w:rsid w:val="00155142"/>
    <w:pPr>
      <w:spacing w:line="480" w:lineRule="auto"/>
      <w:ind w:left="360"/>
    </w:pPr>
  </w:style>
  <w:style w:type="character" w:customStyle="1" w:styleId="BodyTextIndent2Char">
    <w:name w:val="Body Text Indent 2 Char"/>
    <w:basedOn w:val="DefaultParagraphFont"/>
    <w:link w:val="BodyTextIndent2"/>
    <w:uiPriority w:val="99"/>
    <w:semiHidden/>
    <w:rsid w:val="00155142"/>
    <w:rPr>
      <w:rFonts w:ascii="Arial" w:hAnsi="Arial"/>
      <w:lang w:val="en-US" w:eastAsia="en-US"/>
    </w:rPr>
  </w:style>
  <w:style w:type="paragraph" w:styleId="BodyTextIndent3">
    <w:name w:val="Body Text Indent 3"/>
    <w:basedOn w:val="Normal"/>
    <w:link w:val="BodyTextIndent3Char"/>
    <w:uiPriority w:val="99"/>
    <w:semiHidden/>
    <w:unhideWhenUsed/>
    <w:rsid w:val="00155142"/>
    <w:pPr>
      <w:ind w:left="360"/>
    </w:pPr>
    <w:rPr>
      <w:sz w:val="16"/>
      <w:szCs w:val="16"/>
    </w:rPr>
  </w:style>
  <w:style w:type="character" w:customStyle="1" w:styleId="BodyTextIndent3Char">
    <w:name w:val="Body Text Indent 3 Char"/>
    <w:basedOn w:val="DefaultParagraphFont"/>
    <w:link w:val="BodyTextIndent3"/>
    <w:uiPriority w:val="99"/>
    <w:semiHidden/>
    <w:rsid w:val="00155142"/>
    <w:rPr>
      <w:rFonts w:ascii="Arial" w:hAnsi="Arial"/>
      <w:sz w:val="16"/>
      <w:szCs w:val="16"/>
      <w:lang w:val="en-US" w:eastAsia="en-US"/>
    </w:rPr>
  </w:style>
  <w:style w:type="paragraph" w:styleId="Caption">
    <w:name w:val="caption"/>
    <w:basedOn w:val="Normal"/>
    <w:next w:val="Normal"/>
    <w:uiPriority w:val="35"/>
    <w:semiHidden/>
    <w:unhideWhenUsed/>
    <w:qFormat/>
    <w:rsid w:val="00155142"/>
    <w:pPr>
      <w:spacing w:after="200"/>
    </w:pPr>
    <w:rPr>
      <w:i/>
      <w:iCs/>
      <w:color w:val="44546A" w:themeColor="text2"/>
      <w:sz w:val="18"/>
      <w:szCs w:val="18"/>
    </w:rPr>
  </w:style>
  <w:style w:type="paragraph" w:styleId="Closing">
    <w:name w:val="Closing"/>
    <w:basedOn w:val="Normal"/>
    <w:link w:val="ClosingChar"/>
    <w:uiPriority w:val="99"/>
    <w:semiHidden/>
    <w:unhideWhenUsed/>
    <w:rsid w:val="00155142"/>
    <w:pPr>
      <w:ind w:left="4320"/>
    </w:pPr>
  </w:style>
  <w:style w:type="character" w:customStyle="1" w:styleId="ClosingChar">
    <w:name w:val="Closing Char"/>
    <w:basedOn w:val="DefaultParagraphFont"/>
    <w:link w:val="Closing"/>
    <w:uiPriority w:val="99"/>
    <w:semiHidden/>
    <w:rsid w:val="00155142"/>
    <w:rPr>
      <w:rFonts w:ascii="Arial" w:hAnsi="Arial"/>
      <w:lang w:val="en-US" w:eastAsia="en-US"/>
    </w:rPr>
  </w:style>
  <w:style w:type="paragraph" w:styleId="CommentText">
    <w:name w:val="annotation text"/>
    <w:basedOn w:val="Normal"/>
    <w:link w:val="CommentTextChar"/>
    <w:uiPriority w:val="99"/>
    <w:semiHidden/>
    <w:unhideWhenUsed/>
    <w:rsid w:val="00155142"/>
  </w:style>
  <w:style w:type="character" w:customStyle="1" w:styleId="CommentTextChar">
    <w:name w:val="Comment Text Char"/>
    <w:basedOn w:val="DefaultParagraphFont"/>
    <w:link w:val="CommentText"/>
    <w:uiPriority w:val="99"/>
    <w:semiHidden/>
    <w:rsid w:val="00155142"/>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55142"/>
    <w:rPr>
      <w:b/>
      <w:bCs/>
    </w:rPr>
  </w:style>
  <w:style w:type="character" w:customStyle="1" w:styleId="CommentSubjectChar">
    <w:name w:val="Comment Subject Char"/>
    <w:basedOn w:val="CommentTextChar"/>
    <w:link w:val="CommentSubject"/>
    <w:uiPriority w:val="99"/>
    <w:semiHidden/>
    <w:rsid w:val="00155142"/>
    <w:rPr>
      <w:rFonts w:ascii="Arial" w:hAnsi="Arial"/>
      <w:b/>
      <w:bCs/>
      <w:lang w:val="en-US" w:eastAsia="en-US"/>
    </w:rPr>
  </w:style>
  <w:style w:type="paragraph" w:styleId="Date">
    <w:name w:val="Date"/>
    <w:basedOn w:val="Normal"/>
    <w:next w:val="Normal"/>
    <w:link w:val="DateChar"/>
    <w:uiPriority w:val="99"/>
    <w:semiHidden/>
    <w:unhideWhenUsed/>
    <w:rsid w:val="00155142"/>
  </w:style>
  <w:style w:type="character" w:customStyle="1" w:styleId="DateChar">
    <w:name w:val="Date Char"/>
    <w:basedOn w:val="DefaultParagraphFont"/>
    <w:link w:val="Date"/>
    <w:uiPriority w:val="99"/>
    <w:semiHidden/>
    <w:rsid w:val="00155142"/>
    <w:rPr>
      <w:rFonts w:ascii="Arial" w:hAnsi="Arial"/>
      <w:lang w:val="en-US" w:eastAsia="en-US"/>
    </w:rPr>
  </w:style>
  <w:style w:type="paragraph" w:styleId="DocumentMap">
    <w:name w:val="Document Map"/>
    <w:basedOn w:val="Normal"/>
    <w:link w:val="DocumentMapChar"/>
    <w:uiPriority w:val="99"/>
    <w:semiHidden/>
    <w:unhideWhenUsed/>
    <w:rsid w:val="00155142"/>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55142"/>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155142"/>
  </w:style>
  <w:style w:type="character" w:customStyle="1" w:styleId="E-mailSignatureChar">
    <w:name w:val="E-mail Signature Char"/>
    <w:basedOn w:val="DefaultParagraphFont"/>
    <w:link w:val="E-mailSignature"/>
    <w:uiPriority w:val="99"/>
    <w:semiHidden/>
    <w:rsid w:val="00155142"/>
    <w:rPr>
      <w:rFonts w:ascii="Arial" w:hAnsi="Arial"/>
      <w:lang w:val="en-US" w:eastAsia="en-US"/>
    </w:rPr>
  </w:style>
  <w:style w:type="paragraph" w:styleId="EndnoteText">
    <w:name w:val="endnote text"/>
    <w:basedOn w:val="Normal"/>
    <w:link w:val="EndnoteTextChar"/>
    <w:uiPriority w:val="99"/>
    <w:semiHidden/>
    <w:unhideWhenUsed/>
    <w:rsid w:val="00155142"/>
  </w:style>
  <w:style w:type="character" w:customStyle="1" w:styleId="EndnoteTextChar">
    <w:name w:val="Endnote Text Char"/>
    <w:basedOn w:val="DefaultParagraphFont"/>
    <w:link w:val="EndnoteText"/>
    <w:uiPriority w:val="99"/>
    <w:semiHidden/>
    <w:rsid w:val="00155142"/>
    <w:rPr>
      <w:rFonts w:ascii="Arial" w:hAnsi="Arial"/>
      <w:lang w:val="en-US" w:eastAsia="en-US"/>
    </w:rPr>
  </w:style>
  <w:style w:type="paragraph" w:styleId="EnvelopeAddress">
    <w:name w:val="envelope address"/>
    <w:basedOn w:val="Normal"/>
    <w:uiPriority w:val="99"/>
    <w:semiHidden/>
    <w:unhideWhenUsed/>
    <w:rsid w:val="0015514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55142"/>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55142"/>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155142"/>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155142"/>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155142"/>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155142"/>
    <w:rPr>
      <w:i/>
      <w:iCs/>
    </w:rPr>
  </w:style>
  <w:style w:type="character" w:customStyle="1" w:styleId="HTMLAddressChar">
    <w:name w:val="HTML Address Char"/>
    <w:basedOn w:val="DefaultParagraphFont"/>
    <w:link w:val="HTMLAddress"/>
    <w:uiPriority w:val="99"/>
    <w:semiHidden/>
    <w:rsid w:val="00155142"/>
    <w:rPr>
      <w:rFonts w:ascii="Arial" w:hAnsi="Arial"/>
      <w:i/>
      <w:iCs/>
      <w:lang w:val="en-US" w:eastAsia="en-US"/>
    </w:rPr>
  </w:style>
  <w:style w:type="paragraph" w:styleId="HTMLPreformatted">
    <w:name w:val="HTML Preformatted"/>
    <w:basedOn w:val="Normal"/>
    <w:link w:val="HTMLPreformattedChar"/>
    <w:uiPriority w:val="99"/>
    <w:semiHidden/>
    <w:unhideWhenUsed/>
    <w:rsid w:val="00155142"/>
    <w:rPr>
      <w:rFonts w:ascii="Consolas" w:hAnsi="Consolas"/>
    </w:rPr>
  </w:style>
  <w:style w:type="character" w:customStyle="1" w:styleId="HTMLPreformattedChar">
    <w:name w:val="HTML Preformatted Char"/>
    <w:basedOn w:val="DefaultParagraphFont"/>
    <w:link w:val="HTMLPreformatted"/>
    <w:uiPriority w:val="99"/>
    <w:semiHidden/>
    <w:rsid w:val="00155142"/>
    <w:rPr>
      <w:rFonts w:ascii="Consolas" w:hAnsi="Consolas"/>
      <w:lang w:val="en-US" w:eastAsia="en-US"/>
    </w:rPr>
  </w:style>
  <w:style w:type="paragraph" w:styleId="Index1">
    <w:name w:val="index 1"/>
    <w:basedOn w:val="Normal"/>
    <w:next w:val="Normal"/>
    <w:autoRedefine/>
    <w:uiPriority w:val="99"/>
    <w:semiHidden/>
    <w:unhideWhenUsed/>
    <w:rsid w:val="00155142"/>
    <w:pPr>
      <w:ind w:left="200" w:hanging="200"/>
    </w:pPr>
  </w:style>
  <w:style w:type="paragraph" w:styleId="Index2">
    <w:name w:val="index 2"/>
    <w:basedOn w:val="Normal"/>
    <w:next w:val="Normal"/>
    <w:autoRedefine/>
    <w:uiPriority w:val="99"/>
    <w:semiHidden/>
    <w:unhideWhenUsed/>
    <w:rsid w:val="00155142"/>
    <w:pPr>
      <w:ind w:left="400" w:hanging="200"/>
    </w:pPr>
  </w:style>
  <w:style w:type="paragraph" w:styleId="Index3">
    <w:name w:val="index 3"/>
    <w:basedOn w:val="Normal"/>
    <w:next w:val="Normal"/>
    <w:autoRedefine/>
    <w:uiPriority w:val="99"/>
    <w:semiHidden/>
    <w:unhideWhenUsed/>
    <w:rsid w:val="00155142"/>
    <w:pPr>
      <w:ind w:left="600" w:hanging="200"/>
    </w:pPr>
  </w:style>
  <w:style w:type="paragraph" w:styleId="Index4">
    <w:name w:val="index 4"/>
    <w:basedOn w:val="Normal"/>
    <w:next w:val="Normal"/>
    <w:autoRedefine/>
    <w:uiPriority w:val="99"/>
    <w:semiHidden/>
    <w:unhideWhenUsed/>
    <w:rsid w:val="00155142"/>
    <w:pPr>
      <w:ind w:left="800" w:hanging="200"/>
    </w:pPr>
  </w:style>
  <w:style w:type="paragraph" w:styleId="Index5">
    <w:name w:val="index 5"/>
    <w:basedOn w:val="Normal"/>
    <w:next w:val="Normal"/>
    <w:autoRedefine/>
    <w:uiPriority w:val="99"/>
    <w:semiHidden/>
    <w:unhideWhenUsed/>
    <w:rsid w:val="00155142"/>
    <w:pPr>
      <w:ind w:left="1000" w:hanging="200"/>
    </w:pPr>
  </w:style>
  <w:style w:type="paragraph" w:styleId="Index6">
    <w:name w:val="index 6"/>
    <w:basedOn w:val="Normal"/>
    <w:next w:val="Normal"/>
    <w:autoRedefine/>
    <w:uiPriority w:val="99"/>
    <w:semiHidden/>
    <w:unhideWhenUsed/>
    <w:rsid w:val="00155142"/>
    <w:pPr>
      <w:ind w:left="1200" w:hanging="200"/>
    </w:pPr>
  </w:style>
  <w:style w:type="paragraph" w:styleId="Index7">
    <w:name w:val="index 7"/>
    <w:basedOn w:val="Normal"/>
    <w:next w:val="Normal"/>
    <w:autoRedefine/>
    <w:uiPriority w:val="99"/>
    <w:semiHidden/>
    <w:unhideWhenUsed/>
    <w:rsid w:val="00155142"/>
    <w:pPr>
      <w:ind w:left="1400" w:hanging="200"/>
    </w:pPr>
  </w:style>
  <w:style w:type="paragraph" w:styleId="Index8">
    <w:name w:val="index 8"/>
    <w:basedOn w:val="Normal"/>
    <w:next w:val="Normal"/>
    <w:autoRedefine/>
    <w:uiPriority w:val="99"/>
    <w:semiHidden/>
    <w:unhideWhenUsed/>
    <w:rsid w:val="00155142"/>
    <w:pPr>
      <w:ind w:left="1600" w:hanging="200"/>
    </w:pPr>
  </w:style>
  <w:style w:type="paragraph" w:styleId="Index9">
    <w:name w:val="index 9"/>
    <w:basedOn w:val="Normal"/>
    <w:next w:val="Normal"/>
    <w:autoRedefine/>
    <w:uiPriority w:val="99"/>
    <w:semiHidden/>
    <w:unhideWhenUsed/>
    <w:rsid w:val="00155142"/>
    <w:pPr>
      <w:ind w:left="1800" w:hanging="200"/>
    </w:pPr>
  </w:style>
  <w:style w:type="paragraph" w:styleId="IndexHeading">
    <w:name w:val="index heading"/>
    <w:basedOn w:val="Normal"/>
    <w:next w:val="Index1"/>
    <w:uiPriority w:val="99"/>
    <w:semiHidden/>
    <w:unhideWhenUsed/>
    <w:rsid w:val="0015514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5514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55142"/>
    <w:rPr>
      <w:rFonts w:ascii="Arial" w:hAnsi="Arial"/>
      <w:i/>
      <w:iCs/>
      <w:color w:val="5B9BD5" w:themeColor="accent1"/>
      <w:lang w:val="en-US" w:eastAsia="en-US"/>
    </w:rPr>
  </w:style>
  <w:style w:type="paragraph" w:styleId="List">
    <w:name w:val="List"/>
    <w:basedOn w:val="Normal"/>
    <w:uiPriority w:val="99"/>
    <w:semiHidden/>
    <w:unhideWhenUsed/>
    <w:rsid w:val="00155142"/>
    <w:pPr>
      <w:ind w:left="360" w:hanging="360"/>
      <w:contextualSpacing/>
    </w:pPr>
  </w:style>
  <w:style w:type="paragraph" w:styleId="List2">
    <w:name w:val="List 2"/>
    <w:basedOn w:val="Normal"/>
    <w:uiPriority w:val="99"/>
    <w:semiHidden/>
    <w:unhideWhenUsed/>
    <w:rsid w:val="00155142"/>
    <w:pPr>
      <w:ind w:left="720" w:hanging="360"/>
      <w:contextualSpacing/>
    </w:pPr>
  </w:style>
  <w:style w:type="paragraph" w:styleId="List3">
    <w:name w:val="List 3"/>
    <w:basedOn w:val="Normal"/>
    <w:uiPriority w:val="99"/>
    <w:semiHidden/>
    <w:unhideWhenUsed/>
    <w:rsid w:val="00155142"/>
    <w:pPr>
      <w:ind w:left="1080" w:hanging="360"/>
      <w:contextualSpacing/>
    </w:pPr>
  </w:style>
  <w:style w:type="paragraph" w:styleId="List4">
    <w:name w:val="List 4"/>
    <w:basedOn w:val="Normal"/>
    <w:uiPriority w:val="99"/>
    <w:semiHidden/>
    <w:unhideWhenUsed/>
    <w:rsid w:val="00155142"/>
    <w:pPr>
      <w:ind w:left="1440" w:hanging="360"/>
      <w:contextualSpacing/>
    </w:pPr>
  </w:style>
  <w:style w:type="paragraph" w:styleId="List5">
    <w:name w:val="List 5"/>
    <w:basedOn w:val="Normal"/>
    <w:uiPriority w:val="99"/>
    <w:semiHidden/>
    <w:unhideWhenUsed/>
    <w:rsid w:val="00155142"/>
    <w:pPr>
      <w:ind w:left="1800" w:hanging="360"/>
      <w:contextualSpacing/>
    </w:pPr>
  </w:style>
  <w:style w:type="paragraph" w:styleId="ListBullet">
    <w:name w:val="List Bullet"/>
    <w:basedOn w:val="Normal"/>
    <w:uiPriority w:val="99"/>
    <w:semiHidden/>
    <w:unhideWhenUsed/>
    <w:rsid w:val="00155142"/>
    <w:pPr>
      <w:numPr>
        <w:numId w:val="3"/>
      </w:numPr>
      <w:contextualSpacing/>
    </w:pPr>
  </w:style>
  <w:style w:type="paragraph" w:styleId="ListBullet2">
    <w:name w:val="List Bullet 2"/>
    <w:basedOn w:val="Normal"/>
    <w:uiPriority w:val="99"/>
    <w:semiHidden/>
    <w:unhideWhenUsed/>
    <w:rsid w:val="00155142"/>
    <w:pPr>
      <w:numPr>
        <w:numId w:val="4"/>
      </w:numPr>
      <w:contextualSpacing/>
    </w:pPr>
  </w:style>
  <w:style w:type="paragraph" w:styleId="ListBullet3">
    <w:name w:val="List Bullet 3"/>
    <w:basedOn w:val="Normal"/>
    <w:uiPriority w:val="99"/>
    <w:semiHidden/>
    <w:unhideWhenUsed/>
    <w:rsid w:val="00155142"/>
    <w:pPr>
      <w:numPr>
        <w:numId w:val="5"/>
      </w:numPr>
      <w:contextualSpacing/>
    </w:pPr>
  </w:style>
  <w:style w:type="paragraph" w:styleId="ListBullet4">
    <w:name w:val="List Bullet 4"/>
    <w:basedOn w:val="Normal"/>
    <w:uiPriority w:val="99"/>
    <w:semiHidden/>
    <w:unhideWhenUsed/>
    <w:rsid w:val="00155142"/>
    <w:pPr>
      <w:numPr>
        <w:numId w:val="6"/>
      </w:numPr>
      <w:contextualSpacing/>
    </w:pPr>
  </w:style>
  <w:style w:type="paragraph" w:styleId="ListBullet5">
    <w:name w:val="List Bullet 5"/>
    <w:basedOn w:val="Normal"/>
    <w:uiPriority w:val="99"/>
    <w:semiHidden/>
    <w:unhideWhenUsed/>
    <w:rsid w:val="00155142"/>
    <w:pPr>
      <w:numPr>
        <w:numId w:val="7"/>
      </w:numPr>
      <w:contextualSpacing/>
    </w:pPr>
  </w:style>
  <w:style w:type="paragraph" w:styleId="ListContinue">
    <w:name w:val="List Continue"/>
    <w:basedOn w:val="Normal"/>
    <w:uiPriority w:val="99"/>
    <w:semiHidden/>
    <w:unhideWhenUsed/>
    <w:rsid w:val="00155142"/>
    <w:pPr>
      <w:ind w:left="360"/>
      <w:contextualSpacing/>
    </w:pPr>
  </w:style>
  <w:style w:type="paragraph" w:styleId="ListContinue2">
    <w:name w:val="List Continue 2"/>
    <w:basedOn w:val="Normal"/>
    <w:uiPriority w:val="99"/>
    <w:semiHidden/>
    <w:unhideWhenUsed/>
    <w:rsid w:val="00155142"/>
    <w:pPr>
      <w:ind w:left="720"/>
      <w:contextualSpacing/>
    </w:pPr>
  </w:style>
  <w:style w:type="paragraph" w:styleId="ListContinue3">
    <w:name w:val="List Continue 3"/>
    <w:basedOn w:val="Normal"/>
    <w:uiPriority w:val="99"/>
    <w:semiHidden/>
    <w:unhideWhenUsed/>
    <w:rsid w:val="00155142"/>
    <w:pPr>
      <w:ind w:left="1080"/>
      <w:contextualSpacing/>
    </w:pPr>
  </w:style>
  <w:style w:type="paragraph" w:styleId="ListContinue4">
    <w:name w:val="List Continue 4"/>
    <w:basedOn w:val="Normal"/>
    <w:uiPriority w:val="99"/>
    <w:semiHidden/>
    <w:unhideWhenUsed/>
    <w:rsid w:val="00155142"/>
    <w:pPr>
      <w:ind w:left="1440"/>
      <w:contextualSpacing/>
    </w:pPr>
  </w:style>
  <w:style w:type="paragraph" w:styleId="ListContinue5">
    <w:name w:val="List Continue 5"/>
    <w:basedOn w:val="Normal"/>
    <w:uiPriority w:val="99"/>
    <w:semiHidden/>
    <w:unhideWhenUsed/>
    <w:rsid w:val="00155142"/>
    <w:pPr>
      <w:ind w:left="1800"/>
      <w:contextualSpacing/>
    </w:pPr>
  </w:style>
  <w:style w:type="paragraph" w:styleId="ListNumber">
    <w:name w:val="List Number"/>
    <w:basedOn w:val="Normal"/>
    <w:uiPriority w:val="99"/>
    <w:semiHidden/>
    <w:unhideWhenUsed/>
    <w:rsid w:val="00155142"/>
    <w:pPr>
      <w:numPr>
        <w:numId w:val="8"/>
      </w:numPr>
      <w:contextualSpacing/>
    </w:pPr>
  </w:style>
  <w:style w:type="paragraph" w:styleId="ListNumber2">
    <w:name w:val="List Number 2"/>
    <w:basedOn w:val="Normal"/>
    <w:uiPriority w:val="99"/>
    <w:semiHidden/>
    <w:unhideWhenUsed/>
    <w:rsid w:val="00155142"/>
    <w:pPr>
      <w:numPr>
        <w:numId w:val="9"/>
      </w:numPr>
      <w:contextualSpacing/>
    </w:pPr>
  </w:style>
  <w:style w:type="paragraph" w:styleId="ListNumber3">
    <w:name w:val="List Number 3"/>
    <w:basedOn w:val="Normal"/>
    <w:uiPriority w:val="99"/>
    <w:semiHidden/>
    <w:unhideWhenUsed/>
    <w:rsid w:val="00155142"/>
    <w:pPr>
      <w:numPr>
        <w:numId w:val="10"/>
      </w:numPr>
      <w:contextualSpacing/>
    </w:pPr>
  </w:style>
  <w:style w:type="paragraph" w:styleId="ListNumber4">
    <w:name w:val="List Number 4"/>
    <w:basedOn w:val="Normal"/>
    <w:uiPriority w:val="99"/>
    <w:semiHidden/>
    <w:unhideWhenUsed/>
    <w:rsid w:val="00155142"/>
    <w:pPr>
      <w:numPr>
        <w:numId w:val="11"/>
      </w:numPr>
      <w:contextualSpacing/>
    </w:pPr>
  </w:style>
  <w:style w:type="paragraph" w:styleId="ListNumber5">
    <w:name w:val="List Number 5"/>
    <w:basedOn w:val="Normal"/>
    <w:uiPriority w:val="99"/>
    <w:semiHidden/>
    <w:unhideWhenUsed/>
    <w:rsid w:val="00155142"/>
    <w:pPr>
      <w:numPr>
        <w:numId w:val="12"/>
      </w:numPr>
      <w:contextualSpacing/>
    </w:pPr>
  </w:style>
  <w:style w:type="paragraph" w:styleId="MacroText">
    <w:name w:val="macro"/>
    <w:link w:val="MacroTextChar"/>
    <w:uiPriority w:val="99"/>
    <w:semiHidden/>
    <w:unhideWhenUsed/>
    <w:rsid w:val="00155142"/>
    <w:pPr>
      <w:tabs>
        <w:tab w:val="left" w:pos="480"/>
        <w:tab w:val="left" w:pos="960"/>
        <w:tab w:val="left" w:pos="1440"/>
        <w:tab w:val="left" w:pos="1920"/>
        <w:tab w:val="left" w:pos="2400"/>
        <w:tab w:val="left" w:pos="2880"/>
        <w:tab w:val="left" w:pos="3360"/>
        <w:tab w:val="left" w:pos="3840"/>
        <w:tab w:val="left" w:pos="4320"/>
      </w:tabs>
      <w:spacing w:before="240" w:line="276" w:lineRule="auto"/>
      <w:jc w:val="both"/>
    </w:pPr>
    <w:rPr>
      <w:rFonts w:ascii="Consolas" w:hAnsi="Consolas"/>
      <w:lang w:val="en-US" w:eastAsia="en-US"/>
    </w:rPr>
  </w:style>
  <w:style w:type="character" w:customStyle="1" w:styleId="MacroTextChar">
    <w:name w:val="Macro Text Char"/>
    <w:basedOn w:val="DefaultParagraphFont"/>
    <w:link w:val="MacroText"/>
    <w:uiPriority w:val="99"/>
    <w:semiHidden/>
    <w:rsid w:val="00155142"/>
    <w:rPr>
      <w:rFonts w:ascii="Consolas" w:hAnsi="Consolas"/>
      <w:lang w:val="en-US" w:eastAsia="en-US"/>
    </w:rPr>
  </w:style>
  <w:style w:type="paragraph" w:styleId="MessageHeader">
    <w:name w:val="Message Header"/>
    <w:basedOn w:val="Normal"/>
    <w:link w:val="MessageHeaderChar"/>
    <w:uiPriority w:val="99"/>
    <w:semiHidden/>
    <w:unhideWhenUsed/>
    <w:rsid w:val="0015514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55142"/>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155142"/>
    <w:pPr>
      <w:jc w:val="both"/>
    </w:pPr>
    <w:rPr>
      <w:rFonts w:ascii="Arial" w:hAnsi="Arial"/>
      <w:lang w:val="en-US" w:eastAsia="en-US"/>
    </w:rPr>
  </w:style>
  <w:style w:type="paragraph" w:styleId="NormalWeb">
    <w:name w:val="Normal (Web)"/>
    <w:basedOn w:val="Normal"/>
    <w:uiPriority w:val="99"/>
    <w:semiHidden/>
    <w:unhideWhenUsed/>
    <w:rsid w:val="00155142"/>
    <w:rPr>
      <w:rFonts w:ascii="Times New Roman" w:hAnsi="Times New Roman"/>
      <w:sz w:val="24"/>
      <w:szCs w:val="24"/>
    </w:rPr>
  </w:style>
  <w:style w:type="paragraph" w:styleId="NormalIndent">
    <w:name w:val="Normal Indent"/>
    <w:basedOn w:val="Normal"/>
    <w:uiPriority w:val="99"/>
    <w:semiHidden/>
    <w:unhideWhenUsed/>
    <w:rsid w:val="00155142"/>
    <w:pPr>
      <w:ind w:left="720"/>
    </w:pPr>
  </w:style>
  <w:style w:type="paragraph" w:styleId="NoteHeading">
    <w:name w:val="Note Heading"/>
    <w:basedOn w:val="Normal"/>
    <w:next w:val="Normal"/>
    <w:link w:val="NoteHeadingChar"/>
    <w:uiPriority w:val="99"/>
    <w:semiHidden/>
    <w:unhideWhenUsed/>
    <w:rsid w:val="00155142"/>
  </w:style>
  <w:style w:type="character" w:customStyle="1" w:styleId="NoteHeadingChar">
    <w:name w:val="Note Heading Char"/>
    <w:basedOn w:val="DefaultParagraphFont"/>
    <w:link w:val="NoteHeading"/>
    <w:uiPriority w:val="99"/>
    <w:semiHidden/>
    <w:rsid w:val="00155142"/>
    <w:rPr>
      <w:rFonts w:ascii="Arial" w:hAnsi="Arial"/>
      <w:lang w:val="en-US" w:eastAsia="en-US"/>
    </w:rPr>
  </w:style>
  <w:style w:type="paragraph" w:styleId="PlainText">
    <w:name w:val="Plain Text"/>
    <w:basedOn w:val="Normal"/>
    <w:link w:val="PlainTextChar"/>
    <w:uiPriority w:val="99"/>
    <w:semiHidden/>
    <w:unhideWhenUsed/>
    <w:rsid w:val="00155142"/>
    <w:rPr>
      <w:rFonts w:ascii="Consolas" w:hAnsi="Consolas"/>
      <w:sz w:val="21"/>
      <w:szCs w:val="21"/>
    </w:rPr>
  </w:style>
  <w:style w:type="character" w:customStyle="1" w:styleId="PlainTextChar">
    <w:name w:val="Plain Text Char"/>
    <w:basedOn w:val="DefaultParagraphFont"/>
    <w:link w:val="PlainText"/>
    <w:uiPriority w:val="99"/>
    <w:semiHidden/>
    <w:rsid w:val="00155142"/>
    <w:rPr>
      <w:rFonts w:ascii="Consolas" w:hAnsi="Consolas"/>
      <w:sz w:val="21"/>
      <w:szCs w:val="21"/>
      <w:lang w:val="en-US" w:eastAsia="en-US"/>
    </w:rPr>
  </w:style>
  <w:style w:type="paragraph" w:styleId="Quote">
    <w:name w:val="Quote"/>
    <w:basedOn w:val="Normal"/>
    <w:next w:val="Normal"/>
    <w:link w:val="QuoteChar"/>
    <w:uiPriority w:val="29"/>
    <w:qFormat/>
    <w:rsid w:val="001551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5142"/>
    <w:rPr>
      <w:rFonts w:ascii="Arial" w:hAnsi="Arial"/>
      <w:i/>
      <w:iCs/>
      <w:color w:val="404040" w:themeColor="text1" w:themeTint="BF"/>
      <w:lang w:val="en-US" w:eastAsia="en-US"/>
    </w:rPr>
  </w:style>
  <w:style w:type="paragraph" w:styleId="Salutation">
    <w:name w:val="Salutation"/>
    <w:basedOn w:val="Normal"/>
    <w:next w:val="Normal"/>
    <w:link w:val="SalutationChar"/>
    <w:uiPriority w:val="99"/>
    <w:semiHidden/>
    <w:unhideWhenUsed/>
    <w:rsid w:val="00155142"/>
  </w:style>
  <w:style w:type="character" w:customStyle="1" w:styleId="SalutationChar">
    <w:name w:val="Salutation Char"/>
    <w:basedOn w:val="DefaultParagraphFont"/>
    <w:link w:val="Salutation"/>
    <w:uiPriority w:val="99"/>
    <w:semiHidden/>
    <w:rsid w:val="00155142"/>
    <w:rPr>
      <w:rFonts w:ascii="Arial" w:hAnsi="Arial"/>
      <w:lang w:val="en-US" w:eastAsia="en-US"/>
    </w:rPr>
  </w:style>
  <w:style w:type="paragraph" w:styleId="Signature">
    <w:name w:val="Signature"/>
    <w:basedOn w:val="Normal"/>
    <w:link w:val="SignatureChar"/>
    <w:uiPriority w:val="99"/>
    <w:semiHidden/>
    <w:unhideWhenUsed/>
    <w:rsid w:val="00155142"/>
    <w:pPr>
      <w:ind w:left="4320"/>
    </w:pPr>
  </w:style>
  <w:style w:type="character" w:customStyle="1" w:styleId="SignatureChar">
    <w:name w:val="Signature Char"/>
    <w:basedOn w:val="DefaultParagraphFont"/>
    <w:link w:val="Signature"/>
    <w:uiPriority w:val="99"/>
    <w:semiHidden/>
    <w:rsid w:val="00155142"/>
    <w:rPr>
      <w:rFonts w:ascii="Arial" w:hAnsi="Arial"/>
      <w:lang w:val="en-US" w:eastAsia="en-US"/>
    </w:rPr>
  </w:style>
  <w:style w:type="paragraph" w:styleId="TableofAuthorities">
    <w:name w:val="table of authorities"/>
    <w:basedOn w:val="Normal"/>
    <w:next w:val="Normal"/>
    <w:uiPriority w:val="99"/>
    <w:semiHidden/>
    <w:unhideWhenUsed/>
    <w:rsid w:val="00155142"/>
    <w:pPr>
      <w:ind w:left="200" w:hanging="200"/>
    </w:pPr>
  </w:style>
  <w:style w:type="paragraph" w:styleId="TableofFigures">
    <w:name w:val="table of figures"/>
    <w:basedOn w:val="Normal"/>
    <w:next w:val="Normal"/>
    <w:uiPriority w:val="99"/>
    <w:semiHidden/>
    <w:unhideWhenUsed/>
    <w:rsid w:val="00155142"/>
  </w:style>
  <w:style w:type="paragraph" w:styleId="TOAHeading">
    <w:name w:val="toa heading"/>
    <w:basedOn w:val="Normal"/>
    <w:next w:val="Normal"/>
    <w:uiPriority w:val="99"/>
    <w:semiHidden/>
    <w:unhideWhenUsed/>
    <w:rsid w:val="00155142"/>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 w:id="2139177995">
      <w:bodyDiv w:val="1"/>
      <w:marLeft w:val="0"/>
      <w:marRight w:val="0"/>
      <w:marTop w:val="0"/>
      <w:marBottom w:val="0"/>
      <w:divBdr>
        <w:top w:val="none" w:sz="0" w:space="0" w:color="auto"/>
        <w:left w:val="none" w:sz="0" w:space="0" w:color="auto"/>
        <w:bottom w:val="none" w:sz="0" w:space="0" w:color="auto"/>
        <w:right w:val="none" w:sz="0" w:space="0" w:color="auto"/>
      </w:divBdr>
      <w:divsChild>
        <w:div w:id="46250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lcsw\OneDrive%20-%20National%20University%20of%20Singapore\DB\Templates\2026%20CIL%20DB%20Formatting%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87ADC-D9F3-40B7-BB43-DCD923740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2026 CIL DB Formatting Template</Template>
  <TotalTime>11</TotalTime>
  <Pages>4</Pages>
  <Words>1390</Words>
  <Characters>8967</Characters>
  <Application>Microsoft Office Word</Application>
  <DocSecurity>0</DocSecurity>
  <Lines>193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10318</CharactersWithSpaces>
  <SharedDoc>false</SharedDoc>
  <HLinks>
    <vt:vector size="222" baseType="variant">
      <vt:variant>
        <vt:i4>1245244</vt:i4>
      </vt:variant>
      <vt:variant>
        <vt:i4>206</vt:i4>
      </vt:variant>
      <vt:variant>
        <vt:i4>0</vt:i4>
      </vt:variant>
      <vt:variant>
        <vt:i4>5</vt:i4>
      </vt:variant>
      <vt:variant>
        <vt:lpwstr/>
      </vt:variant>
      <vt:variant>
        <vt:lpwstr>_Toc473030836</vt:lpwstr>
      </vt:variant>
      <vt:variant>
        <vt:i4>1245244</vt:i4>
      </vt:variant>
      <vt:variant>
        <vt:i4>200</vt:i4>
      </vt:variant>
      <vt:variant>
        <vt:i4>0</vt:i4>
      </vt:variant>
      <vt:variant>
        <vt:i4>5</vt:i4>
      </vt:variant>
      <vt:variant>
        <vt:lpwstr/>
      </vt:variant>
      <vt:variant>
        <vt:lpwstr>_Toc473030835</vt:lpwstr>
      </vt:variant>
      <vt:variant>
        <vt:i4>1245244</vt:i4>
      </vt:variant>
      <vt:variant>
        <vt:i4>194</vt:i4>
      </vt:variant>
      <vt:variant>
        <vt:i4>0</vt:i4>
      </vt:variant>
      <vt:variant>
        <vt:i4>5</vt:i4>
      </vt:variant>
      <vt:variant>
        <vt:lpwstr/>
      </vt:variant>
      <vt:variant>
        <vt:lpwstr>_Toc473030834</vt:lpwstr>
      </vt:variant>
      <vt:variant>
        <vt:i4>1245244</vt:i4>
      </vt:variant>
      <vt:variant>
        <vt:i4>188</vt:i4>
      </vt:variant>
      <vt:variant>
        <vt:i4>0</vt:i4>
      </vt:variant>
      <vt:variant>
        <vt:i4>5</vt:i4>
      </vt:variant>
      <vt:variant>
        <vt:lpwstr/>
      </vt:variant>
      <vt:variant>
        <vt:lpwstr>_Toc473030833</vt:lpwstr>
      </vt:variant>
      <vt:variant>
        <vt:i4>1245244</vt:i4>
      </vt:variant>
      <vt:variant>
        <vt:i4>182</vt:i4>
      </vt:variant>
      <vt:variant>
        <vt:i4>0</vt:i4>
      </vt:variant>
      <vt:variant>
        <vt:i4>5</vt:i4>
      </vt:variant>
      <vt:variant>
        <vt:lpwstr/>
      </vt:variant>
      <vt:variant>
        <vt:lpwstr>_Toc473030832</vt:lpwstr>
      </vt:variant>
      <vt:variant>
        <vt:i4>1245244</vt:i4>
      </vt:variant>
      <vt:variant>
        <vt:i4>176</vt:i4>
      </vt:variant>
      <vt:variant>
        <vt:i4>0</vt:i4>
      </vt:variant>
      <vt:variant>
        <vt:i4>5</vt:i4>
      </vt:variant>
      <vt:variant>
        <vt:lpwstr/>
      </vt:variant>
      <vt:variant>
        <vt:lpwstr>_Toc473030831</vt:lpwstr>
      </vt:variant>
      <vt:variant>
        <vt:i4>1245244</vt:i4>
      </vt:variant>
      <vt:variant>
        <vt:i4>170</vt:i4>
      </vt:variant>
      <vt:variant>
        <vt:i4>0</vt:i4>
      </vt:variant>
      <vt:variant>
        <vt:i4>5</vt:i4>
      </vt:variant>
      <vt:variant>
        <vt:lpwstr/>
      </vt:variant>
      <vt:variant>
        <vt:lpwstr>_Toc473030830</vt:lpwstr>
      </vt:variant>
      <vt:variant>
        <vt:i4>1179708</vt:i4>
      </vt:variant>
      <vt:variant>
        <vt:i4>164</vt:i4>
      </vt:variant>
      <vt:variant>
        <vt:i4>0</vt:i4>
      </vt:variant>
      <vt:variant>
        <vt:i4>5</vt:i4>
      </vt:variant>
      <vt:variant>
        <vt:lpwstr/>
      </vt:variant>
      <vt:variant>
        <vt:lpwstr>_Toc473030829</vt:lpwstr>
      </vt:variant>
      <vt:variant>
        <vt:i4>1179708</vt:i4>
      </vt:variant>
      <vt:variant>
        <vt:i4>158</vt:i4>
      </vt:variant>
      <vt:variant>
        <vt:i4>0</vt:i4>
      </vt:variant>
      <vt:variant>
        <vt:i4>5</vt:i4>
      </vt:variant>
      <vt:variant>
        <vt:lpwstr/>
      </vt:variant>
      <vt:variant>
        <vt:lpwstr>_Toc473030828</vt:lpwstr>
      </vt:variant>
      <vt:variant>
        <vt:i4>1179708</vt:i4>
      </vt:variant>
      <vt:variant>
        <vt:i4>152</vt:i4>
      </vt:variant>
      <vt:variant>
        <vt:i4>0</vt:i4>
      </vt:variant>
      <vt:variant>
        <vt:i4>5</vt:i4>
      </vt:variant>
      <vt:variant>
        <vt:lpwstr/>
      </vt:variant>
      <vt:variant>
        <vt:lpwstr>_Toc473030827</vt:lpwstr>
      </vt:variant>
      <vt:variant>
        <vt:i4>1179708</vt:i4>
      </vt:variant>
      <vt:variant>
        <vt:i4>146</vt:i4>
      </vt:variant>
      <vt:variant>
        <vt:i4>0</vt:i4>
      </vt:variant>
      <vt:variant>
        <vt:i4>5</vt:i4>
      </vt:variant>
      <vt:variant>
        <vt:lpwstr/>
      </vt:variant>
      <vt:variant>
        <vt:lpwstr>_Toc473030826</vt:lpwstr>
      </vt:variant>
      <vt:variant>
        <vt:i4>1179708</vt:i4>
      </vt:variant>
      <vt:variant>
        <vt:i4>140</vt:i4>
      </vt:variant>
      <vt:variant>
        <vt:i4>0</vt:i4>
      </vt:variant>
      <vt:variant>
        <vt:i4>5</vt:i4>
      </vt:variant>
      <vt:variant>
        <vt:lpwstr/>
      </vt:variant>
      <vt:variant>
        <vt:lpwstr>_Toc473030825</vt:lpwstr>
      </vt:variant>
      <vt:variant>
        <vt:i4>1179708</vt:i4>
      </vt:variant>
      <vt:variant>
        <vt:i4>134</vt:i4>
      </vt:variant>
      <vt:variant>
        <vt:i4>0</vt:i4>
      </vt:variant>
      <vt:variant>
        <vt:i4>5</vt:i4>
      </vt:variant>
      <vt:variant>
        <vt:lpwstr/>
      </vt:variant>
      <vt:variant>
        <vt:lpwstr>_Toc473030824</vt:lpwstr>
      </vt:variant>
      <vt:variant>
        <vt:i4>1179708</vt:i4>
      </vt:variant>
      <vt:variant>
        <vt:i4>128</vt:i4>
      </vt:variant>
      <vt:variant>
        <vt:i4>0</vt:i4>
      </vt:variant>
      <vt:variant>
        <vt:i4>5</vt:i4>
      </vt:variant>
      <vt:variant>
        <vt:lpwstr/>
      </vt:variant>
      <vt:variant>
        <vt:lpwstr>_Toc473030823</vt:lpwstr>
      </vt:variant>
      <vt:variant>
        <vt:i4>1179708</vt:i4>
      </vt:variant>
      <vt:variant>
        <vt:i4>122</vt:i4>
      </vt:variant>
      <vt:variant>
        <vt:i4>0</vt:i4>
      </vt:variant>
      <vt:variant>
        <vt:i4>5</vt:i4>
      </vt:variant>
      <vt:variant>
        <vt:lpwstr/>
      </vt:variant>
      <vt:variant>
        <vt:lpwstr>_Toc473030822</vt:lpwstr>
      </vt:variant>
      <vt:variant>
        <vt:i4>1179708</vt:i4>
      </vt:variant>
      <vt:variant>
        <vt:i4>116</vt:i4>
      </vt:variant>
      <vt:variant>
        <vt:i4>0</vt:i4>
      </vt:variant>
      <vt:variant>
        <vt:i4>5</vt:i4>
      </vt:variant>
      <vt:variant>
        <vt:lpwstr/>
      </vt:variant>
      <vt:variant>
        <vt:lpwstr>_Toc473030821</vt:lpwstr>
      </vt:variant>
      <vt:variant>
        <vt:i4>1179708</vt:i4>
      </vt:variant>
      <vt:variant>
        <vt:i4>110</vt:i4>
      </vt:variant>
      <vt:variant>
        <vt:i4>0</vt:i4>
      </vt:variant>
      <vt:variant>
        <vt:i4>5</vt:i4>
      </vt:variant>
      <vt:variant>
        <vt:lpwstr/>
      </vt:variant>
      <vt:variant>
        <vt:lpwstr>_Toc473030820</vt:lpwstr>
      </vt:variant>
      <vt:variant>
        <vt:i4>1114172</vt:i4>
      </vt:variant>
      <vt:variant>
        <vt:i4>104</vt:i4>
      </vt:variant>
      <vt:variant>
        <vt:i4>0</vt:i4>
      </vt:variant>
      <vt:variant>
        <vt:i4>5</vt:i4>
      </vt:variant>
      <vt:variant>
        <vt:lpwstr/>
      </vt:variant>
      <vt:variant>
        <vt:lpwstr>_Toc473030819</vt:lpwstr>
      </vt:variant>
      <vt:variant>
        <vt:i4>1114172</vt:i4>
      </vt:variant>
      <vt:variant>
        <vt:i4>98</vt:i4>
      </vt:variant>
      <vt:variant>
        <vt:i4>0</vt:i4>
      </vt:variant>
      <vt:variant>
        <vt:i4>5</vt:i4>
      </vt:variant>
      <vt:variant>
        <vt:lpwstr/>
      </vt:variant>
      <vt:variant>
        <vt:lpwstr>_Toc473030818</vt:lpwstr>
      </vt:variant>
      <vt:variant>
        <vt:i4>1114172</vt:i4>
      </vt:variant>
      <vt:variant>
        <vt:i4>92</vt:i4>
      </vt:variant>
      <vt:variant>
        <vt:i4>0</vt:i4>
      </vt:variant>
      <vt:variant>
        <vt:i4>5</vt:i4>
      </vt:variant>
      <vt:variant>
        <vt:lpwstr/>
      </vt:variant>
      <vt:variant>
        <vt:lpwstr>_Toc473030817</vt:lpwstr>
      </vt:variant>
      <vt:variant>
        <vt:i4>1114172</vt:i4>
      </vt:variant>
      <vt:variant>
        <vt:i4>86</vt:i4>
      </vt:variant>
      <vt:variant>
        <vt:i4>0</vt:i4>
      </vt:variant>
      <vt:variant>
        <vt:i4>5</vt:i4>
      </vt:variant>
      <vt:variant>
        <vt:lpwstr/>
      </vt:variant>
      <vt:variant>
        <vt:lpwstr>_Toc473030816</vt:lpwstr>
      </vt:variant>
      <vt:variant>
        <vt:i4>1114172</vt:i4>
      </vt:variant>
      <vt:variant>
        <vt:i4>80</vt:i4>
      </vt:variant>
      <vt:variant>
        <vt:i4>0</vt:i4>
      </vt:variant>
      <vt:variant>
        <vt:i4>5</vt:i4>
      </vt:variant>
      <vt:variant>
        <vt:lpwstr/>
      </vt:variant>
      <vt:variant>
        <vt:lpwstr>_Toc473030815</vt:lpwstr>
      </vt:variant>
      <vt:variant>
        <vt:i4>1114172</vt:i4>
      </vt:variant>
      <vt:variant>
        <vt:i4>74</vt:i4>
      </vt:variant>
      <vt:variant>
        <vt:i4>0</vt:i4>
      </vt:variant>
      <vt:variant>
        <vt:i4>5</vt:i4>
      </vt:variant>
      <vt:variant>
        <vt:lpwstr/>
      </vt:variant>
      <vt:variant>
        <vt:lpwstr>_Toc473030814</vt:lpwstr>
      </vt:variant>
      <vt:variant>
        <vt:i4>1114172</vt:i4>
      </vt:variant>
      <vt:variant>
        <vt:i4>68</vt:i4>
      </vt:variant>
      <vt:variant>
        <vt:i4>0</vt:i4>
      </vt:variant>
      <vt:variant>
        <vt:i4>5</vt:i4>
      </vt:variant>
      <vt:variant>
        <vt:lpwstr/>
      </vt:variant>
      <vt:variant>
        <vt:lpwstr>_Toc473030813</vt:lpwstr>
      </vt:variant>
      <vt:variant>
        <vt:i4>1114172</vt:i4>
      </vt:variant>
      <vt:variant>
        <vt:i4>62</vt:i4>
      </vt:variant>
      <vt:variant>
        <vt:i4>0</vt:i4>
      </vt:variant>
      <vt:variant>
        <vt:i4>5</vt:i4>
      </vt:variant>
      <vt:variant>
        <vt:lpwstr/>
      </vt:variant>
      <vt:variant>
        <vt:lpwstr>_Toc473030812</vt:lpwstr>
      </vt:variant>
      <vt:variant>
        <vt:i4>1114172</vt:i4>
      </vt:variant>
      <vt:variant>
        <vt:i4>56</vt:i4>
      </vt:variant>
      <vt:variant>
        <vt:i4>0</vt:i4>
      </vt:variant>
      <vt:variant>
        <vt:i4>5</vt:i4>
      </vt:variant>
      <vt:variant>
        <vt:lpwstr/>
      </vt:variant>
      <vt:variant>
        <vt:lpwstr>_Toc473030811</vt:lpwstr>
      </vt:variant>
      <vt:variant>
        <vt:i4>1114172</vt:i4>
      </vt:variant>
      <vt:variant>
        <vt:i4>50</vt:i4>
      </vt:variant>
      <vt:variant>
        <vt:i4>0</vt:i4>
      </vt:variant>
      <vt:variant>
        <vt:i4>5</vt:i4>
      </vt:variant>
      <vt:variant>
        <vt:lpwstr/>
      </vt:variant>
      <vt:variant>
        <vt:lpwstr>_Toc473030810</vt:lpwstr>
      </vt:variant>
      <vt:variant>
        <vt:i4>1048636</vt:i4>
      </vt:variant>
      <vt:variant>
        <vt:i4>44</vt:i4>
      </vt:variant>
      <vt:variant>
        <vt:i4>0</vt:i4>
      </vt:variant>
      <vt:variant>
        <vt:i4>5</vt:i4>
      </vt:variant>
      <vt:variant>
        <vt:lpwstr/>
      </vt:variant>
      <vt:variant>
        <vt:lpwstr>_Toc473030809</vt:lpwstr>
      </vt:variant>
      <vt:variant>
        <vt:i4>1048636</vt:i4>
      </vt:variant>
      <vt:variant>
        <vt:i4>38</vt:i4>
      </vt:variant>
      <vt:variant>
        <vt:i4>0</vt:i4>
      </vt:variant>
      <vt:variant>
        <vt:i4>5</vt:i4>
      </vt:variant>
      <vt:variant>
        <vt:lpwstr/>
      </vt:variant>
      <vt:variant>
        <vt:lpwstr>_Toc473030808</vt:lpwstr>
      </vt:variant>
      <vt:variant>
        <vt:i4>1048636</vt:i4>
      </vt:variant>
      <vt:variant>
        <vt:i4>32</vt:i4>
      </vt:variant>
      <vt:variant>
        <vt:i4>0</vt:i4>
      </vt:variant>
      <vt:variant>
        <vt:i4>5</vt:i4>
      </vt:variant>
      <vt:variant>
        <vt:lpwstr/>
      </vt:variant>
      <vt:variant>
        <vt:lpwstr>_Toc473030807</vt:lpwstr>
      </vt:variant>
      <vt:variant>
        <vt:i4>1048636</vt:i4>
      </vt:variant>
      <vt:variant>
        <vt:i4>26</vt:i4>
      </vt:variant>
      <vt:variant>
        <vt:i4>0</vt:i4>
      </vt:variant>
      <vt:variant>
        <vt:i4>5</vt:i4>
      </vt:variant>
      <vt:variant>
        <vt:lpwstr/>
      </vt:variant>
      <vt:variant>
        <vt:lpwstr>_Toc473030806</vt:lpwstr>
      </vt:variant>
      <vt:variant>
        <vt:i4>1048636</vt:i4>
      </vt:variant>
      <vt:variant>
        <vt:i4>20</vt:i4>
      </vt:variant>
      <vt:variant>
        <vt:i4>0</vt:i4>
      </vt:variant>
      <vt:variant>
        <vt:i4>5</vt:i4>
      </vt:variant>
      <vt:variant>
        <vt:lpwstr/>
      </vt:variant>
      <vt:variant>
        <vt:lpwstr>_Toc473030805</vt:lpwstr>
      </vt:variant>
      <vt:variant>
        <vt:i4>1048636</vt:i4>
      </vt:variant>
      <vt:variant>
        <vt:i4>14</vt:i4>
      </vt:variant>
      <vt:variant>
        <vt:i4>0</vt:i4>
      </vt:variant>
      <vt:variant>
        <vt:i4>5</vt:i4>
      </vt:variant>
      <vt:variant>
        <vt:lpwstr/>
      </vt:variant>
      <vt:variant>
        <vt:lpwstr>_Toc473030804</vt:lpwstr>
      </vt:variant>
      <vt:variant>
        <vt:i4>1048636</vt:i4>
      </vt:variant>
      <vt:variant>
        <vt:i4>8</vt:i4>
      </vt:variant>
      <vt:variant>
        <vt:i4>0</vt:i4>
      </vt:variant>
      <vt:variant>
        <vt:i4>5</vt:i4>
      </vt:variant>
      <vt:variant>
        <vt:lpwstr/>
      </vt:variant>
      <vt:variant>
        <vt:lpwstr>_Toc473030803</vt:lpwstr>
      </vt:variant>
      <vt:variant>
        <vt:i4>1048636</vt:i4>
      </vt:variant>
      <vt:variant>
        <vt:i4>2</vt:i4>
      </vt:variant>
      <vt:variant>
        <vt:i4>0</vt:i4>
      </vt:variant>
      <vt:variant>
        <vt:i4>5</vt:i4>
      </vt:variant>
      <vt:variant>
        <vt:lpwstr/>
      </vt:variant>
      <vt:variant>
        <vt:lpwstr>_Toc473030802</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 Sze Wei</dc:creator>
  <cp:keywords/>
  <dc:description/>
  <cp:lastModifiedBy>Chan Sze Wei</cp:lastModifiedBy>
  <cp:revision>11</cp:revision>
  <cp:lastPrinted>2019-01-29T09:08:00Z</cp:lastPrinted>
  <dcterms:created xsi:type="dcterms:W3CDTF">2026-02-02T02:40:00Z</dcterms:created>
  <dcterms:modified xsi:type="dcterms:W3CDTF">2026-02-02T03:31:00Z</dcterms:modified>
</cp:coreProperties>
</file>