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3F12A" w14:textId="75E1D98D" w:rsidR="00E423E4" w:rsidRDefault="00764A28" w:rsidP="00764A28">
      <w:pPr>
        <w:pStyle w:val="CILTitle"/>
      </w:pPr>
      <w:r>
        <w:t xml:space="preserve">2025 CHAIRMAN’S STATEMENT OF THE </w:t>
      </w:r>
      <w:r>
        <w:br/>
        <w:t>22ND ASEAN-INDIA SUMMIT</w:t>
      </w:r>
    </w:p>
    <w:p w14:paraId="173F3EB8" w14:textId="107DE062" w:rsidR="00DF288A" w:rsidRDefault="00175375" w:rsidP="00764A28">
      <w:pPr>
        <w:pStyle w:val="CILSubtitle"/>
      </w:pPr>
      <w:r>
        <w:t>Issued</w:t>
      </w:r>
      <w:r w:rsidR="00CD6026">
        <w:t xml:space="preserve"> in </w:t>
      </w:r>
      <w:r w:rsidR="00764A28">
        <w:t>Kuala Lumpur, Malaysia on 26 October 2025</w:t>
      </w:r>
    </w:p>
    <w:p w14:paraId="52E01131" w14:textId="77777777" w:rsidR="00764A28" w:rsidRDefault="00764A28" w:rsidP="00764A28">
      <w:pPr>
        <w:pStyle w:val="CILSubtitle"/>
      </w:pPr>
    </w:p>
    <w:p w14:paraId="0DEAD5D3" w14:textId="77777777" w:rsidR="00764A28" w:rsidRDefault="00764A28" w:rsidP="00764A28">
      <w:pPr>
        <w:numPr>
          <w:ilvl w:val="0"/>
          <w:numId w:val="13"/>
        </w:numPr>
        <w:spacing w:before="0" w:after="285" w:line="271" w:lineRule="auto"/>
      </w:pPr>
      <w:r>
        <w:t>The 22</w:t>
      </w:r>
      <w:r>
        <w:rPr>
          <w:vertAlign w:val="superscript"/>
        </w:rPr>
        <w:t xml:space="preserve">nd </w:t>
      </w:r>
      <w:r>
        <w:t xml:space="preserve">ASEAN-India Summit was held on 26 October 2025, in Kuala Lumpur, Malaysia. The Summit was chaired by The </w:t>
      </w:r>
      <w:proofErr w:type="spellStart"/>
      <w:r>
        <w:t>Honourable</w:t>
      </w:r>
      <w:proofErr w:type="spellEnd"/>
      <w:r>
        <w:t xml:space="preserve"> Dato’ Seri Anwar Ibrahim, Prime Minister of Malaysia and the Chair of ASEAN. The Summit was attended by ASEAN Member States and Hon. Narendra Modi, Prime Minister of the Republic of India. The Secretary-General of ASEAN was also in attendance.  </w:t>
      </w:r>
    </w:p>
    <w:p w14:paraId="0519BF7F" w14:textId="77777777" w:rsidR="00764A28" w:rsidRDefault="00764A28" w:rsidP="00764A28">
      <w:pPr>
        <w:numPr>
          <w:ilvl w:val="0"/>
          <w:numId w:val="13"/>
        </w:numPr>
        <w:spacing w:before="0" w:after="246" w:line="271" w:lineRule="auto"/>
      </w:pPr>
      <w:r>
        <w:t xml:space="preserve">We reiterated our support for Malaysia’s ASEAN Chairmanship under the theme “Inclusivity and Sustainability,” which reaffirms ASEAN's commitment towards strengthening regional peace, stability, and prosperity through inclusive, sustainable, and future-oriented ASEAN Community-building efforts. The theme is also reflected in our shared cooperation between ASEAN and India. </w:t>
      </w:r>
    </w:p>
    <w:p w14:paraId="47D41552" w14:textId="77777777" w:rsidR="00764A28" w:rsidRDefault="00764A28" w:rsidP="00764A28">
      <w:pPr>
        <w:numPr>
          <w:ilvl w:val="0"/>
          <w:numId w:val="13"/>
        </w:numPr>
        <w:spacing w:before="0" w:after="246" w:line="271" w:lineRule="auto"/>
      </w:pPr>
      <w:r>
        <w:t xml:space="preserve">We welcomed the adoption by the ASEAN Leaders of the </w:t>
      </w:r>
      <w:r>
        <w:rPr>
          <w:rFonts w:eastAsia="Arial" w:cs="Arial"/>
          <w:i/>
        </w:rPr>
        <w:t>ASEAN 2045: Our Shared Future</w:t>
      </w:r>
      <w:r>
        <w:t xml:space="preserve"> at the 46</w:t>
      </w:r>
      <w:r>
        <w:rPr>
          <w:vertAlign w:val="superscript"/>
        </w:rPr>
        <w:t>th</w:t>
      </w:r>
      <w:r>
        <w:t xml:space="preserve"> ASEAN Summit, which will guide ASEAN Community building efforts in the next 20 years. We welcomed India’s support to ASEAN Community building through concrete activities to </w:t>
      </w:r>
      <w:proofErr w:type="spellStart"/>
      <w:r>
        <w:t>realise</w:t>
      </w:r>
      <w:proofErr w:type="spellEnd"/>
      <w:r>
        <w:t xml:space="preserve"> the </w:t>
      </w:r>
      <w:r>
        <w:rPr>
          <w:rFonts w:eastAsia="Arial" w:cs="Arial"/>
          <w:i/>
        </w:rPr>
        <w:t>ASEAN 2045: Our Shared Future</w:t>
      </w:r>
      <w:r>
        <w:t xml:space="preserve">. We reaffirmed support for the work of the relevant ASEAN Sectoral Bodies and ASEAN-led mechanisms and agreed that future cooperation with external partners will also be anchored on the </w:t>
      </w:r>
      <w:r>
        <w:rPr>
          <w:rFonts w:eastAsia="Arial" w:cs="Arial"/>
          <w:i/>
        </w:rPr>
        <w:t>ASEAN 2045: Our Shared Future</w:t>
      </w:r>
      <w:r>
        <w:t xml:space="preserve">.  </w:t>
      </w:r>
    </w:p>
    <w:p w14:paraId="2E42CEBF" w14:textId="77777777" w:rsidR="00764A28" w:rsidRDefault="00764A28" w:rsidP="00764A28">
      <w:pPr>
        <w:numPr>
          <w:ilvl w:val="0"/>
          <w:numId w:val="13"/>
        </w:numPr>
        <w:spacing w:before="0" w:after="246" w:line="271" w:lineRule="auto"/>
      </w:pPr>
      <w:r>
        <w:t xml:space="preserve">We noted the full implementation of the ASEAN-India Plan of Action to Implement the ASEAN-India Partnership for Peace, Progress and Shared Prosperity (2021-2025), and its Annex. We encouraged ASEAN and India to further </w:t>
      </w:r>
      <w:proofErr w:type="spellStart"/>
      <w:r>
        <w:t>maximise</w:t>
      </w:r>
      <w:proofErr w:type="spellEnd"/>
      <w:r>
        <w:t xml:space="preserve"> efforts in fully implementing the activities under the Annex and other existing initiatives with ASEAN, to further advance the Comprehensive Strategic Partnership (CSP).  </w:t>
      </w:r>
    </w:p>
    <w:p w14:paraId="73ACA385" w14:textId="6C03A974" w:rsidR="00764A28" w:rsidRDefault="00764A28" w:rsidP="00764A28">
      <w:pPr>
        <w:numPr>
          <w:ilvl w:val="0"/>
          <w:numId w:val="13"/>
        </w:numPr>
        <w:spacing w:before="0" w:after="4" w:line="271" w:lineRule="auto"/>
      </w:pPr>
      <w:r>
        <w:t xml:space="preserve">We welcomed the adoption of the Plan of Action to Implement ASEAN-India CSP 2026-2030 at the ASEAN Post-Ministerial Conference (PMC) with India on 10 July 2025 and looked forward to the effective implementation of the new POA, which will guide both sides in </w:t>
      </w:r>
      <w:proofErr w:type="spellStart"/>
      <w:r>
        <w:t>realising</w:t>
      </w:r>
      <w:proofErr w:type="spellEnd"/>
      <w:r>
        <w:t xml:space="preserve"> the full potential of the ASEAN-India CSP over the next five years.  </w:t>
      </w:r>
    </w:p>
    <w:p w14:paraId="0E1B51C3" w14:textId="77777777" w:rsidR="00764A28" w:rsidRDefault="00764A28" w:rsidP="00764A28">
      <w:pPr>
        <w:spacing w:before="0" w:after="4" w:line="271" w:lineRule="auto"/>
        <w:ind w:left="720"/>
      </w:pPr>
    </w:p>
    <w:p w14:paraId="410A261E" w14:textId="3107606F" w:rsidR="00764A28" w:rsidRDefault="00764A28" w:rsidP="00764A28">
      <w:pPr>
        <w:numPr>
          <w:ilvl w:val="0"/>
          <w:numId w:val="13"/>
        </w:numPr>
        <w:spacing w:before="0" w:after="285" w:line="271" w:lineRule="auto"/>
      </w:pPr>
      <w:r>
        <w:t>We appreciated India’s long-standing partnership in promoting peace, stability and prosperity in the region and its strong commitment to upholding ASEAN Centrality and ASEAN-led mechanisms and fora. We looked forward to further strengthening practical cooperation with India, including in the four priority areas identified in the ASEAN Outlook on the Indo-Pacific (AOIP) and India’s Indo-Pacific Oceans Initiative</w:t>
      </w:r>
      <w:r>
        <w:rPr>
          <w:rFonts w:eastAsia="Arial" w:cs="Arial"/>
          <w:b/>
          <w:color w:val="C00000"/>
        </w:rPr>
        <w:t xml:space="preserve"> </w:t>
      </w:r>
      <w:r>
        <w:t xml:space="preserve">through ASEAN-led mechanisms and in implementing ASEAN-India Joint Statements adopted at the previous ASEAN-India Summits. </w:t>
      </w:r>
    </w:p>
    <w:p w14:paraId="6DF0624B" w14:textId="1625A37F" w:rsidR="00764A28" w:rsidRDefault="00764A28" w:rsidP="00764A28">
      <w:pPr>
        <w:numPr>
          <w:ilvl w:val="0"/>
          <w:numId w:val="13"/>
        </w:numPr>
        <w:spacing w:before="0" w:after="23" w:line="271" w:lineRule="auto"/>
      </w:pPr>
      <w:r>
        <w:t xml:space="preserve">We valued India’s active participation and its notable contributions to ASEAN-led mechanisms such as the East Asia Summit (EAS), ASEAN Regional Forum (ARF), ASEAN </w:t>
      </w:r>
      <w:proofErr w:type="spellStart"/>
      <w:r>
        <w:t>Defence</w:t>
      </w:r>
      <w:proofErr w:type="spellEnd"/>
      <w:r>
        <w:t xml:space="preserve"> Ministers’ Meeting Plus (ADMM-Plus) and Expanded ASEAN Maritime Forum (EAMF) as well as in promoting regional cooperation in a number of priority areas, which include peacekeeping, humanitarian assistance and disaster relief, counter-terrorism and transnational crime, </w:t>
      </w:r>
      <w:proofErr w:type="spellStart"/>
      <w:r>
        <w:t>defence</w:t>
      </w:r>
      <w:proofErr w:type="spellEnd"/>
      <w:r>
        <w:t xml:space="preserve">, cyber security and maritime security. We shared India’s view that terrorism remains one of the gravest threats to global peace and security. We reaffirm our determination to combat </w:t>
      </w:r>
      <w:r>
        <w:lastRenderedPageBreak/>
        <w:t xml:space="preserve">terrorism in all its forms and manifestations, whenever and by whomsoever committed. Under the ADMM-Plus, we </w:t>
      </w:r>
      <w:proofErr w:type="spellStart"/>
      <w:r>
        <w:t>recognised</w:t>
      </w:r>
      <w:proofErr w:type="spellEnd"/>
      <w:r>
        <w:t xml:space="preserve"> India’s contribution during its co-chairmanship of the Experts’ Working Group on </w:t>
      </w:r>
      <w:proofErr w:type="gramStart"/>
      <w:r>
        <w:t>Counter-Terrorism</w:t>
      </w:r>
      <w:proofErr w:type="gramEnd"/>
      <w:r>
        <w:t xml:space="preserve"> with Malaysia for the 2024-2027 cycle. Under the EAS, we welcomed the EAS Knowledge Exchange Workshop on Energy Efficiency Policies and Programs – Lifestyle for Environment (</w:t>
      </w:r>
      <w:proofErr w:type="spellStart"/>
      <w:r>
        <w:t>LiFE</w:t>
      </w:r>
      <w:proofErr w:type="spellEnd"/>
      <w:r>
        <w:t xml:space="preserve">) and EAS Conclave of Heads of Higher Education Institutions, hosted by India on 17-19 September 2025.  </w:t>
      </w:r>
    </w:p>
    <w:p w14:paraId="74AA8A34" w14:textId="77777777" w:rsidR="00764A28" w:rsidRDefault="00764A28" w:rsidP="00764A28">
      <w:pPr>
        <w:spacing w:before="0" w:after="23" w:line="271" w:lineRule="auto"/>
        <w:ind w:left="720"/>
      </w:pPr>
    </w:p>
    <w:p w14:paraId="72287E82" w14:textId="48D8C1D1" w:rsidR="00764A28" w:rsidRDefault="00764A28" w:rsidP="00764A28">
      <w:pPr>
        <w:numPr>
          <w:ilvl w:val="0"/>
          <w:numId w:val="13"/>
        </w:numPr>
        <w:spacing w:before="0" w:after="44" w:line="271" w:lineRule="auto"/>
      </w:pPr>
      <w:r>
        <w:t xml:space="preserve">We officially declared the year 2026 as the ASEAN-India Year of Maritime Cooperation. In this connection, we noted that the PMC with India in July 2025 had proposed for ASEAN and India to jointly develop a dynamic work plan to guide the implementation of specific mutually agreed initiatives in 2026 that are in accordance with international law. We agreed to convene the ASEAN-India </w:t>
      </w:r>
      <w:proofErr w:type="spellStart"/>
      <w:r>
        <w:t>Defence</w:t>
      </w:r>
      <w:proofErr w:type="spellEnd"/>
      <w:r>
        <w:t xml:space="preserve"> Ministers’ Informal meeting.</w:t>
      </w:r>
      <w:r w:rsidRPr="00764A28">
        <w:rPr>
          <w:rFonts w:eastAsia="Arial" w:cs="Arial"/>
          <w:b/>
        </w:rPr>
        <w:t xml:space="preserve"> </w:t>
      </w:r>
      <w:r>
        <w:t xml:space="preserve">We also noted India’s proposals to hold a second ASEAN-India Maritime Exercise. We noted that India will </w:t>
      </w:r>
      <w:proofErr w:type="spellStart"/>
      <w:r>
        <w:t>organise</w:t>
      </w:r>
      <w:proofErr w:type="spellEnd"/>
      <w:r>
        <w:t xml:space="preserve"> two activities to strengthen maritime cooperation in the EAS: namely, the 7</w:t>
      </w:r>
      <w:r w:rsidRPr="00764A28">
        <w:rPr>
          <w:vertAlign w:val="superscript"/>
        </w:rPr>
        <w:t>th</w:t>
      </w:r>
      <w:r>
        <w:t xml:space="preserve"> EAS Conference on Maritime Security Cooperation and East Asia Summit Maritime Heritage Festival, to mark the ASEAN-India Year of Maritime Cooperation. </w:t>
      </w:r>
    </w:p>
    <w:p w14:paraId="41D3E6E6" w14:textId="77777777" w:rsidR="00764A28" w:rsidRDefault="00764A28" w:rsidP="00764A28">
      <w:pPr>
        <w:spacing w:before="0" w:after="44" w:line="271" w:lineRule="auto"/>
        <w:ind w:left="720"/>
      </w:pPr>
    </w:p>
    <w:p w14:paraId="168A2BA1" w14:textId="77777777" w:rsidR="00764A28" w:rsidRDefault="00764A28" w:rsidP="00764A28">
      <w:pPr>
        <w:numPr>
          <w:ilvl w:val="0"/>
          <w:numId w:val="13"/>
        </w:numPr>
        <w:spacing w:before="0" w:after="246" w:line="271" w:lineRule="auto"/>
      </w:pPr>
      <w:r>
        <w:t xml:space="preserve">We underscored the importance of India’s continued support to law enforcement cooperation through the ASEAN Plus India Senior Officials Meeting on Transnational Crime (SOMTC + India) Consultation and effective implementation of the SOMTC + India Work Plan on Cooperation to Combat Transnational Crime (2023-2027). We also encouraged India’s continued engagement with ASEAN in combating illicit drugs, particularly under the framework of the ASEAN Senior Officials on Drug Matters (ASOD) + India Consultations. </w:t>
      </w:r>
    </w:p>
    <w:p w14:paraId="37B7C40F" w14:textId="279D35F0" w:rsidR="00764A28" w:rsidRDefault="00764A28" w:rsidP="00764A28">
      <w:pPr>
        <w:numPr>
          <w:ilvl w:val="0"/>
          <w:numId w:val="13"/>
        </w:numPr>
        <w:spacing w:before="0" w:after="246" w:line="271" w:lineRule="auto"/>
      </w:pPr>
      <w:r>
        <w:t xml:space="preserve">We reiterated our shared commitment to further strengthening ASEAN-India economic partnership, including through upholding a predictable, transparent, free, fair, inclusive, sustainable, non-discriminatory, open, and rules-based multilateral trading system with the World Trade </w:t>
      </w:r>
      <w:proofErr w:type="spellStart"/>
      <w:r>
        <w:t>Organisation</w:t>
      </w:r>
      <w:proofErr w:type="spellEnd"/>
      <w:r>
        <w:t xml:space="preserve"> (WTO) at its core.  </w:t>
      </w:r>
    </w:p>
    <w:p w14:paraId="1FE947BF" w14:textId="77777777" w:rsidR="00764A28" w:rsidRDefault="00764A28" w:rsidP="00764A28">
      <w:pPr>
        <w:numPr>
          <w:ilvl w:val="0"/>
          <w:numId w:val="13"/>
        </w:numPr>
        <w:spacing w:before="0" w:after="246" w:line="271" w:lineRule="auto"/>
      </w:pPr>
      <w:r>
        <w:t xml:space="preserve">We </w:t>
      </w:r>
      <w:proofErr w:type="spellStart"/>
      <w:r>
        <w:t>emphasised</w:t>
      </w:r>
      <w:proofErr w:type="spellEnd"/>
      <w:r>
        <w:t xml:space="preserve"> the importance of strengthening ASEAN-India economic relations, and welcome the progress achieved so far in the ongoing negotiations on the Review of the ASEAN-India Trade in Goods Agreement (AITIGA). We encouraged both sides to build on the momentum and to leverage their economic complementarities to make the AITIGA more effective, user-friendly, trade facilitative, and responsive to current global and regional challenges. We looked forward to the timely, substantial, meaningful and mutually beneficial outcomes that enhance the AITIGA’s relevance in the evolving global landscape.  </w:t>
      </w:r>
    </w:p>
    <w:p w14:paraId="53722B20" w14:textId="77777777" w:rsidR="00764A28" w:rsidRDefault="00764A28" w:rsidP="00764A28">
      <w:pPr>
        <w:numPr>
          <w:ilvl w:val="0"/>
          <w:numId w:val="13"/>
        </w:numPr>
        <w:spacing w:before="0" w:after="246" w:line="271" w:lineRule="auto"/>
      </w:pPr>
      <w:r>
        <w:t xml:space="preserve">We welcomed the continued engagement of the ASEAN-India Business Council (AIBC), including its active participation in the ASEAN Economic Ministers consultation. As part of our joint efforts to further promote trade and investment, strengthen engagement with the private sector, and foster business-to-business relations, particularly in support of Micro, Small, Medium-sized Enterprises (MSMEs), we encouraged the AIBC to collaborate closely with the ASEAN Business Advisory Council and looked forward to the AIBC’s proactive role in </w:t>
      </w:r>
      <w:proofErr w:type="spellStart"/>
      <w:r>
        <w:t>organising</w:t>
      </w:r>
      <w:proofErr w:type="spellEnd"/>
      <w:r>
        <w:t xml:space="preserve"> business summits, expos, and trade missions to showcase trade and investment opportunities, facilitate cross-border business linkages, and contribute to inclusive economic growth. </w:t>
      </w:r>
    </w:p>
    <w:p w14:paraId="5DED4211" w14:textId="77777777" w:rsidR="00764A28" w:rsidRDefault="00764A28" w:rsidP="00764A28">
      <w:pPr>
        <w:numPr>
          <w:ilvl w:val="0"/>
          <w:numId w:val="13"/>
        </w:numPr>
        <w:spacing w:before="0" w:after="275" w:line="271" w:lineRule="auto"/>
      </w:pPr>
      <w:r>
        <w:t xml:space="preserve">We commended the implementation of a series of activities to mark 2025 as the ASEAN-India Year of Tourism, including the ASEAN–India Tourism Professionals Exchange </w:t>
      </w:r>
      <w:proofErr w:type="spellStart"/>
      <w:r>
        <w:t>Programme</w:t>
      </w:r>
      <w:proofErr w:type="spellEnd"/>
      <w:r>
        <w:t xml:space="preserve">, ASEAN–India Cruise Dialogue, and ASEAN–India Forum, as well as the successful launch of an ASEAN-India marketing campaign featuring curated travel experiences across ASEAN destinations for Indian </w:t>
      </w:r>
      <w:proofErr w:type="spellStart"/>
      <w:r>
        <w:t>travellers</w:t>
      </w:r>
      <w:proofErr w:type="spellEnd"/>
      <w:r>
        <w:t xml:space="preserve">. We welcomed India's commitment of USD5 million for ASEAN tourism initiatives. We looked forward to the implementation of the Tourism Professionals </w:t>
      </w:r>
      <w:r>
        <w:lastRenderedPageBreak/>
        <w:t xml:space="preserve">Exchange </w:t>
      </w:r>
      <w:proofErr w:type="spellStart"/>
      <w:r>
        <w:t>Programme</w:t>
      </w:r>
      <w:proofErr w:type="spellEnd"/>
      <w:r>
        <w:t xml:space="preserve"> in India and encouraged further collaboration in strengthening ASEAN–India tourism cooperation and promoting meaningful people-to-people exchanges. We agreed to continue building on the spirit of the ASEAN-India Year of Tourism to develop new tourism circuits between ASEAN and India and promote shared cultural heritage.</w:t>
      </w:r>
      <w:r>
        <w:rPr>
          <w:rFonts w:eastAsia="Arial" w:cs="Arial"/>
          <w:b/>
          <w:color w:val="C00000"/>
        </w:rPr>
        <w:t xml:space="preserve"> </w:t>
      </w:r>
      <w:r>
        <w:t xml:space="preserve"> </w:t>
      </w:r>
    </w:p>
    <w:p w14:paraId="720C5F0A" w14:textId="552B061D" w:rsidR="00764A28" w:rsidRDefault="00764A28" w:rsidP="00764A28">
      <w:pPr>
        <w:numPr>
          <w:ilvl w:val="0"/>
          <w:numId w:val="13"/>
        </w:numPr>
        <w:spacing w:before="0" w:after="246" w:line="271" w:lineRule="auto"/>
      </w:pPr>
      <w:r>
        <w:t xml:space="preserve">We adopted the ASEAN-India Joint Leaders’ Statement on Sustainable Tourism and looked forward to the further implementation of activities under the ASEAN-India framework that would further enhance tourism cooperation by leveraging on the successful 2025 ASEAN-India Year of Tourism and ASEAN-India Tourism Work Plan 2023-2027. </w:t>
      </w:r>
    </w:p>
    <w:p w14:paraId="21D78383" w14:textId="057A511A" w:rsidR="00764A28" w:rsidRDefault="00764A28" w:rsidP="00764A28">
      <w:pPr>
        <w:numPr>
          <w:ilvl w:val="0"/>
          <w:numId w:val="13"/>
        </w:numPr>
        <w:spacing w:before="0" w:after="15" w:line="271" w:lineRule="auto"/>
      </w:pPr>
      <w:r>
        <w:t xml:space="preserve">Under science, technology and innovation, we noted the continuation of the ASEAN-India Collaborative R&amp;D (AICRD) </w:t>
      </w:r>
      <w:proofErr w:type="spellStart"/>
      <w:r>
        <w:t>Programme</w:t>
      </w:r>
      <w:proofErr w:type="spellEnd"/>
      <w:r>
        <w:t xml:space="preserve">, ASEAN-India Research Training Fellowship (AIRTF), ASEAN-India Women Scientists’ Conclave, ASEAN-India Grassroots Innovation Forum, ASEAN-India Startup Festival, ASEAN-India Scale Hub, and ASEAN-India Space Cooperation </w:t>
      </w:r>
      <w:proofErr w:type="spellStart"/>
      <w:r>
        <w:t>Programme</w:t>
      </w:r>
      <w:proofErr w:type="spellEnd"/>
      <w:r>
        <w:t xml:space="preserve">. We </w:t>
      </w:r>
      <w:proofErr w:type="spellStart"/>
      <w:r>
        <w:t>emphasised</w:t>
      </w:r>
      <w:proofErr w:type="spellEnd"/>
      <w:r>
        <w:t xml:space="preserve"> continued engagement and looked forward to further strengthening our cooperation through the ASEAN-India Working Group on Science, Technology and Innovation Meeting. </w:t>
      </w:r>
    </w:p>
    <w:p w14:paraId="2D61ED71" w14:textId="77777777" w:rsidR="00764A28" w:rsidRDefault="00764A28" w:rsidP="00764A28">
      <w:pPr>
        <w:spacing w:before="0" w:after="15" w:line="271" w:lineRule="auto"/>
        <w:ind w:left="720"/>
      </w:pPr>
    </w:p>
    <w:p w14:paraId="31ABC80F" w14:textId="500CD694" w:rsidR="00764A28" w:rsidRDefault="00764A28" w:rsidP="00764A28">
      <w:pPr>
        <w:numPr>
          <w:ilvl w:val="0"/>
          <w:numId w:val="13"/>
        </w:numPr>
        <w:spacing w:before="0" w:after="43" w:line="271" w:lineRule="auto"/>
      </w:pPr>
      <w:r>
        <w:t xml:space="preserve">We welcomed the establishment and </w:t>
      </w:r>
      <w:proofErr w:type="spellStart"/>
      <w:r>
        <w:t>operationalisation</w:t>
      </w:r>
      <w:proofErr w:type="spellEnd"/>
      <w:r>
        <w:t xml:space="preserve"> of the ASEAN-India Fund for Digital Future (AIFDF) and commended India’s contribution to the fund, which demonstrates India’s commitment to fostering digital innovation, capacity building and cooperation in the region. We noted the convening of the First ASEAN-India Track 1 Cyber Policy Dialogue in October 2024 and looked forward to the implementation of various projects and activities in the digital sector, which encompass critical areas such as cybersecurity, Internet of Things (IoT), artificial intelligence (AI), and fifth-generation wireless (5G) technologies. We also encouraged India’s continued support for the implementation of the ASEAN Digital Masterplan 2025 towards building a secure, inclusive and future-ready digital society.  </w:t>
      </w:r>
    </w:p>
    <w:p w14:paraId="39EA183C" w14:textId="77777777" w:rsidR="00764A28" w:rsidRDefault="00764A28" w:rsidP="00764A28">
      <w:pPr>
        <w:spacing w:before="0" w:after="43" w:line="271" w:lineRule="auto"/>
        <w:ind w:left="720"/>
      </w:pPr>
    </w:p>
    <w:p w14:paraId="2626B321" w14:textId="77777777" w:rsidR="00764A28" w:rsidRDefault="00764A28" w:rsidP="00764A28">
      <w:pPr>
        <w:numPr>
          <w:ilvl w:val="0"/>
          <w:numId w:val="13"/>
        </w:numPr>
        <w:spacing w:before="0" w:after="246" w:line="271" w:lineRule="auto"/>
      </w:pPr>
      <w:r>
        <w:t xml:space="preserve">We welcomed collaboration </w:t>
      </w:r>
      <w:proofErr w:type="gramStart"/>
      <w:r>
        <w:t>in the area of</w:t>
      </w:r>
      <w:proofErr w:type="gramEnd"/>
      <w:r>
        <w:t xml:space="preserve"> Financial Technology or FinTech, </w:t>
      </w:r>
      <w:proofErr w:type="gramStart"/>
      <w:r>
        <w:t>in order to</w:t>
      </w:r>
      <w:proofErr w:type="gramEnd"/>
      <w:r>
        <w:t xml:space="preserve"> build financial connectivity between India and ASEAN through digital payment, with a view to including the local communities and expanding opportunities for businesses, in bridging the divide across these sectors. In this context, we noted that discussions between ASEAN and India remain ongoing regarding India’s proposal on the establishment of an ASEAN-India Annual Financial Dialogue.  </w:t>
      </w:r>
    </w:p>
    <w:p w14:paraId="35B2BE00" w14:textId="77777777" w:rsidR="00764A28" w:rsidRDefault="00764A28" w:rsidP="00764A28">
      <w:pPr>
        <w:numPr>
          <w:ilvl w:val="0"/>
          <w:numId w:val="13"/>
        </w:numPr>
        <w:spacing w:before="0" w:after="287" w:line="271" w:lineRule="auto"/>
      </w:pPr>
      <w:r>
        <w:t>We noted the progress under the Medium-Term Plan of Action for ASEAN-India Cooperation in Agriculture and Forestry (2021-2025) and looked forward to new project proposals in climate-smart agriculture, information and communication technology application in agriculture, transboundary plant pest and animal disease management, sustainable use of agrochemicals, and regenerative agriculture.</w:t>
      </w:r>
      <w:r>
        <w:rPr>
          <w:rFonts w:eastAsia="Arial" w:cs="Arial"/>
          <w:i/>
        </w:rPr>
        <w:t xml:space="preserve"> </w:t>
      </w:r>
      <w:r>
        <w:t xml:space="preserve"> </w:t>
      </w:r>
    </w:p>
    <w:p w14:paraId="252FC4A4" w14:textId="77777777" w:rsidR="00764A28" w:rsidRDefault="00764A28" w:rsidP="00764A28">
      <w:pPr>
        <w:numPr>
          <w:ilvl w:val="0"/>
          <w:numId w:val="13"/>
        </w:numPr>
        <w:spacing w:before="0" w:after="246" w:line="271" w:lineRule="auto"/>
      </w:pPr>
      <w:r>
        <w:t xml:space="preserve">We encouraged India’s continued support to the implementation of the ASEAN Plan of Action for Energy Cooperation (APAEC) (2026-2030) and the </w:t>
      </w:r>
      <w:proofErr w:type="spellStart"/>
      <w:r>
        <w:t>realisation</w:t>
      </w:r>
      <w:proofErr w:type="spellEnd"/>
      <w:r>
        <w:t xml:space="preserve"> of the ASEAN Power Grid (APG) by 2045, including through continued </w:t>
      </w:r>
      <w:proofErr w:type="spellStart"/>
      <w:r>
        <w:t>utilisation</w:t>
      </w:r>
      <w:proofErr w:type="spellEnd"/>
      <w:r>
        <w:t xml:space="preserve"> of the ASEAN-India Green Fund and ASEAN-India Science &amp; Technology Development Fund (AIGF); and continued promotion of best practices and strengthening of energy regulatory frameworks and technical standards, consistent with the APAEC, as well as technology transfer and capacity building </w:t>
      </w:r>
      <w:proofErr w:type="spellStart"/>
      <w:r>
        <w:t>programmes</w:t>
      </w:r>
      <w:proofErr w:type="spellEnd"/>
      <w:r>
        <w:t xml:space="preserve"> to </w:t>
      </w:r>
      <w:proofErr w:type="spellStart"/>
      <w:r>
        <w:t>realise</w:t>
      </w:r>
      <w:proofErr w:type="spellEnd"/>
      <w:r>
        <w:t xml:space="preserve"> multilateral power trade in the APG</w:t>
      </w:r>
      <w:r>
        <w:rPr>
          <w:rFonts w:eastAsia="Arial" w:cs="Arial"/>
          <w:b/>
          <w:color w:val="00B050"/>
        </w:rPr>
        <w:t xml:space="preserve"> </w:t>
      </w:r>
      <w:r>
        <w:t>and greater integration of renewables into the grid. In support of the APG, we welcomed India’s offer to train four hundred ASEAN professionals on various aspects of renewable energy and grid-related matters.</w:t>
      </w:r>
      <w:r>
        <w:rPr>
          <w:rFonts w:eastAsia="Arial" w:cs="Arial"/>
          <w:b/>
        </w:rPr>
        <w:t xml:space="preserve"> </w:t>
      </w:r>
      <w:r>
        <w:t xml:space="preserve"> </w:t>
      </w:r>
    </w:p>
    <w:p w14:paraId="34979BB9" w14:textId="77777777" w:rsidR="00764A28" w:rsidRDefault="00764A28" w:rsidP="00764A28">
      <w:pPr>
        <w:numPr>
          <w:ilvl w:val="0"/>
          <w:numId w:val="13"/>
        </w:numPr>
        <w:spacing w:before="0" w:after="246" w:line="271" w:lineRule="auto"/>
      </w:pPr>
      <w:r>
        <w:t xml:space="preserve">We appreciated India’s collaboration for the ongoing policy discussion on the feasibility study of the envisaged ASEAN Cultural Heritage List. We acknowledged with appreciation India’s </w:t>
      </w:r>
      <w:r>
        <w:lastRenderedPageBreak/>
        <w:t xml:space="preserve">contribution in promoting ASEAN awareness and identity and in fostering a stronger sense of community through </w:t>
      </w:r>
      <w:r>
        <w:rPr>
          <w:rFonts w:eastAsia="Arial" w:cs="Arial"/>
          <w:i/>
        </w:rPr>
        <w:t>The ASEAN</w:t>
      </w:r>
      <w:r>
        <w:t xml:space="preserve"> Magazine Phase 3.  </w:t>
      </w:r>
    </w:p>
    <w:p w14:paraId="5BFBD932" w14:textId="08EFA505" w:rsidR="00764A28" w:rsidRDefault="00764A28" w:rsidP="00764A28">
      <w:pPr>
        <w:numPr>
          <w:ilvl w:val="0"/>
          <w:numId w:val="13"/>
        </w:numPr>
        <w:spacing w:before="0" w:after="36" w:line="271" w:lineRule="auto"/>
      </w:pPr>
      <w:r>
        <w:t xml:space="preserve">We were pleased to note the successful implementation of the ASEAN-India Media Exchange </w:t>
      </w:r>
      <w:proofErr w:type="spellStart"/>
      <w:r>
        <w:t>Programme</w:t>
      </w:r>
      <w:proofErr w:type="spellEnd"/>
      <w:r>
        <w:t>, ASEAN-India Artists’ Camp and exhibitions, ASEAN-India Music Festival, 8</w:t>
      </w:r>
      <w:r w:rsidRPr="00764A28">
        <w:rPr>
          <w:vertAlign w:val="superscript"/>
        </w:rPr>
        <w:t>th</w:t>
      </w:r>
      <w:r>
        <w:t xml:space="preserve"> Roundtable of the ASEAN-India Network of Think Tanks, and 5</w:t>
      </w:r>
      <w:r w:rsidRPr="00764A28">
        <w:rPr>
          <w:vertAlign w:val="superscript"/>
        </w:rPr>
        <w:t>th</w:t>
      </w:r>
      <w:r>
        <w:t xml:space="preserve"> ASEAN-India Youth Summit, as well as the celebration of the 10</w:t>
      </w:r>
      <w:r w:rsidRPr="00764A28">
        <w:rPr>
          <w:vertAlign w:val="superscript"/>
        </w:rPr>
        <w:t>th</w:t>
      </w:r>
      <w:r>
        <w:t xml:space="preserve"> Anniversary of the establishment of the Indian Mission to ASEAN.  </w:t>
      </w:r>
    </w:p>
    <w:p w14:paraId="51D70562" w14:textId="77777777" w:rsidR="00764A28" w:rsidRDefault="00764A28" w:rsidP="00764A28">
      <w:pPr>
        <w:spacing w:before="0" w:after="36" w:line="271" w:lineRule="auto"/>
        <w:ind w:left="720"/>
      </w:pPr>
    </w:p>
    <w:p w14:paraId="67C82B47" w14:textId="53DA70F7" w:rsidR="00764A28" w:rsidRDefault="00764A28" w:rsidP="00764A28">
      <w:pPr>
        <w:numPr>
          <w:ilvl w:val="0"/>
          <w:numId w:val="13"/>
        </w:numPr>
        <w:spacing w:before="0" w:after="246" w:line="271" w:lineRule="auto"/>
      </w:pPr>
      <w:r>
        <w:t xml:space="preserve">We encouraged India’s support for the ASEAN Centre for Climate Change (ACCC) in Brunei Darussalam, and looked forward to cooperation on joint research, analysis and policy developments to achieve the region’s climate-resilient and low-carbon vision between relevant Indian agencies and the ACCC, as well as other relevant ASEAN </w:t>
      </w:r>
      <w:proofErr w:type="spellStart"/>
      <w:r>
        <w:t>centres</w:t>
      </w:r>
      <w:proofErr w:type="spellEnd"/>
      <w:r>
        <w:t xml:space="preserve">, including the ASEAN Centre for Biodiversity (ACB). We also underscored the need to promote cooperation to address transboundary haze pollution, through the implementation of the ASEAN Haze-Free Roadmap (2023-2030), ASEAN Peatland Management Strategy (2023-2030), ASEAN Investment Framework for Haze-Free Sustainable Land Management (2023-2030), collaboration with the ASEAN </w:t>
      </w:r>
      <w:proofErr w:type="spellStart"/>
      <w:r>
        <w:t>Specialised</w:t>
      </w:r>
      <w:proofErr w:type="spellEnd"/>
      <w:r>
        <w:t xml:space="preserve"> Meteorological Centre (ASMC) and partnership for the </w:t>
      </w:r>
      <w:proofErr w:type="spellStart"/>
      <w:r>
        <w:t>operationalisation</w:t>
      </w:r>
      <w:proofErr w:type="spellEnd"/>
      <w:r>
        <w:t xml:space="preserve"> of the ASEAN Coordinating Centre for Transboundary Haze Pollution Control (ACC THPC), in the implementation of the ASEAN Agreement on Transboundary Haze Pollution (AATHP). </w:t>
      </w:r>
    </w:p>
    <w:p w14:paraId="05313403" w14:textId="77777777" w:rsidR="00764A28" w:rsidRDefault="00764A28" w:rsidP="00764A28">
      <w:pPr>
        <w:numPr>
          <w:ilvl w:val="0"/>
          <w:numId w:val="13"/>
        </w:numPr>
        <w:spacing w:before="0" w:after="246" w:line="271" w:lineRule="auto"/>
      </w:pPr>
      <w:r>
        <w:t xml:space="preserve">We expressed appreciation for India’s collaboration in the ASEAN education cooperation through the ASEAN-India Network of Universities (AINU) and Scholarship for Students from ASEAN Countries Pursuing Master’s/Post Graduate Diploma at the Nalanda University. We acknowledged with appreciation the launch of the Scholarship for PhD/Masters/Postgraduate Diploma </w:t>
      </w:r>
      <w:proofErr w:type="spellStart"/>
      <w:r>
        <w:t>programmes</w:t>
      </w:r>
      <w:proofErr w:type="spellEnd"/>
      <w:r>
        <w:t xml:space="preserve"> for the academic year 2024 / 2025.   We noted India’s proposal for the establishment of the Centre for Southeast Asian Studies at the Nalanda University.  </w:t>
      </w:r>
    </w:p>
    <w:p w14:paraId="49385815" w14:textId="701FE0C2" w:rsidR="00764A28" w:rsidRDefault="00764A28" w:rsidP="00764A28">
      <w:pPr>
        <w:numPr>
          <w:ilvl w:val="0"/>
          <w:numId w:val="13"/>
        </w:numPr>
        <w:spacing w:before="0" w:after="57" w:line="271" w:lineRule="auto"/>
      </w:pPr>
      <w:r>
        <w:t xml:space="preserve">We appreciated collaboration in advancing shared health priorities and noted India’s interest in establishing a regular ASEAN-India Health Ministers’ Meeting. We further appreciated India’s ongoing initiative on “Inviting Representatives from ASEAN Member States to Annual National Cancer Grid Meeting (5 Years).”  </w:t>
      </w:r>
    </w:p>
    <w:p w14:paraId="6D643AA8" w14:textId="77777777" w:rsidR="00764A28" w:rsidRDefault="00764A28" w:rsidP="00764A28">
      <w:pPr>
        <w:spacing w:before="0" w:after="57" w:line="271" w:lineRule="auto"/>
        <w:ind w:left="720"/>
      </w:pPr>
    </w:p>
    <w:p w14:paraId="1197F9CB" w14:textId="77777777" w:rsidR="00764A28" w:rsidRDefault="00764A28" w:rsidP="00764A28">
      <w:pPr>
        <w:numPr>
          <w:ilvl w:val="0"/>
          <w:numId w:val="13"/>
        </w:numPr>
        <w:spacing w:before="0" w:after="246" w:line="271" w:lineRule="auto"/>
      </w:pPr>
      <w:r>
        <w:t xml:space="preserve">We welcomed India’s cooperation in promoting inclusive and adaptive social protection through the advancement of gender equality and empowerment of all women and girls, as well as the promotion of the rights and welfare of children, persons with disabilities and older persons. We looked forward to India’s active partnership for experience exchanges in shaping ASEAN’s social protection systems that are future-ready and shock-responsive towards building resilience of the most vulnerable populations in the region.   </w:t>
      </w:r>
    </w:p>
    <w:p w14:paraId="0E56A443" w14:textId="77777777" w:rsidR="00764A28" w:rsidRDefault="00764A28" w:rsidP="00764A28">
      <w:pPr>
        <w:numPr>
          <w:ilvl w:val="0"/>
          <w:numId w:val="13"/>
        </w:numPr>
        <w:spacing w:before="0" w:after="269" w:line="271" w:lineRule="auto"/>
      </w:pPr>
      <w:r>
        <w:t>We encouraged strengthened disaster management cooperation, including through the implementation of the Memorandum of Intent between the ASEAN Coordinating Centre for Humanitarian Assistance on disaster management (AHA Centre) and the National Disaster Management Authority of India. We appreciated India’s strong support in times of disasters in the region.</w:t>
      </w:r>
      <w:r>
        <w:rPr>
          <w:rFonts w:eastAsia="Arial" w:cs="Arial"/>
          <w:b/>
        </w:rPr>
        <w:t xml:space="preserve"> </w:t>
      </w:r>
      <w:r>
        <w:t xml:space="preserve"> </w:t>
      </w:r>
    </w:p>
    <w:p w14:paraId="2CE844B4" w14:textId="545D2818" w:rsidR="00764A28" w:rsidRDefault="00764A28" w:rsidP="00764A28">
      <w:pPr>
        <w:numPr>
          <w:ilvl w:val="0"/>
          <w:numId w:val="13"/>
        </w:numPr>
        <w:spacing w:before="0" w:after="283" w:line="271" w:lineRule="auto"/>
      </w:pPr>
      <w:r>
        <w:t xml:space="preserve">We welcomed India’s continued support for Timor-Leste and encouraged the continuation of capacity-building </w:t>
      </w:r>
      <w:proofErr w:type="spellStart"/>
      <w:r>
        <w:t>programmes</w:t>
      </w:r>
      <w:proofErr w:type="spellEnd"/>
      <w:r>
        <w:t xml:space="preserve"> and initiatives to assist Timor-Leste’s post-admission efforts in implementing the Roadmap for Timor-</w:t>
      </w:r>
      <w:proofErr w:type="gramStart"/>
      <w:r>
        <w:t>Leste‘</w:t>
      </w:r>
      <w:proofErr w:type="gramEnd"/>
      <w:r>
        <w:t xml:space="preserve">s Full Membership in ASEAN. </w:t>
      </w:r>
    </w:p>
    <w:p w14:paraId="62B2E4F6" w14:textId="77777777" w:rsidR="00764A28" w:rsidRDefault="00764A28" w:rsidP="00764A28">
      <w:pPr>
        <w:spacing w:before="0" w:after="283" w:line="271" w:lineRule="auto"/>
        <w:ind w:left="720"/>
      </w:pPr>
    </w:p>
    <w:p w14:paraId="5A70B41B" w14:textId="3CCD4699" w:rsidR="00764A28" w:rsidRDefault="00764A28" w:rsidP="00764A28">
      <w:pPr>
        <w:numPr>
          <w:ilvl w:val="0"/>
          <w:numId w:val="13"/>
        </w:numPr>
        <w:spacing w:before="0" w:after="30" w:line="271" w:lineRule="auto"/>
      </w:pPr>
      <w:r>
        <w:lastRenderedPageBreak/>
        <w:t xml:space="preserve">We appreciated India’s support for ASEAN’s efforts in narrowing the development gap through the Initiative for ASEAN Integration (IAI), including the continuation of projects initiated under Work Plan III (2016–2020) and their implementation into 2025. We noted that these efforts have contributed to collaboration in digital development, education, scholarships, trade negotiations, and science and technology, among others, and looked forward to further engagement under the IAI Work Plan IV (2021–2025) and the upcoming IAI Work Plan V (2026-2030). We welcomed India’s continued support for ASEAN’s efforts in strengthening sub-regional cooperation, to promote inclusive growth, and sustainable and equitable development across the region. We noted India’s support for CLMV countries through Quick Impact Projects (QIPs) under the Mekong-Ganga Cooperation mechanism and appreciated India’s support of ASEAN’s IAI Work Plan IV and V. We noted the extension of Quick Impact Projects to Timor-Leste for community development.  </w:t>
      </w:r>
    </w:p>
    <w:p w14:paraId="1DB7FE98" w14:textId="77777777" w:rsidR="00764A28" w:rsidRDefault="00764A28" w:rsidP="00764A28">
      <w:pPr>
        <w:spacing w:before="0" w:after="30" w:line="271" w:lineRule="auto"/>
        <w:ind w:left="720"/>
      </w:pPr>
    </w:p>
    <w:p w14:paraId="30BA4933" w14:textId="1851D547" w:rsidR="00764A28" w:rsidRDefault="00764A28" w:rsidP="00764A28">
      <w:pPr>
        <w:numPr>
          <w:ilvl w:val="0"/>
          <w:numId w:val="13"/>
        </w:numPr>
        <w:spacing w:before="0" w:after="246" w:line="271" w:lineRule="auto"/>
      </w:pPr>
      <w:r>
        <w:t xml:space="preserve">We encouraged deeper collaboration to support ASEAN Connectivity, particularly through the implementation of the ASEAN Connectivity Strategic Plan, in alignment with the “Connecting the </w:t>
      </w:r>
      <w:proofErr w:type="spellStart"/>
      <w:r>
        <w:t>Connectivities</w:t>
      </w:r>
      <w:proofErr w:type="spellEnd"/>
      <w:r>
        <w:t>” approach and India’s Act East Policy. We looked forward to the completion of the India-Myanmar-Thailand Trilateral Highway.</w:t>
      </w:r>
      <w:r>
        <w:rPr>
          <w:color w:val="C00000"/>
        </w:rPr>
        <w:t xml:space="preserve"> </w:t>
      </w:r>
    </w:p>
    <w:p w14:paraId="7596F7C0" w14:textId="77777777" w:rsidR="00764A28" w:rsidRDefault="00764A28" w:rsidP="00764A28">
      <w:pPr>
        <w:numPr>
          <w:ilvl w:val="0"/>
          <w:numId w:val="13"/>
        </w:numPr>
        <w:spacing w:before="0" w:after="246" w:line="271" w:lineRule="auto"/>
      </w:pPr>
      <w:r>
        <w:t>We reaffirmed the importance of enhancing synergies between the</w:t>
      </w:r>
      <w:r>
        <w:rPr>
          <w:rFonts w:eastAsia="Arial" w:cs="Arial"/>
          <w:i/>
        </w:rPr>
        <w:t xml:space="preserve"> ASEAN 2045: Our Shared Future</w:t>
      </w:r>
      <w:r>
        <w:t xml:space="preserve"> and the United Nations 2030 Agenda for Sustainable Development, including through the work of the ASEAN Centre for Sustainable Development Studies and Dialogue (ACSDSD).  </w:t>
      </w:r>
    </w:p>
    <w:p w14:paraId="3BAB72DE" w14:textId="77777777" w:rsidR="00764A28" w:rsidRDefault="00764A28" w:rsidP="00764A28">
      <w:pPr>
        <w:numPr>
          <w:ilvl w:val="0"/>
          <w:numId w:val="13"/>
        </w:numPr>
        <w:spacing w:before="0" w:after="246" w:line="271" w:lineRule="auto"/>
      </w:pPr>
      <w:r>
        <w:t xml:space="preserve">We encouraged India to work with ASEAN in supporting other ASEAN </w:t>
      </w:r>
      <w:proofErr w:type="spellStart"/>
      <w:r>
        <w:t>Centres</w:t>
      </w:r>
      <w:proofErr w:type="spellEnd"/>
      <w:r>
        <w:t xml:space="preserve">, such as the ACB, ASEAN Centre for Energy (ACE), ASEAN-Singapore Cybersecurity Centre of Excellence (ACCE), ASEAN Regional Mine Action Center (ARMAC), ASEAN Institute for Peace and Reconciliation (AIPR), and the ADMM Cybersecurity and Information Centre of Excellence (ACICE).  </w:t>
      </w:r>
    </w:p>
    <w:p w14:paraId="3B627AB4" w14:textId="77777777" w:rsidR="00764A28" w:rsidRDefault="00764A28" w:rsidP="00764A28">
      <w:pPr>
        <w:numPr>
          <w:ilvl w:val="0"/>
          <w:numId w:val="13"/>
        </w:numPr>
        <w:spacing w:before="0" w:after="246" w:line="271" w:lineRule="auto"/>
      </w:pPr>
      <w:r>
        <w:t xml:space="preserve">We acknowledged the work of the ASEAN Committee in New Delhi that helps raise awareness of ASEAN and ASEAN-India relations, contributing to advancing the ASEAN-India CSP. </w:t>
      </w:r>
    </w:p>
    <w:p w14:paraId="4C0A0CE1" w14:textId="77777777" w:rsidR="00764A28" w:rsidRDefault="00764A28" w:rsidP="00764A28">
      <w:pPr>
        <w:numPr>
          <w:ilvl w:val="0"/>
          <w:numId w:val="13"/>
        </w:numPr>
        <w:spacing w:before="0" w:after="246" w:line="271" w:lineRule="auto"/>
      </w:pPr>
      <w:r>
        <w:t xml:space="preserve">We reaffirmed the importance of maintaining and promoting peace, security, stability, safety, and freedom of navigation in and overflight above the South China Sea. We reaffirmed the need to enhance mutual trust and confidence, exercise self-restraint in the conduct of activities and pursue peaceful resolution of disputes in accordance with universally </w:t>
      </w:r>
      <w:proofErr w:type="spellStart"/>
      <w:r>
        <w:t>recognised</w:t>
      </w:r>
      <w:proofErr w:type="spellEnd"/>
      <w:r>
        <w:t xml:space="preserve"> principles of international law, including the 1982 UNCLOS.  </w:t>
      </w:r>
    </w:p>
    <w:p w14:paraId="389CE423" w14:textId="77777777" w:rsidR="00764A28" w:rsidRDefault="00764A28" w:rsidP="00764A28">
      <w:pPr>
        <w:numPr>
          <w:ilvl w:val="0"/>
          <w:numId w:val="13"/>
        </w:numPr>
        <w:spacing w:before="0" w:after="246" w:line="271" w:lineRule="auto"/>
      </w:pPr>
      <w:r>
        <w:t xml:space="preserve">In this regard, we underscored the importance of the full and effective implementation of the DOC in its entirety. We welcomed the progress achieved so far in the ongoing negotiations on the Code of Conduct in the South China Sea (COC). In line with the Guidelines for Accelerating the Early Conclusion of an Effective and Substantive Code of Conduct in the South China Sea, we looked forward to the early conclusion of an effective and substantive COC that is in accordance with international law, including the 1982 UNCLOS.  </w:t>
      </w:r>
    </w:p>
    <w:p w14:paraId="75E8E8BB" w14:textId="77777777" w:rsidR="00764A28" w:rsidRDefault="00764A28" w:rsidP="00764A28">
      <w:pPr>
        <w:numPr>
          <w:ilvl w:val="0"/>
          <w:numId w:val="13"/>
        </w:numPr>
        <w:spacing w:before="0" w:after="239" w:line="277" w:lineRule="auto"/>
      </w:pPr>
      <w:r>
        <w:rPr>
          <w:color w:val="212121"/>
        </w:rPr>
        <w:t xml:space="preserve">We </w:t>
      </w:r>
      <w:r>
        <w:t>expressed</w:t>
      </w:r>
      <w:r>
        <w:rPr>
          <w:color w:val="212121"/>
        </w:rPr>
        <w:t xml:space="preserve"> our deep concern over the escalation of conflicts and humanitarian situation in Myanmar and urged progress on the implementation of the ASEAN Five-Point Consensus (5PC). We denounced the continued acts of violence against civilians, public facilities, and civilian infrastructures, and urged all parties involved to take concrete action to immediately halt indiscriminate violence, exercise utmost restraint, ensure the protection and safety of all civilians and civilian infrastructures, and create a conducive environment for the delivery of non-discriminatory humanitarian assistance and inclusive national dialogue. We also welcomed the continued progress in the provision of humanitarian assistance to Myanmar by the AHA Centre. </w:t>
      </w:r>
    </w:p>
    <w:p w14:paraId="03353BDC" w14:textId="77777777" w:rsidR="00764A28" w:rsidRDefault="00764A28" w:rsidP="00764A28">
      <w:pPr>
        <w:numPr>
          <w:ilvl w:val="0"/>
          <w:numId w:val="13"/>
        </w:numPr>
        <w:spacing w:before="0" w:after="239" w:line="277" w:lineRule="auto"/>
      </w:pPr>
      <w:r>
        <w:rPr>
          <w:color w:val="212121"/>
        </w:rPr>
        <w:lastRenderedPageBreak/>
        <w:t xml:space="preserve">We commended the dedicated efforts of H.E. Tan Sri Othman Hashim as the Special Envoy of the ASEAN Chair on Myanmar. In carrying out his mandate, the Special Envoy has actively engaged a wide and diverse range of stakeholders through an inclusive approach, reflecting ASEAN’s commitment to collective efforts in addressing the complex challenges in Myanmar. We looked forward to the deliberation on the proposal for a longer-term role of the ASEAN Special Envoy on Myanmar. </w:t>
      </w:r>
    </w:p>
    <w:p w14:paraId="2C460605" w14:textId="77777777" w:rsidR="00764A28" w:rsidRDefault="00764A28" w:rsidP="00764A28">
      <w:pPr>
        <w:numPr>
          <w:ilvl w:val="0"/>
          <w:numId w:val="13"/>
        </w:numPr>
        <w:spacing w:before="0" w:after="239" w:line="277" w:lineRule="auto"/>
      </w:pPr>
      <w:r>
        <w:rPr>
          <w:color w:val="212121"/>
        </w:rPr>
        <w:t xml:space="preserve">We welcomed the agreement reached between the Islamic Resistance Movement (Hamas) and Israel on the first phase of the Comprehensive Plan to End the Gaza Conflict, announced by United States President Donald J. Trump in Sharm El-Sheikh, Egypt, on 8 October 2025, with a view to achieving a permanent cessation of hostilities. We commended the constructive efforts of the United States of America, Arab Republic of, Egypt, the state of Qatar, the Republic of Türkiye, and other partners in facilitating mediation efforts and the implementation of this comprehensive plan. We call upon all the concerned parties to fully adhere to the agreed terms and urge for its comprehensive implementation. We acknowledge that this development marks a crucial step towards ending the conflict, including preventing further suffering, loss of lives, forced displacement of people, ensuring the release of all hostages and detainees, enabling full withdrawal of the Israeli forces, supporting the reconstruction of Gaza and </w:t>
      </w:r>
      <w:proofErr w:type="spellStart"/>
      <w:r>
        <w:rPr>
          <w:color w:val="212121"/>
        </w:rPr>
        <w:t>realisation</w:t>
      </w:r>
      <w:proofErr w:type="spellEnd"/>
      <w:r>
        <w:rPr>
          <w:color w:val="212121"/>
        </w:rPr>
        <w:t xml:space="preserve"> of the rights to self-determination and statehood for the Palestinian people.</w:t>
      </w:r>
      <w:r>
        <w:rPr>
          <w:rFonts w:eastAsia="Arial" w:cs="Arial"/>
          <w:b/>
          <w:color w:val="00B050"/>
        </w:rPr>
        <w:t xml:space="preserve"> </w:t>
      </w:r>
      <w:r>
        <w:rPr>
          <w:color w:val="00B050"/>
        </w:rPr>
        <w:t xml:space="preserve"> </w:t>
      </w:r>
    </w:p>
    <w:p w14:paraId="1561AFE9" w14:textId="77777777" w:rsidR="00764A28" w:rsidRDefault="00764A28" w:rsidP="00764A28">
      <w:pPr>
        <w:numPr>
          <w:ilvl w:val="0"/>
          <w:numId w:val="13"/>
        </w:numPr>
        <w:spacing w:before="0" w:after="239" w:line="277" w:lineRule="auto"/>
      </w:pPr>
      <w:r>
        <w:rPr>
          <w:color w:val="212121"/>
        </w:rPr>
        <w:t xml:space="preserve">We reaffirmed our strong support for the United Nations Relief and Works Agency for Palestine Refugees in the Near East (UNRWA) in carrying out its mandate. We called for the full resumption of rapid, safe, unimpeded, and sustained humanitarian access to all those in need, including through enhanced capacity at border crossings and sea routes. We urged all parties to the conflict to protect civilians and to abide by international humanitarian and human rights law. We </w:t>
      </w:r>
      <w:proofErr w:type="spellStart"/>
      <w:r>
        <w:rPr>
          <w:color w:val="212121"/>
        </w:rPr>
        <w:t>emphasised</w:t>
      </w:r>
      <w:proofErr w:type="spellEnd"/>
      <w:r>
        <w:rPr>
          <w:color w:val="212121"/>
        </w:rPr>
        <w:t xml:space="preserve"> the urgent need for a ceasefire; the immediate, unimpeded, safe, and sustained delivery of humanitarian assistance to all affected communities – including through the strengthening of UNRWA’s role and mandate – and the immediate commencement of comprehensive reconstruction efforts in Gaza to rebuild lives and restore the dignity of the Palestinian people. </w:t>
      </w:r>
    </w:p>
    <w:p w14:paraId="5FA629B3" w14:textId="77777777" w:rsidR="00764A28" w:rsidRDefault="00764A28" w:rsidP="00764A28">
      <w:pPr>
        <w:numPr>
          <w:ilvl w:val="0"/>
          <w:numId w:val="13"/>
        </w:numPr>
        <w:spacing w:before="0" w:after="239" w:line="277" w:lineRule="auto"/>
      </w:pPr>
      <w:r>
        <w:rPr>
          <w:color w:val="212121"/>
        </w:rPr>
        <w:t xml:space="preserve">We reaffirmed our longstanding support for the inalienable rights of the Palestinian people, including their right to self-determination and to their homeland. In this regard, we urged all parties concerned to work towards a peaceful resolution of the conflict, with a view to </w:t>
      </w:r>
      <w:proofErr w:type="spellStart"/>
      <w:r>
        <w:rPr>
          <w:color w:val="212121"/>
        </w:rPr>
        <w:t>realising</w:t>
      </w:r>
      <w:proofErr w:type="spellEnd"/>
      <w:r>
        <w:rPr>
          <w:color w:val="212121"/>
        </w:rPr>
        <w:t xml:space="preserve"> a two-State solution in accordance with international law and relevant UNSC and UNGA resolutions, including UNGA Resolution A/RES/ES-10/23 on the Admission of New Members to the United Nations (10 May 2024) and UNGA Decision A/DEC/80/506 on the Endorsement of the New York Declaration on the Peaceful Settlement of the Question of Palestine and the Implementation of the Two-State Solution (12 September 2025), both of which we supported. We also welcomed the Advisory Opinions of the International Court of Justice (ICJ) on the question of Palestine, including on The Obligations of Israel in relation to the Presence and Activities of the United Nations, Other International </w:t>
      </w:r>
      <w:proofErr w:type="spellStart"/>
      <w:r>
        <w:rPr>
          <w:color w:val="212121"/>
        </w:rPr>
        <w:t>Organisations</w:t>
      </w:r>
      <w:proofErr w:type="spellEnd"/>
      <w:r>
        <w:rPr>
          <w:color w:val="212121"/>
        </w:rPr>
        <w:t xml:space="preserve"> and Third States in and in relation to the Occupied Palestinian Territory, issued on 22 October 2025. </w:t>
      </w:r>
    </w:p>
    <w:p w14:paraId="7055D562" w14:textId="44A60D3A" w:rsidR="00974D05" w:rsidRDefault="00764A28" w:rsidP="00764A28">
      <w:pPr>
        <w:numPr>
          <w:ilvl w:val="0"/>
          <w:numId w:val="13"/>
        </w:numPr>
        <w:spacing w:before="0" w:after="239" w:line="277" w:lineRule="auto"/>
      </w:pPr>
      <w:r>
        <w:rPr>
          <w:color w:val="212121"/>
        </w:rPr>
        <w:t xml:space="preserve">We noted with deep concern the proliferation of online scam syndicates in the region and reaffirmed our commitment to strengthening cooperation, including through information sharing and capacity building, to effectively combat cybercrime and online scams. </w:t>
      </w:r>
    </w:p>
    <w:p w14:paraId="27E807D0" w14:textId="77777777" w:rsidR="00DF288A" w:rsidRPr="00E423E4" w:rsidRDefault="00DF288A" w:rsidP="00CD6026">
      <w:pPr>
        <w:spacing w:before="0" w:after="0"/>
      </w:pPr>
    </w:p>
    <w:sectPr w:rsidR="00DF288A" w:rsidRPr="00E423E4" w:rsidSect="00F61B4F">
      <w:headerReference w:type="default" r:id="rId8"/>
      <w:footerReference w:type="default" r:id="rId9"/>
      <w:footerReference w:type="first" r:id="rId10"/>
      <w:footnotePr>
        <w:numRestart w:val="eachPage"/>
      </w:footnotePr>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ABFAB" w14:textId="77777777" w:rsidR="00873698" w:rsidRDefault="00873698" w:rsidP="00F61B4F">
      <w:pPr>
        <w:spacing w:before="0" w:after="0" w:line="240" w:lineRule="auto"/>
      </w:pPr>
      <w:r>
        <w:separator/>
      </w:r>
    </w:p>
  </w:endnote>
  <w:endnote w:type="continuationSeparator" w:id="0">
    <w:p w14:paraId="53137285" w14:textId="77777777" w:rsidR="00873698" w:rsidRDefault="00873698" w:rsidP="00F61B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FE2C" w14:textId="77777777" w:rsidR="00B532E2" w:rsidRDefault="00B532E2" w:rsidP="00F61B4F">
    <w:pPr>
      <w:pStyle w:val="Footer"/>
      <w:tabs>
        <w:tab w:val="clear" w:pos="9360"/>
        <w:tab w:val="right" w:pos="8931"/>
      </w:tabs>
      <w:jc w:val="right"/>
    </w:pPr>
  </w:p>
  <w:p w14:paraId="28D89B47"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r>
    <w:r w:rsidRPr="004943C3">
      <w:rPr>
        <w:rFonts w:cs="Arial"/>
        <w:color w:val="7F7F7F"/>
        <w:sz w:val="16"/>
        <w:szCs w:val="16"/>
      </w:rPr>
      <w:t xml:space="preserve">     Page </w:t>
    </w:r>
    <w:r w:rsidRPr="004943C3">
      <w:rPr>
        <w:rFonts w:cs="Arial"/>
        <w:color w:val="7F7F7F"/>
        <w:sz w:val="16"/>
        <w:szCs w:val="16"/>
      </w:rPr>
      <w:fldChar w:fldCharType="begin"/>
    </w:r>
    <w:r w:rsidRPr="004943C3">
      <w:rPr>
        <w:rFonts w:cs="Arial"/>
        <w:color w:val="7F7F7F"/>
        <w:sz w:val="16"/>
        <w:szCs w:val="16"/>
      </w:rPr>
      <w:instrText xml:space="preserve"> PAGE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r w:rsidRPr="004943C3">
      <w:rPr>
        <w:rFonts w:cs="Arial"/>
        <w:color w:val="7F7F7F"/>
        <w:sz w:val="16"/>
        <w:szCs w:val="16"/>
      </w:rPr>
      <w:t xml:space="preserve"> of </w:t>
    </w:r>
    <w:r w:rsidRPr="004943C3">
      <w:rPr>
        <w:rFonts w:cs="Arial"/>
        <w:color w:val="7F7F7F"/>
        <w:sz w:val="16"/>
        <w:szCs w:val="16"/>
      </w:rPr>
      <w:fldChar w:fldCharType="begin"/>
    </w:r>
    <w:r w:rsidRPr="004943C3">
      <w:rPr>
        <w:rFonts w:cs="Arial"/>
        <w:color w:val="7F7F7F"/>
        <w:sz w:val="16"/>
        <w:szCs w:val="16"/>
      </w:rPr>
      <w:instrText xml:space="preserve"> NUMPAGES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03D97" w14:textId="77777777" w:rsidR="00B532E2" w:rsidRDefault="00B532E2" w:rsidP="00F61B4F">
    <w:pPr>
      <w:pStyle w:val="Footer"/>
      <w:tabs>
        <w:tab w:val="clear" w:pos="9360"/>
        <w:tab w:val="right" w:pos="8931"/>
      </w:tabs>
      <w:jc w:val="right"/>
    </w:pPr>
  </w:p>
  <w:p w14:paraId="53779B27"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682C7" w14:textId="77777777" w:rsidR="00873698" w:rsidRDefault="00873698" w:rsidP="00F61B4F">
      <w:pPr>
        <w:spacing w:before="0" w:after="0" w:line="240" w:lineRule="auto"/>
      </w:pPr>
      <w:r>
        <w:separator/>
      </w:r>
    </w:p>
  </w:footnote>
  <w:footnote w:type="continuationSeparator" w:id="0">
    <w:p w14:paraId="05D1BD67" w14:textId="77777777" w:rsidR="00873698" w:rsidRDefault="00873698" w:rsidP="00F61B4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EBBC" w14:textId="501366D7" w:rsidR="00B532E2" w:rsidRPr="00CD6026" w:rsidRDefault="00764A28" w:rsidP="00CD6026">
    <w:pPr>
      <w:pStyle w:val="Header"/>
      <w:pBdr>
        <w:bottom w:val="single" w:sz="4" w:space="1" w:color="auto"/>
      </w:pBdr>
      <w:rPr>
        <w:rFonts w:cs="Arial"/>
        <w:caps/>
        <w:color w:val="808080"/>
        <w:sz w:val="16"/>
        <w:szCs w:val="16"/>
      </w:rPr>
    </w:pPr>
    <w:r>
      <w:rPr>
        <w:rFonts w:cs="Arial"/>
        <w:caps/>
        <w:color w:val="808080"/>
        <w:sz w:val="16"/>
        <w:szCs w:val="16"/>
      </w:rPr>
      <w:t>2025 chairman’s statement of 22</w:t>
    </w:r>
    <w:r w:rsidRPr="00764A28">
      <w:rPr>
        <w:rFonts w:cs="Arial"/>
        <w:caps/>
        <w:color w:val="808080"/>
        <w:sz w:val="16"/>
        <w:szCs w:val="16"/>
        <w:vertAlign w:val="superscript"/>
      </w:rPr>
      <w:t>nd</w:t>
    </w:r>
    <w:r>
      <w:rPr>
        <w:rFonts w:cs="Arial"/>
        <w:caps/>
        <w:color w:val="808080"/>
        <w:sz w:val="16"/>
        <w:szCs w:val="16"/>
      </w:rPr>
      <w:t xml:space="preserve"> asean-india summit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80F8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EE31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C06D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CA8DB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72C5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0625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1AB9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DABAA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C686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7291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2490163"/>
    <w:multiLevelType w:val="hybridMultilevel"/>
    <w:tmpl w:val="AD4E188C"/>
    <w:lvl w:ilvl="0" w:tplc="26EA6688">
      <w:start w:val="1"/>
      <w:numFmt w:val="decimal"/>
      <w:lvlText w:val="%1."/>
      <w:lvlJc w:val="left"/>
      <w:pPr>
        <w:ind w:left="6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787ACA">
      <w:start w:val="1"/>
      <w:numFmt w:val="lowerLetter"/>
      <w:lvlText w:val="%2"/>
      <w:lvlJc w:val="left"/>
      <w:pPr>
        <w:ind w:left="10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820980">
      <w:start w:val="1"/>
      <w:numFmt w:val="lowerRoman"/>
      <w:lvlText w:val="%3"/>
      <w:lvlJc w:val="left"/>
      <w:pPr>
        <w:ind w:left="18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487054">
      <w:start w:val="1"/>
      <w:numFmt w:val="decimal"/>
      <w:lvlText w:val="%4"/>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76C5AA">
      <w:start w:val="1"/>
      <w:numFmt w:val="lowerLetter"/>
      <w:lvlText w:val="%5"/>
      <w:lvlJc w:val="left"/>
      <w:pPr>
        <w:ind w:left="3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76C8DC8">
      <w:start w:val="1"/>
      <w:numFmt w:val="lowerRoman"/>
      <w:lvlText w:val="%6"/>
      <w:lvlJc w:val="left"/>
      <w:pPr>
        <w:ind w:left="39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36C8C2">
      <w:start w:val="1"/>
      <w:numFmt w:val="decimal"/>
      <w:lvlText w:val="%7"/>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368358">
      <w:start w:val="1"/>
      <w:numFmt w:val="lowerLetter"/>
      <w:lvlText w:val="%8"/>
      <w:lvlJc w:val="left"/>
      <w:pPr>
        <w:ind w:left="54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20C2732">
      <w:start w:val="1"/>
      <w:numFmt w:val="lowerRoman"/>
      <w:lvlText w:val="%9"/>
      <w:lvlJc w:val="left"/>
      <w:pPr>
        <w:ind w:left="61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7BF4884"/>
    <w:multiLevelType w:val="hybridMultilevel"/>
    <w:tmpl w:val="82EC2BB8"/>
    <w:lvl w:ilvl="0" w:tplc="884C3100">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6B03D2"/>
    <w:multiLevelType w:val="hybridMultilevel"/>
    <w:tmpl w:val="F0A8E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151307"/>
    <w:multiLevelType w:val="hybridMultilevel"/>
    <w:tmpl w:val="46BAC9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6575316">
    <w:abstractNumId w:val="13"/>
  </w:num>
  <w:num w:numId="2" w16cid:durableId="360320398">
    <w:abstractNumId w:val="12"/>
  </w:num>
  <w:num w:numId="3" w16cid:durableId="1365135478">
    <w:abstractNumId w:val="9"/>
  </w:num>
  <w:num w:numId="4" w16cid:durableId="422728191">
    <w:abstractNumId w:val="7"/>
  </w:num>
  <w:num w:numId="5" w16cid:durableId="1791898566">
    <w:abstractNumId w:val="6"/>
  </w:num>
  <w:num w:numId="6" w16cid:durableId="575356698">
    <w:abstractNumId w:val="5"/>
  </w:num>
  <w:num w:numId="7" w16cid:durableId="1771004132">
    <w:abstractNumId w:val="4"/>
  </w:num>
  <w:num w:numId="8" w16cid:durableId="2024550645">
    <w:abstractNumId w:val="8"/>
  </w:num>
  <w:num w:numId="9" w16cid:durableId="1253127530">
    <w:abstractNumId w:val="3"/>
  </w:num>
  <w:num w:numId="10" w16cid:durableId="343827254">
    <w:abstractNumId w:val="2"/>
  </w:num>
  <w:num w:numId="11" w16cid:durableId="538207194">
    <w:abstractNumId w:val="1"/>
  </w:num>
  <w:num w:numId="12" w16cid:durableId="951783813">
    <w:abstractNumId w:val="0"/>
  </w:num>
  <w:num w:numId="13" w16cid:durableId="580409958">
    <w:abstractNumId w:val="11"/>
  </w:num>
  <w:num w:numId="14" w16cid:durableId="188883475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A28"/>
    <w:rsid w:val="00000FB0"/>
    <w:rsid w:val="00002446"/>
    <w:rsid w:val="000043E5"/>
    <w:rsid w:val="00011723"/>
    <w:rsid w:val="00013D73"/>
    <w:rsid w:val="000173F4"/>
    <w:rsid w:val="00022AE1"/>
    <w:rsid w:val="00023AFA"/>
    <w:rsid w:val="00025831"/>
    <w:rsid w:val="000260A8"/>
    <w:rsid w:val="00032218"/>
    <w:rsid w:val="00032623"/>
    <w:rsid w:val="00032C84"/>
    <w:rsid w:val="0003432F"/>
    <w:rsid w:val="00036034"/>
    <w:rsid w:val="00040670"/>
    <w:rsid w:val="00045076"/>
    <w:rsid w:val="00045F9A"/>
    <w:rsid w:val="000460FD"/>
    <w:rsid w:val="00046C7E"/>
    <w:rsid w:val="0005003E"/>
    <w:rsid w:val="00055254"/>
    <w:rsid w:val="00055923"/>
    <w:rsid w:val="00061193"/>
    <w:rsid w:val="00061B8B"/>
    <w:rsid w:val="000627D9"/>
    <w:rsid w:val="00063C84"/>
    <w:rsid w:val="0007234F"/>
    <w:rsid w:val="000768A2"/>
    <w:rsid w:val="000771E0"/>
    <w:rsid w:val="00080879"/>
    <w:rsid w:val="00080FD6"/>
    <w:rsid w:val="00081E70"/>
    <w:rsid w:val="00082260"/>
    <w:rsid w:val="00083FFE"/>
    <w:rsid w:val="000922A6"/>
    <w:rsid w:val="0009558E"/>
    <w:rsid w:val="00097F77"/>
    <w:rsid w:val="000A329C"/>
    <w:rsid w:val="000B02EF"/>
    <w:rsid w:val="000B197F"/>
    <w:rsid w:val="000B335D"/>
    <w:rsid w:val="000C2967"/>
    <w:rsid w:val="000C2977"/>
    <w:rsid w:val="000C2CE8"/>
    <w:rsid w:val="000C49F6"/>
    <w:rsid w:val="000C5A1A"/>
    <w:rsid w:val="000D004B"/>
    <w:rsid w:val="000D31BC"/>
    <w:rsid w:val="000D57EE"/>
    <w:rsid w:val="000D6DF5"/>
    <w:rsid w:val="000D7512"/>
    <w:rsid w:val="000E1719"/>
    <w:rsid w:val="000E1DDB"/>
    <w:rsid w:val="000E2394"/>
    <w:rsid w:val="000E3AD0"/>
    <w:rsid w:val="000F2D66"/>
    <w:rsid w:val="001013AD"/>
    <w:rsid w:val="0010259B"/>
    <w:rsid w:val="00102B66"/>
    <w:rsid w:val="001063A1"/>
    <w:rsid w:val="001077E4"/>
    <w:rsid w:val="00111688"/>
    <w:rsid w:val="0011199A"/>
    <w:rsid w:val="00111A4C"/>
    <w:rsid w:val="0011273D"/>
    <w:rsid w:val="00112A51"/>
    <w:rsid w:val="001142FA"/>
    <w:rsid w:val="001161C0"/>
    <w:rsid w:val="001207E1"/>
    <w:rsid w:val="0012281C"/>
    <w:rsid w:val="00122EC8"/>
    <w:rsid w:val="001246A1"/>
    <w:rsid w:val="001302AA"/>
    <w:rsid w:val="00130E46"/>
    <w:rsid w:val="00133AB9"/>
    <w:rsid w:val="00143BCA"/>
    <w:rsid w:val="00144EA6"/>
    <w:rsid w:val="001450F7"/>
    <w:rsid w:val="00145215"/>
    <w:rsid w:val="001462AA"/>
    <w:rsid w:val="00153722"/>
    <w:rsid w:val="00155142"/>
    <w:rsid w:val="0015683A"/>
    <w:rsid w:val="001648EA"/>
    <w:rsid w:val="001669E3"/>
    <w:rsid w:val="001728AB"/>
    <w:rsid w:val="00172E71"/>
    <w:rsid w:val="00175375"/>
    <w:rsid w:val="00176298"/>
    <w:rsid w:val="0018065C"/>
    <w:rsid w:val="00183009"/>
    <w:rsid w:val="001837BF"/>
    <w:rsid w:val="00183EC5"/>
    <w:rsid w:val="00191FB7"/>
    <w:rsid w:val="00194639"/>
    <w:rsid w:val="0019674F"/>
    <w:rsid w:val="001A0777"/>
    <w:rsid w:val="001A31BD"/>
    <w:rsid w:val="001B572F"/>
    <w:rsid w:val="001C50F5"/>
    <w:rsid w:val="001C7B98"/>
    <w:rsid w:val="001D116B"/>
    <w:rsid w:val="001D2E66"/>
    <w:rsid w:val="001D7F95"/>
    <w:rsid w:val="001E502C"/>
    <w:rsid w:val="001E52A5"/>
    <w:rsid w:val="001F190C"/>
    <w:rsid w:val="001F1AE0"/>
    <w:rsid w:val="001F27F8"/>
    <w:rsid w:val="001F2B50"/>
    <w:rsid w:val="0020032B"/>
    <w:rsid w:val="00200AA3"/>
    <w:rsid w:val="0020147F"/>
    <w:rsid w:val="00202C8A"/>
    <w:rsid w:val="002226CD"/>
    <w:rsid w:val="002238CF"/>
    <w:rsid w:val="00224582"/>
    <w:rsid w:val="00224E12"/>
    <w:rsid w:val="002251FC"/>
    <w:rsid w:val="002423B7"/>
    <w:rsid w:val="00244645"/>
    <w:rsid w:val="00245638"/>
    <w:rsid w:val="0025204F"/>
    <w:rsid w:val="002520E2"/>
    <w:rsid w:val="00256484"/>
    <w:rsid w:val="002566AC"/>
    <w:rsid w:val="00257575"/>
    <w:rsid w:val="00260086"/>
    <w:rsid w:val="00260DE8"/>
    <w:rsid w:val="00262BEE"/>
    <w:rsid w:val="002653B1"/>
    <w:rsid w:val="00274C7A"/>
    <w:rsid w:val="002750EF"/>
    <w:rsid w:val="00275D0D"/>
    <w:rsid w:val="00284792"/>
    <w:rsid w:val="002927F7"/>
    <w:rsid w:val="00294CBA"/>
    <w:rsid w:val="002952DD"/>
    <w:rsid w:val="00297B32"/>
    <w:rsid w:val="002A32A5"/>
    <w:rsid w:val="002A4172"/>
    <w:rsid w:val="002B2294"/>
    <w:rsid w:val="002B31DE"/>
    <w:rsid w:val="002B473E"/>
    <w:rsid w:val="002B5E84"/>
    <w:rsid w:val="002B7265"/>
    <w:rsid w:val="002C506E"/>
    <w:rsid w:val="002C5925"/>
    <w:rsid w:val="002C67E0"/>
    <w:rsid w:val="002D3A06"/>
    <w:rsid w:val="002E0A92"/>
    <w:rsid w:val="002E6283"/>
    <w:rsid w:val="002F1577"/>
    <w:rsid w:val="002F7DA0"/>
    <w:rsid w:val="0030037C"/>
    <w:rsid w:val="00303079"/>
    <w:rsid w:val="003035FA"/>
    <w:rsid w:val="003071F6"/>
    <w:rsid w:val="00311F81"/>
    <w:rsid w:val="00311F88"/>
    <w:rsid w:val="00312FB5"/>
    <w:rsid w:val="003150B5"/>
    <w:rsid w:val="00315409"/>
    <w:rsid w:val="00321387"/>
    <w:rsid w:val="0032159B"/>
    <w:rsid w:val="00321890"/>
    <w:rsid w:val="00325A2D"/>
    <w:rsid w:val="00326D39"/>
    <w:rsid w:val="003316EF"/>
    <w:rsid w:val="0033544F"/>
    <w:rsid w:val="00336CA3"/>
    <w:rsid w:val="003374CC"/>
    <w:rsid w:val="00340339"/>
    <w:rsid w:val="0034084B"/>
    <w:rsid w:val="00343E97"/>
    <w:rsid w:val="003463F9"/>
    <w:rsid w:val="00351FC7"/>
    <w:rsid w:val="00355356"/>
    <w:rsid w:val="003557B3"/>
    <w:rsid w:val="00361211"/>
    <w:rsid w:val="00363CA6"/>
    <w:rsid w:val="00363E88"/>
    <w:rsid w:val="0036654E"/>
    <w:rsid w:val="003762D5"/>
    <w:rsid w:val="00382037"/>
    <w:rsid w:val="00384CCD"/>
    <w:rsid w:val="00386AC0"/>
    <w:rsid w:val="003870B6"/>
    <w:rsid w:val="0039419F"/>
    <w:rsid w:val="003A2096"/>
    <w:rsid w:val="003A2B2D"/>
    <w:rsid w:val="003A2E2D"/>
    <w:rsid w:val="003A36C1"/>
    <w:rsid w:val="003A4607"/>
    <w:rsid w:val="003A46AB"/>
    <w:rsid w:val="003A6709"/>
    <w:rsid w:val="003B1B3D"/>
    <w:rsid w:val="003B5567"/>
    <w:rsid w:val="003C3ABB"/>
    <w:rsid w:val="003C4214"/>
    <w:rsid w:val="003C47FA"/>
    <w:rsid w:val="003C48C1"/>
    <w:rsid w:val="003C696E"/>
    <w:rsid w:val="003C70F3"/>
    <w:rsid w:val="003D49AB"/>
    <w:rsid w:val="003D66C8"/>
    <w:rsid w:val="003D682E"/>
    <w:rsid w:val="003D6E5B"/>
    <w:rsid w:val="003E0C85"/>
    <w:rsid w:val="003E69D4"/>
    <w:rsid w:val="003F148C"/>
    <w:rsid w:val="003F1817"/>
    <w:rsid w:val="0040043F"/>
    <w:rsid w:val="00401F7F"/>
    <w:rsid w:val="00405210"/>
    <w:rsid w:val="00415F9F"/>
    <w:rsid w:val="0042164B"/>
    <w:rsid w:val="0042562D"/>
    <w:rsid w:val="00430AD3"/>
    <w:rsid w:val="00432B9B"/>
    <w:rsid w:val="004410EB"/>
    <w:rsid w:val="0044415C"/>
    <w:rsid w:val="00452091"/>
    <w:rsid w:val="0045262E"/>
    <w:rsid w:val="00453E7C"/>
    <w:rsid w:val="004540DD"/>
    <w:rsid w:val="00454C15"/>
    <w:rsid w:val="00457A36"/>
    <w:rsid w:val="00460285"/>
    <w:rsid w:val="00461169"/>
    <w:rsid w:val="0046281B"/>
    <w:rsid w:val="0046332F"/>
    <w:rsid w:val="00464378"/>
    <w:rsid w:val="00464582"/>
    <w:rsid w:val="004715DF"/>
    <w:rsid w:val="0049074B"/>
    <w:rsid w:val="00495B5C"/>
    <w:rsid w:val="00496452"/>
    <w:rsid w:val="00497AE1"/>
    <w:rsid w:val="004A0B2F"/>
    <w:rsid w:val="004A0D08"/>
    <w:rsid w:val="004A1834"/>
    <w:rsid w:val="004A31A0"/>
    <w:rsid w:val="004A5865"/>
    <w:rsid w:val="004A58EA"/>
    <w:rsid w:val="004B263A"/>
    <w:rsid w:val="004B3D8B"/>
    <w:rsid w:val="004B5A7D"/>
    <w:rsid w:val="004B6693"/>
    <w:rsid w:val="004B7073"/>
    <w:rsid w:val="004B71DD"/>
    <w:rsid w:val="004C2B2B"/>
    <w:rsid w:val="004C33C2"/>
    <w:rsid w:val="004C5E25"/>
    <w:rsid w:val="004D6797"/>
    <w:rsid w:val="004E0ED9"/>
    <w:rsid w:val="004E1378"/>
    <w:rsid w:val="004E1B8D"/>
    <w:rsid w:val="004E2177"/>
    <w:rsid w:val="004F129B"/>
    <w:rsid w:val="004F21D5"/>
    <w:rsid w:val="00504C42"/>
    <w:rsid w:val="00507CA6"/>
    <w:rsid w:val="0051026B"/>
    <w:rsid w:val="00510555"/>
    <w:rsid w:val="0051224B"/>
    <w:rsid w:val="005146E7"/>
    <w:rsid w:val="00516331"/>
    <w:rsid w:val="005177D3"/>
    <w:rsid w:val="00522388"/>
    <w:rsid w:val="00525B71"/>
    <w:rsid w:val="005325F9"/>
    <w:rsid w:val="00532BDE"/>
    <w:rsid w:val="00534217"/>
    <w:rsid w:val="00535BF3"/>
    <w:rsid w:val="00537A67"/>
    <w:rsid w:val="00537D81"/>
    <w:rsid w:val="00541125"/>
    <w:rsid w:val="00545288"/>
    <w:rsid w:val="005627AF"/>
    <w:rsid w:val="00564EBA"/>
    <w:rsid w:val="00565B5D"/>
    <w:rsid w:val="005701D2"/>
    <w:rsid w:val="005706A6"/>
    <w:rsid w:val="0057613A"/>
    <w:rsid w:val="005768A3"/>
    <w:rsid w:val="00581E07"/>
    <w:rsid w:val="005827A5"/>
    <w:rsid w:val="00584C90"/>
    <w:rsid w:val="005865AA"/>
    <w:rsid w:val="0058716E"/>
    <w:rsid w:val="00590C4E"/>
    <w:rsid w:val="0059630D"/>
    <w:rsid w:val="00597551"/>
    <w:rsid w:val="005A0C6D"/>
    <w:rsid w:val="005A384B"/>
    <w:rsid w:val="005A418E"/>
    <w:rsid w:val="005A67CE"/>
    <w:rsid w:val="005A6C1B"/>
    <w:rsid w:val="005B2D91"/>
    <w:rsid w:val="005C087C"/>
    <w:rsid w:val="005C18C4"/>
    <w:rsid w:val="005C46EA"/>
    <w:rsid w:val="005C6ADE"/>
    <w:rsid w:val="005D3068"/>
    <w:rsid w:val="005D5714"/>
    <w:rsid w:val="005D59E8"/>
    <w:rsid w:val="005E0D13"/>
    <w:rsid w:val="005E264A"/>
    <w:rsid w:val="005E2E8D"/>
    <w:rsid w:val="005E6807"/>
    <w:rsid w:val="005F25E1"/>
    <w:rsid w:val="005F5FD1"/>
    <w:rsid w:val="005F6D34"/>
    <w:rsid w:val="00604FC9"/>
    <w:rsid w:val="006056CA"/>
    <w:rsid w:val="006077DA"/>
    <w:rsid w:val="00615E91"/>
    <w:rsid w:val="00617785"/>
    <w:rsid w:val="00620043"/>
    <w:rsid w:val="00624B74"/>
    <w:rsid w:val="0062758C"/>
    <w:rsid w:val="00627B91"/>
    <w:rsid w:val="0064082A"/>
    <w:rsid w:val="00642035"/>
    <w:rsid w:val="0064206B"/>
    <w:rsid w:val="006422D1"/>
    <w:rsid w:val="00646905"/>
    <w:rsid w:val="006477C3"/>
    <w:rsid w:val="006633EA"/>
    <w:rsid w:val="00666445"/>
    <w:rsid w:val="006819D0"/>
    <w:rsid w:val="006829B2"/>
    <w:rsid w:val="00686294"/>
    <w:rsid w:val="006878B4"/>
    <w:rsid w:val="00695153"/>
    <w:rsid w:val="006953EA"/>
    <w:rsid w:val="006A181F"/>
    <w:rsid w:val="006A368A"/>
    <w:rsid w:val="006A5BC7"/>
    <w:rsid w:val="006B0864"/>
    <w:rsid w:val="006B6335"/>
    <w:rsid w:val="006C2FAC"/>
    <w:rsid w:val="006C6203"/>
    <w:rsid w:val="006C6B56"/>
    <w:rsid w:val="006C6EFB"/>
    <w:rsid w:val="006D1637"/>
    <w:rsid w:val="006D2062"/>
    <w:rsid w:val="006D35BA"/>
    <w:rsid w:val="006D61E5"/>
    <w:rsid w:val="006D6826"/>
    <w:rsid w:val="006D6EAA"/>
    <w:rsid w:val="006D6FA4"/>
    <w:rsid w:val="006E03F3"/>
    <w:rsid w:val="006E4F21"/>
    <w:rsid w:val="006E6F86"/>
    <w:rsid w:val="006F231A"/>
    <w:rsid w:val="007009C6"/>
    <w:rsid w:val="00707B16"/>
    <w:rsid w:val="00711FF8"/>
    <w:rsid w:val="00716770"/>
    <w:rsid w:val="00721C1C"/>
    <w:rsid w:val="007231B2"/>
    <w:rsid w:val="0072576B"/>
    <w:rsid w:val="007320B0"/>
    <w:rsid w:val="0073568E"/>
    <w:rsid w:val="00736F98"/>
    <w:rsid w:val="00744927"/>
    <w:rsid w:val="00744A85"/>
    <w:rsid w:val="00751173"/>
    <w:rsid w:val="00751EA6"/>
    <w:rsid w:val="00755A12"/>
    <w:rsid w:val="0075632F"/>
    <w:rsid w:val="0075795E"/>
    <w:rsid w:val="00760BCF"/>
    <w:rsid w:val="00761521"/>
    <w:rsid w:val="00762A99"/>
    <w:rsid w:val="00764A28"/>
    <w:rsid w:val="00776086"/>
    <w:rsid w:val="00787B08"/>
    <w:rsid w:val="007951DD"/>
    <w:rsid w:val="007A006E"/>
    <w:rsid w:val="007A4FC9"/>
    <w:rsid w:val="007A5CE9"/>
    <w:rsid w:val="007B0CD2"/>
    <w:rsid w:val="007B6E2C"/>
    <w:rsid w:val="007B7706"/>
    <w:rsid w:val="007C0404"/>
    <w:rsid w:val="007C158E"/>
    <w:rsid w:val="007C1E9A"/>
    <w:rsid w:val="007C74A6"/>
    <w:rsid w:val="007C7558"/>
    <w:rsid w:val="007D12D8"/>
    <w:rsid w:val="007D197A"/>
    <w:rsid w:val="007D2AC8"/>
    <w:rsid w:val="007D308E"/>
    <w:rsid w:val="007D4CB5"/>
    <w:rsid w:val="007E4920"/>
    <w:rsid w:val="007E7C82"/>
    <w:rsid w:val="007E7FF5"/>
    <w:rsid w:val="007F1538"/>
    <w:rsid w:val="007F2FCB"/>
    <w:rsid w:val="007F5026"/>
    <w:rsid w:val="008016D1"/>
    <w:rsid w:val="00803BE9"/>
    <w:rsid w:val="00812B21"/>
    <w:rsid w:val="00814493"/>
    <w:rsid w:val="008171B7"/>
    <w:rsid w:val="00820B03"/>
    <w:rsid w:val="00821388"/>
    <w:rsid w:val="00822E73"/>
    <w:rsid w:val="00824DAD"/>
    <w:rsid w:val="00824DEF"/>
    <w:rsid w:val="008262AF"/>
    <w:rsid w:val="00841728"/>
    <w:rsid w:val="008419D9"/>
    <w:rsid w:val="0084289A"/>
    <w:rsid w:val="00850873"/>
    <w:rsid w:val="0086274F"/>
    <w:rsid w:val="00863AA4"/>
    <w:rsid w:val="00871D6D"/>
    <w:rsid w:val="00873698"/>
    <w:rsid w:val="00875863"/>
    <w:rsid w:val="008761FC"/>
    <w:rsid w:val="008A2C17"/>
    <w:rsid w:val="008A3A39"/>
    <w:rsid w:val="008A5721"/>
    <w:rsid w:val="008B001D"/>
    <w:rsid w:val="008B0875"/>
    <w:rsid w:val="008B1645"/>
    <w:rsid w:val="008C33B3"/>
    <w:rsid w:val="008C3761"/>
    <w:rsid w:val="008C6A9C"/>
    <w:rsid w:val="008D292D"/>
    <w:rsid w:val="008D3F77"/>
    <w:rsid w:val="008E41DC"/>
    <w:rsid w:val="008E5D7B"/>
    <w:rsid w:val="008E6E93"/>
    <w:rsid w:val="008E7703"/>
    <w:rsid w:val="008F5246"/>
    <w:rsid w:val="008F5F21"/>
    <w:rsid w:val="008F7A5C"/>
    <w:rsid w:val="009052CB"/>
    <w:rsid w:val="00916941"/>
    <w:rsid w:val="009217B0"/>
    <w:rsid w:val="00921DB5"/>
    <w:rsid w:val="00923519"/>
    <w:rsid w:val="00926EA3"/>
    <w:rsid w:val="009303E7"/>
    <w:rsid w:val="00933064"/>
    <w:rsid w:val="00935B08"/>
    <w:rsid w:val="0095406B"/>
    <w:rsid w:val="00956C40"/>
    <w:rsid w:val="00957449"/>
    <w:rsid w:val="00965ACC"/>
    <w:rsid w:val="00966DC7"/>
    <w:rsid w:val="00974D05"/>
    <w:rsid w:val="0098008C"/>
    <w:rsid w:val="00982034"/>
    <w:rsid w:val="00982B34"/>
    <w:rsid w:val="009842E6"/>
    <w:rsid w:val="00991C17"/>
    <w:rsid w:val="00992233"/>
    <w:rsid w:val="009943AE"/>
    <w:rsid w:val="00996773"/>
    <w:rsid w:val="00996953"/>
    <w:rsid w:val="00997244"/>
    <w:rsid w:val="00997B54"/>
    <w:rsid w:val="009A068F"/>
    <w:rsid w:val="009A0BE7"/>
    <w:rsid w:val="009B12F0"/>
    <w:rsid w:val="009B246D"/>
    <w:rsid w:val="009B6256"/>
    <w:rsid w:val="009B7700"/>
    <w:rsid w:val="009B7734"/>
    <w:rsid w:val="009C1F90"/>
    <w:rsid w:val="009C3725"/>
    <w:rsid w:val="009C42E9"/>
    <w:rsid w:val="009C4737"/>
    <w:rsid w:val="009C4D4C"/>
    <w:rsid w:val="009C6AFB"/>
    <w:rsid w:val="009C7121"/>
    <w:rsid w:val="009D1B8A"/>
    <w:rsid w:val="009E21A2"/>
    <w:rsid w:val="009E2828"/>
    <w:rsid w:val="009E4818"/>
    <w:rsid w:val="009E6790"/>
    <w:rsid w:val="009E6EB7"/>
    <w:rsid w:val="009E763F"/>
    <w:rsid w:val="00A0085A"/>
    <w:rsid w:val="00A03EE4"/>
    <w:rsid w:val="00A04D76"/>
    <w:rsid w:val="00A05131"/>
    <w:rsid w:val="00A05490"/>
    <w:rsid w:val="00A05E32"/>
    <w:rsid w:val="00A07327"/>
    <w:rsid w:val="00A12E87"/>
    <w:rsid w:val="00A14655"/>
    <w:rsid w:val="00A149F0"/>
    <w:rsid w:val="00A152B4"/>
    <w:rsid w:val="00A1553E"/>
    <w:rsid w:val="00A16CEA"/>
    <w:rsid w:val="00A21ED9"/>
    <w:rsid w:val="00A25765"/>
    <w:rsid w:val="00A27F6D"/>
    <w:rsid w:val="00A302FE"/>
    <w:rsid w:val="00A32891"/>
    <w:rsid w:val="00A3329A"/>
    <w:rsid w:val="00A359D5"/>
    <w:rsid w:val="00A36EF4"/>
    <w:rsid w:val="00A4466D"/>
    <w:rsid w:val="00A5006A"/>
    <w:rsid w:val="00A551D1"/>
    <w:rsid w:val="00A60DBB"/>
    <w:rsid w:val="00A60F35"/>
    <w:rsid w:val="00A61CFF"/>
    <w:rsid w:val="00A62871"/>
    <w:rsid w:val="00A638C5"/>
    <w:rsid w:val="00A646B8"/>
    <w:rsid w:val="00A7627E"/>
    <w:rsid w:val="00A839BE"/>
    <w:rsid w:val="00A83F8F"/>
    <w:rsid w:val="00A90E8E"/>
    <w:rsid w:val="00A9198C"/>
    <w:rsid w:val="00A94579"/>
    <w:rsid w:val="00A95818"/>
    <w:rsid w:val="00A9590E"/>
    <w:rsid w:val="00AA6452"/>
    <w:rsid w:val="00AA6802"/>
    <w:rsid w:val="00AB26B5"/>
    <w:rsid w:val="00AB38E2"/>
    <w:rsid w:val="00AB6F60"/>
    <w:rsid w:val="00AB7A69"/>
    <w:rsid w:val="00AC1691"/>
    <w:rsid w:val="00AC1CA8"/>
    <w:rsid w:val="00AC4C08"/>
    <w:rsid w:val="00AC7F91"/>
    <w:rsid w:val="00AD7A4B"/>
    <w:rsid w:val="00AE05B5"/>
    <w:rsid w:val="00AE3DEB"/>
    <w:rsid w:val="00AE6181"/>
    <w:rsid w:val="00AE64FF"/>
    <w:rsid w:val="00AF1254"/>
    <w:rsid w:val="00AF5172"/>
    <w:rsid w:val="00AF5D32"/>
    <w:rsid w:val="00B01951"/>
    <w:rsid w:val="00B05254"/>
    <w:rsid w:val="00B05F3A"/>
    <w:rsid w:val="00B0640C"/>
    <w:rsid w:val="00B14396"/>
    <w:rsid w:val="00B173B5"/>
    <w:rsid w:val="00B207F2"/>
    <w:rsid w:val="00B267DC"/>
    <w:rsid w:val="00B308F2"/>
    <w:rsid w:val="00B30DEB"/>
    <w:rsid w:val="00B34B14"/>
    <w:rsid w:val="00B420A0"/>
    <w:rsid w:val="00B456B7"/>
    <w:rsid w:val="00B45912"/>
    <w:rsid w:val="00B51437"/>
    <w:rsid w:val="00B5211D"/>
    <w:rsid w:val="00B52EFE"/>
    <w:rsid w:val="00B532E2"/>
    <w:rsid w:val="00B54E3F"/>
    <w:rsid w:val="00B61944"/>
    <w:rsid w:val="00B62E0A"/>
    <w:rsid w:val="00B6351C"/>
    <w:rsid w:val="00B736A5"/>
    <w:rsid w:val="00B74778"/>
    <w:rsid w:val="00B74FC8"/>
    <w:rsid w:val="00B76163"/>
    <w:rsid w:val="00B8232C"/>
    <w:rsid w:val="00B8350D"/>
    <w:rsid w:val="00B85BB1"/>
    <w:rsid w:val="00B85DB0"/>
    <w:rsid w:val="00B87EA5"/>
    <w:rsid w:val="00B92C1B"/>
    <w:rsid w:val="00B96E99"/>
    <w:rsid w:val="00BA1C72"/>
    <w:rsid w:val="00BA3538"/>
    <w:rsid w:val="00BA4BB4"/>
    <w:rsid w:val="00BA600A"/>
    <w:rsid w:val="00BA7E2B"/>
    <w:rsid w:val="00BB09CD"/>
    <w:rsid w:val="00BB2E42"/>
    <w:rsid w:val="00BB5610"/>
    <w:rsid w:val="00BC5DE2"/>
    <w:rsid w:val="00BD1600"/>
    <w:rsid w:val="00BD2E28"/>
    <w:rsid w:val="00BD36A4"/>
    <w:rsid w:val="00BD3EF7"/>
    <w:rsid w:val="00BE0B41"/>
    <w:rsid w:val="00BE0D36"/>
    <w:rsid w:val="00BE21D1"/>
    <w:rsid w:val="00BE47F3"/>
    <w:rsid w:val="00BE4E55"/>
    <w:rsid w:val="00BF3AB0"/>
    <w:rsid w:val="00BF5BA2"/>
    <w:rsid w:val="00BF7BA5"/>
    <w:rsid w:val="00C0692C"/>
    <w:rsid w:val="00C12E92"/>
    <w:rsid w:val="00C1575D"/>
    <w:rsid w:val="00C22B66"/>
    <w:rsid w:val="00C2709D"/>
    <w:rsid w:val="00C27F88"/>
    <w:rsid w:val="00C33322"/>
    <w:rsid w:val="00C3632D"/>
    <w:rsid w:val="00C436C7"/>
    <w:rsid w:val="00C4584B"/>
    <w:rsid w:val="00C479E0"/>
    <w:rsid w:val="00C539B9"/>
    <w:rsid w:val="00C55B05"/>
    <w:rsid w:val="00C55D41"/>
    <w:rsid w:val="00C573FC"/>
    <w:rsid w:val="00C6101A"/>
    <w:rsid w:val="00C61524"/>
    <w:rsid w:val="00C617E1"/>
    <w:rsid w:val="00C666BA"/>
    <w:rsid w:val="00C73155"/>
    <w:rsid w:val="00C86BF0"/>
    <w:rsid w:val="00C9065C"/>
    <w:rsid w:val="00C90B5B"/>
    <w:rsid w:val="00C91236"/>
    <w:rsid w:val="00C921EF"/>
    <w:rsid w:val="00C92C9D"/>
    <w:rsid w:val="00CA21A1"/>
    <w:rsid w:val="00CA449F"/>
    <w:rsid w:val="00CA540E"/>
    <w:rsid w:val="00CA5A41"/>
    <w:rsid w:val="00CB0C6C"/>
    <w:rsid w:val="00CB2E1A"/>
    <w:rsid w:val="00CB485A"/>
    <w:rsid w:val="00CC2470"/>
    <w:rsid w:val="00CC2F8C"/>
    <w:rsid w:val="00CC449C"/>
    <w:rsid w:val="00CC535D"/>
    <w:rsid w:val="00CD2BE4"/>
    <w:rsid w:val="00CD5CC1"/>
    <w:rsid w:val="00CD6026"/>
    <w:rsid w:val="00CD6EC7"/>
    <w:rsid w:val="00CE087B"/>
    <w:rsid w:val="00CE31C8"/>
    <w:rsid w:val="00CE4330"/>
    <w:rsid w:val="00CE567F"/>
    <w:rsid w:val="00CE59E6"/>
    <w:rsid w:val="00CE7679"/>
    <w:rsid w:val="00CF277F"/>
    <w:rsid w:val="00CF4CBB"/>
    <w:rsid w:val="00D00ACC"/>
    <w:rsid w:val="00D0625E"/>
    <w:rsid w:val="00D07EE1"/>
    <w:rsid w:val="00D13015"/>
    <w:rsid w:val="00D133A2"/>
    <w:rsid w:val="00D13F5C"/>
    <w:rsid w:val="00D14607"/>
    <w:rsid w:val="00D15AD4"/>
    <w:rsid w:val="00D1649F"/>
    <w:rsid w:val="00D20538"/>
    <w:rsid w:val="00D211DC"/>
    <w:rsid w:val="00D250B0"/>
    <w:rsid w:val="00D368AA"/>
    <w:rsid w:val="00D40C72"/>
    <w:rsid w:val="00D43EA3"/>
    <w:rsid w:val="00D45FAB"/>
    <w:rsid w:val="00D472FE"/>
    <w:rsid w:val="00D51065"/>
    <w:rsid w:val="00D52236"/>
    <w:rsid w:val="00D528FE"/>
    <w:rsid w:val="00D56D91"/>
    <w:rsid w:val="00D67A09"/>
    <w:rsid w:val="00D712DE"/>
    <w:rsid w:val="00D75BF6"/>
    <w:rsid w:val="00D804A1"/>
    <w:rsid w:val="00D86B2E"/>
    <w:rsid w:val="00D901BD"/>
    <w:rsid w:val="00D91710"/>
    <w:rsid w:val="00D92975"/>
    <w:rsid w:val="00DA4CF4"/>
    <w:rsid w:val="00DB3B2A"/>
    <w:rsid w:val="00DB6E09"/>
    <w:rsid w:val="00DB7B56"/>
    <w:rsid w:val="00DC27F4"/>
    <w:rsid w:val="00DC3275"/>
    <w:rsid w:val="00DC38F6"/>
    <w:rsid w:val="00DC5022"/>
    <w:rsid w:val="00DC5793"/>
    <w:rsid w:val="00DD0696"/>
    <w:rsid w:val="00DD1735"/>
    <w:rsid w:val="00DD1945"/>
    <w:rsid w:val="00DD2204"/>
    <w:rsid w:val="00DD7A7D"/>
    <w:rsid w:val="00DE4868"/>
    <w:rsid w:val="00DE4917"/>
    <w:rsid w:val="00DE57D4"/>
    <w:rsid w:val="00DE62F5"/>
    <w:rsid w:val="00DE7A48"/>
    <w:rsid w:val="00DF288A"/>
    <w:rsid w:val="00DF3DF6"/>
    <w:rsid w:val="00DF4E11"/>
    <w:rsid w:val="00DF57B8"/>
    <w:rsid w:val="00DF64FF"/>
    <w:rsid w:val="00DF72C5"/>
    <w:rsid w:val="00E005B9"/>
    <w:rsid w:val="00E00DD3"/>
    <w:rsid w:val="00E029E2"/>
    <w:rsid w:val="00E13279"/>
    <w:rsid w:val="00E15214"/>
    <w:rsid w:val="00E22F62"/>
    <w:rsid w:val="00E23211"/>
    <w:rsid w:val="00E23830"/>
    <w:rsid w:val="00E2703D"/>
    <w:rsid w:val="00E36432"/>
    <w:rsid w:val="00E41649"/>
    <w:rsid w:val="00E423E4"/>
    <w:rsid w:val="00E42A9B"/>
    <w:rsid w:val="00E46A83"/>
    <w:rsid w:val="00E47C45"/>
    <w:rsid w:val="00E501FD"/>
    <w:rsid w:val="00E53F2E"/>
    <w:rsid w:val="00E71017"/>
    <w:rsid w:val="00E71A6F"/>
    <w:rsid w:val="00E71AEC"/>
    <w:rsid w:val="00E73E13"/>
    <w:rsid w:val="00E759C9"/>
    <w:rsid w:val="00E80D04"/>
    <w:rsid w:val="00E81D2D"/>
    <w:rsid w:val="00E82ED4"/>
    <w:rsid w:val="00E853A3"/>
    <w:rsid w:val="00E854D8"/>
    <w:rsid w:val="00E87AA3"/>
    <w:rsid w:val="00E925D7"/>
    <w:rsid w:val="00E9353A"/>
    <w:rsid w:val="00E94458"/>
    <w:rsid w:val="00EA1963"/>
    <w:rsid w:val="00EA422B"/>
    <w:rsid w:val="00EA44D0"/>
    <w:rsid w:val="00EA6B9C"/>
    <w:rsid w:val="00EB4089"/>
    <w:rsid w:val="00EB542E"/>
    <w:rsid w:val="00EC2FAE"/>
    <w:rsid w:val="00EC57B1"/>
    <w:rsid w:val="00EC639D"/>
    <w:rsid w:val="00ED01F1"/>
    <w:rsid w:val="00ED1D3B"/>
    <w:rsid w:val="00ED61BD"/>
    <w:rsid w:val="00ED6DF2"/>
    <w:rsid w:val="00EE207B"/>
    <w:rsid w:val="00EE5D61"/>
    <w:rsid w:val="00EF63CD"/>
    <w:rsid w:val="00F01D85"/>
    <w:rsid w:val="00F05438"/>
    <w:rsid w:val="00F1258E"/>
    <w:rsid w:val="00F13B8E"/>
    <w:rsid w:val="00F2602E"/>
    <w:rsid w:val="00F30635"/>
    <w:rsid w:val="00F306A7"/>
    <w:rsid w:val="00F30761"/>
    <w:rsid w:val="00F31524"/>
    <w:rsid w:val="00F3240D"/>
    <w:rsid w:val="00F4092C"/>
    <w:rsid w:val="00F41173"/>
    <w:rsid w:val="00F41BB1"/>
    <w:rsid w:val="00F521E0"/>
    <w:rsid w:val="00F53E6A"/>
    <w:rsid w:val="00F57A3C"/>
    <w:rsid w:val="00F61B4F"/>
    <w:rsid w:val="00F63201"/>
    <w:rsid w:val="00F64335"/>
    <w:rsid w:val="00F645C0"/>
    <w:rsid w:val="00F6608A"/>
    <w:rsid w:val="00F701DD"/>
    <w:rsid w:val="00F71AE4"/>
    <w:rsid w:val="00F82FDC"/>
    <w:rsid w:val="00F8564E"/>
    <w:rsid w:val="00F86908"/>
    <w:rsid w:val="00F8738F"/>
    <w:rsid w:val="00F87BC0"/>
    <w:rsid w:val="00FA048B"/>
    <w:rsid w:val="00FA08BD"/>
    <w:rsid w:val="00FA0BDA"/>
    <w:rsid w:val="00FA1EB2"/>
    <w:rsid w:val="00FA4AD8"/>
    <w:rsid w:val="00FA4CBA"/>
    <w:rsid w:val="00FA7B32"/>
    <w:rsid w:val="00FB35F7"/>
    <w:rsid w:val="00FB4CD5"/>
    <w:rsid w:val="00FB6164"/>
    <w:rsid w:val="00FB7DF5"/>
    <w:rsid w:val="00FC45CB"/>
    <w:rsid w:val="00FC5496"/>
    <w:rsid w:val="00FC5F76"/>
    <w:rsid w:val="00FD1758"/>
    <w:rsid w:val="00FD189C"/>
    <w:rsid w:val="00FD29E4"/>
    <w:rsid w:val="00FD56BE"/>
    <w:rsid w:val="00FE423C"/>
    <w:rsid w:val="00FE43CD"/>
    <w:rsid w:val="00FE7BED"/>
    <w:rsid w:val="00FF1A31"/>
    <w:rsid w:val="00FF2F09"/>
    <w:rsid w:val="00FF2F15"/>
    <w:rsid w:val="00FF6E8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7DA8F3"/>
  <w15:docId w15:val="{CD2C6721-7942-1244-8308-6711D8791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69"/>
    <w:pPr>
      <w:spacing w:before="240" w:after="120" w:line="276" w:lineRule="auto"/>
      <w:jc w:val="both"/>
    </w:pPr>
    <w:rPr>
      <w:rFonts w:ascii="Arial" w:hAnsi="Arial"/>
      <w:lang w:val="en-US" w:eastAsia="en-US"/>
    </w:rPr>
  </w:style>
  <w:style w:type="paragraph" w:styleId="Heading1">
    <w:name w:val="heading 1"/>
    <w:basedOn w:val="Normal"/>
    <w:next w:val="Normal"/>
    <w:link w:val="Heading1Char"/>
    <w:autoRedefine/>
    <w:uiPriority w:val="9"/>
    <w:qFormat/>
    <w:rsid w:val="0040043F"/>
    <w:pPr>
      <w:keepNext/>
      <w:keepLines/>
      <w:spacing w:after="60"/>
      <w:jc w:val="center"/>
      <w:outlineLvl w:val="0"/>
    </w:pPr>
    <w:rPr>
      <w:rFonts w:eastAsia="Times New Roman"/>
      <w:b/>
      <w:bCs/>
      <w:caps/>
      <w:sz w:val="28"/>
      <w:szCs w:val="28"/>
    </w:rPr>
  </w:style>
  <w:style w:type="paragraph" w:styleId="Heading2">
    <w:name w:val="heading 2"/>
    <w:basedOn w:val="Normal"/>
    <w:next w:val="Normal"/>
    <w:link w:val="Heading2Char"/>
    <w:autoRedefine/>
    <w:uiPriority w:val="9"/>
    <w:unhideWhenUsed/>
    <w:qFormat/>
    <w:rsid w:val="00996773"/>
    <w:pPr>
      <w:jc w:val="center"/>
      <w:outlineLvl w:val="1"/>
    </w:pPr>
    <w:rPr>
      <w:b/>
      <w:bCs/>
      <w:caps/>
      <w:szCs w:val="26"/>
    </w:rPr>
  </w:style>
  <w:style w:type="paragraph" w:styleId="Heading3">
    <w:name w:val="heading 3"/>
    <w:basedOn w:val="Normal"/>
    <w:next w:val="Normal"/>
    <w:link w:val="Heading3Char"/>
    <w:autoRedefine/>
    <w:uiPriority w:val="9"/>
    <w:unhideWhenUsed/>
    <w:qFormat/>
    <w:rsid w:val="00AB7A69"/>
    <w:pPr>
      <w:outlineLvl w:val="2"/>
    </w:pPr>
    <w:rPr>
      <w:u w:val="single"/>
    </w:rPr>
  </w:style>
  <w:style w:type="paragraph" w:styleId="Heading4">
    <w:name w:val="heading 4"/>
    <w:basedOn w:val="Normal"/>
    <w:next w:val="Normal"/>
    <w:link w:val="Heading4Char"/>
    <w:uiPriority w:val="9"/>
    <w:semiHidden/>
    <w:unhideWhenUsed/>
    <w:rsid w:val="00145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521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5514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5514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551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51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L1Heading">
    <w:name w:val="CIL 1 Heading"/>
    <w:basedOn w:val="Heading1"/>
    <w:autoRedefine/>
    <w:rsid w:val="00A359D5"/>
    <w:pPr>
      <w:keepLines w:val="0"/>
      <w:outlineLvl w:val="9"/>
    </w:pPr>
    <w:rPr>
      <w:rFonts w:eastAsia="Batang" w:cs="Arial"/>
      <w:caps w:val="0"/>
      <w:kern w:val="32"/>
      <w:szCs w:val="32"/>
      <w:lang w:val="en-GB" w:eastAsia="ko-KR"/>
    </w:rPr>
  </w:style>
  <w:style w:type="character" w:customStyle="1" w:styleId="Heading1Char">
    <w:name w:val="Heading 1 Char"/>
    <w:link w:val="Heading1"/>
    <w:uiPriority w:val="9"/>
    <w:rsid w:val="0040043F"/>
    <w:rPr>
      <w:rFonts w:ascii="Arial" w:eastAsia="Times New Roman" w:hAnsi="Arial"/>
      <w:b/>
      <w:bCs/>
      <w:caps/>
      <w:sz w:val="28"/>
      <w:szCs w:val="28"/>
      <w:lang w:val="en-US" w:eastAsia="en-US"/>
    </w:rPr>
  </w:style>
  <w:style w:type="paragraph" w:customStyle="1" w:styleId="CIL2Heading">
    <w:name w:val="CIL 2 Heading"/>
    <w:basedOn w:val="Heading2"/>
    <w:autoRedefine/>
    <w:rsid w:val="00A359D5"/>
    <w:rPr>
      <w:rFonts w:eastAsia="Batang" w:cs="Arial"/>
      <w:b w:val="0"/>
      <w:iCs/>
      <w:caps w:val="0"/>
      <w:szCs w:val="28"/>
      <w:lang w:val="en-GB" w:eastAsia="ko-KR"/>
    </w:rPr>
  </w:style>
  <w:style w:type="character" w:customStyle="1" w:styleId="Heading2Char">
    <w:name w:val="Heading 2 Char"/>
    <w:link w:val="Heading2"/>
    <w:uiPriority w:val="9"/>
    <w:rsid w:val="00996773"/>
    <w:rPr>
      <w:rFonts w:ascii="Arial" w:hAnsi="Arial"/>
      <w:b/>
      <w:bCs/>
      <w:caps/>
      <w:szCs w:val="26"/>
      <w:lang w:val="en-US" w:eastAsia="en-US"/>
    </w:rPr>
  </w:style>
  <w:style w:type="paragraph" w:customStyle="1" w:styleId="CILFooter">
    <w:name w:val="CIL Footer"/>
    <w:basedOn w:val="Normal"/>
    <w:link w:val="CILFooterChar"/>
    <w:qFormat/>
    <w:rsid w:val="001142FA"/>
    <w:pPr>
      <w:pBdr>
        <w:top w:val="single" w:sz="4" w:space="8" w:color="auto"/>
      </w:pBdr>
      <w:tabs>
        <w:tab w:val="center" w:pos="4680"/>
        <w:tab w:val="right" w:pos="9360"/>
      </w:tabs>
      <w:jc w:val="center"/>
    </w:pPr>
    <w:rPr>
      <w:rFonts w:eastAsia="Batang" w:cs="Arial"/>
      <w:color w:val="808080"/>
      <w:sz w:val="16"/>
      <w:szCs w:val="16"/>
      <w:lang w:val="en-GB" w:eastAsia="ko-KR"/>
    </w:rPr>
  </w:style>
  <w:style w:type="character" w:customStyle="1" w:styleId="CILFooterChar">
    <w:name w:val="CIL Footer Char"/>
    <w:link w:val="CILFooter"/>
    <w:rsid w:val="001142FA"/>
    <w:rPr>
      <w:rFonts w:ascii="Arial" w:eastAsia="Batang" w:hAnsi="Arial" w:cs="Arial"/>
      <w:color w:val="808080"/>
      <w:sz w:val="16"/>
      <w:szCs w:val="16"/>
      <w:lang w:val="en-GB" w:eastAsia="ko-KR"/>
    </w:rPr>
  </w:style>
  <w:style w:type="paragraph" w:customStyle="1" w:styleId="CILparagraph">
    <w:name w:val="CIL paragraph"/>
    <w:basedOn w:val="Normal"/>
    <w:autoRedefine/>
    <w:rsid w:val="001207E1"/>
    <w:pPr>
      <w:contextualSpacing/>
    </w:pPr>
    <w:rPr>
      <w:rFonts w:eastAsia="Batang" w:cs="Arial"/>
      <w:szCs w:val="24"/>
      <w:lang w:val="en-GB" w:eastAsia="ko-KR"/>
    </w:rPr>
  </w:style>
  <w:style w:type="paragraph" w:customStyle="1" w:styleId="CILSubtitle">
    <w:name w:val="CIL Subtitle"/>
    <w:basedOn w:val="Normal"/>
    <w:link w:val="CILSubtitleChar"/>
    <w:autoRedefine/>
    <w:qFormat/>
    <w:rsid w:val="00AB7A69"/>
    <w:pPr>
      <w:jc w:val="center"/>
    </w:pPr>
    <w:rPr>
      <w:rFonts w:eastAsia="Batang" w:cs="Arial"/>
      <w:i/>
      <w:szCs w:val="24"/>
      <w:lang w:val="en-GB" w:eastAsia="ko-KR"/>
    </w:rPr>
  </w:style>
  <w:style w:type="character" w:customStyle="1" w:styleId="CILSubtitleChar">
    <w:name w:val="CIL Subtitle Char"/>
    <w:link w:val="CILSubtitle"/>
    <w:rsid w:val="00AB7A69"/>
    <w:rPr>
      <w:rFonts w:ascii="Arial" w:eastAsia="Batang" w:hAnsi="Arial" w:cs="Arial"/>
      <w:i/>
      <w:szCs w:val="24"/>
      <w:lang w:eastAsia="ko-KR"/>
    </w:rPr>
  </w:style>
  <w:style w:type="paragraph" w:customStyle="1" w:styleId="CILTitle">
    <w:name w:val="CIL Title"/>
    <w:basedOn w:val="Normal"/>
    <w:autoRedefine/>
    <w:qFormat/>
    <w:rsid w:val="00A359D5"/>
    <w:pPr>
      <w:jc w:val="center"/>
    </w:pPr>
    <w:rPr>
      <w:rFonts w:eastAsia="Batang" w:cs="Arial"/>
      <w:b/>
      <w:bCs/>
      <w:caps/>
      <w:kern w:val="32"/>
      <w:sz w:val="28"/>
      <w:szCs w:val="32"/>
      <w:lang w:val="en-GB" w:eastAsia="ko-KR"/>
    </w:rPr>
  </w:style>
  <w:style w:type="character" w:customStyle="1" w:styleId="Heading3Char">
    <w:name w:val="Heading 3 Char"/>
    <w:link w:val="Heading3"/>
    <w:uiPriority w:val="9"/>
    <w:rsid w:val="00AB7A69"/>
    <w:rPr>
      <w:rFonts w:ascii="Arial" w:hAnsi="Arial"/>
      <w:u w:val="single"/>
      <w:lang w:val="en-US" w:eastAsia="en-US"/>
    </w:rPr>
  </w:style>
  <w:style w:type="paragraph" w:customStyle="1" w:styleId="CILL1TOC">
    <w:name w:val="CIL L1 TOC"/>
    <w:basedOn w:val="TOC1"/>
    <w:autoRedefine/>
    <w:rsid w:val="0042562D"/>
    <w:pPr>
      <w:tabs>
        <w:tab w:val="right" w:leader="dot" w:pos="9350"/>
      </w:tabs>
      <w:spacing w:before="120" w:after="120" w:line="360" w:lineRule="auto"/>
    </w:pPr>
    <w:rPr>
      <w:rFonts w:cs="Arial"/>
      <w:noProof/>
    </w:rPr>
  </w:style>
  <w:style w:type="paragraph" w:styleId="TOC1">
    <w:name w:val="toc 1"/>
    <w:basedOn w:val="Normal"/>
    <w:next w:val="Normal"/>
    <w:autoRedefine/>
    <w:uiPriority w:val="39"/>
    <w:unhideWhenUsed/>
    <w:rsid w:val="00AB7A69"/>
    <w:pPr>
      <w:spacing w:before="60" w:after="60"/>
    </w:pPr>
    <w:rPr>
      <w:caps/>
    </w:rPr>
  </w:style>
  <w:style w:type="paragraph" w:customStyle="1" w:styleId="Style1">
    <w:name w:val="Style1"/>
    <w:basedOn w:val="TOC2"/>
    <w:autoRedefine/>
    <w:rsid w:val="0042562D"/>
    <w:pPr>
      <w:tabs>
        <w:tab w:val="right" w:leader="dot" w:pos="9350"/>
      </w:tabs>
      <w:spacing w:line="360" w:lineRule="auto"/>
      <w:ind w:left="202"/>
    </w:pPr>
    <w:rPr>
      <w:rFonts w:cs="Arial"/>
      <w:noProof/>
    </w:rPr>
  </w:style>
  <w:style w:type="paragraph" w:styleId="TOC2">
    <w:name w:val="toc 2"/>
    <w:basedOn w:val="Heading2"/>
    <w:next w:val="Normal"/>
    <w:autoRedefine/>
    <w:uiPriority w:val="39"/>
    <w:unhideWhenUsed/>
    <w:rsid w:val="009C1F90"/>
    <w:pPr>
      <w:spacing w:before="60" w:after="60"/>
      <w:ind w:left="284"/>
      <w:jc w:val="left"/>
      <w:outlineLvl w:val="0"/>
    </w:pPr>
    <w:rPr>
      <w:b w:val="0"/>
    </w:rPr>
  </w:style>
  <w:style w:type="paragraph" w:customStyle="1" w:styleId="CILL2TOC">
    <w:name w:val="CIL L2 TOC"/>
    <w:basedOn w:val="TOC2"/>
    <w:autoRedefine/>
    <w:rsid w:val="0042562D"/>
    <w:pPr>
      <w:tabs>
        <w:tab w:val="right" w:leader="dot" w:pos="9350"/>
      </w:tabs>
      <w:spacing w:line="360" w:lineRule="auto"/>
      <w:ind w:left="202"/>
    </w:pPr>
    <w:rPr>
      <w:rFonts w:cs="Arial"/>
      <w:noProof/>
    </w:rPr>
  </w:style>
  <w:style w:type="paragraph" w:customStyle="1" w:styleId="CILParagraph0">
    <w:name w:val="CIL Paragraph"/>
    <w:basedOn w:val="Normal"/>
    <w:next w:val="Normal"/>
    <w:autoRedefine/>
    <w:rsid w:val="00642035"/>
  </w:style>
  <w:style w:type="paragraph" w:customStyle="1" w:styleId="CILMain">
    <w:name w:val="CIL Main"/>
    <w:autoRedefine/>
    <w:rsid w:val="00025831"/>
    <w:pPr>
      <w:spacing w:before="240" w:after="120" w:line="276" w:lineRule="auto"/>
      <w:jc w:val="both"/>
    </w:pPr>
    <w:rPr>
      <w:rFonts w:ascii="Arial" w:hAnsi="Arial"/>
      <w:lang w:val="en-US" w:eastAsia="en-US"/>
    </w:rPr>
  </w:style>
  <w:style w:type="paragraph" w:styleId="Subtitle">
    <w:name w:val="Subtitle"/>
    <w:basedOn w:val="Normal"/>
    <w:next w:val="Normal"/>
    <w:link w:val="SubtitleChar"/>
    <w:autoRedefine/>
    <w:uiPriority w:val="11"/>
    <w:qFormat/>
    <w:rsid w:val="00311F81"/>
    <w:pPr>
      <w:jc w:val="center"/>
    </w:pPr>
    <w:rPr>
      <w:rFonts w:ascii="Calibri" w:eastAsia="Times New Roman" w:hAnsi="Calibri"/>
      <w:i/>
      <w:szCs w:val="24"/>
      <w:lang w:val="en-GB" w:eastAsia="ko-KR"/>
    </w:rPr>
  </w:style>
  <w:style w:type="character" w:customStyle="1" w:styleId="SubtitleChar">
    <w:name w:val="Subtitle Char"/>
    <w:link w:val="Subtitle"/>
    <w:uiPriority w:val="11"/>
    <w:rsid w:val="00311F81"/>
    <w:rPr>
      <w:rFonts w:eastAsia="Times New Roman" w:cs="Times New Roman"/>
      <w:i/>
      <w:szCs w:val="24"/>
      <w:lang w:val="en-GB" w:eastAsia="ko-KR"/>
    </w:rPr>
  </w:style>
  <w:style w:type="paragraph" w:styleId="Title">
    <w:name w:val="Title"/>
    <w:basedOn w:val="Normal"/>
    <w:next w:val="Normal"/>
    <w:link w:val="TitleChar"/>
    <w:autoRedefine/>
    <w:uiPriority w:val="10"/>
    <w:qFormat/>
    <w:rsid w:val="00311F81"/>
    <w:pPr>
      <w:jc w:val="center"/>
    </w:pPr>
    <w:rPr>
      <w:rFonts w:ascii="Calibri" w:eastAsia="Times New Roman" w:hAnsi="Calibri"/>
      <w:b/>
      <w:bCs/>
      <w:caps/>
      <w:kern w:val="28"/>
      <w:sz w:val="28"/>
      <w:szCs w:val="32"/>
      <w:lang w:val="en-GB" w:eastAsia="ko-KR"/>
    </w:rPr>
  </w:style>
  <w:style w:type="character" w:customStyle="1" w:styleId="TitleChar">
    <w:name w:val="Title Char"/>
    <w:link w:val="Title"/>
    <w:uiPriority w:val="10"/>
    <w:rsid w:val="00311F81"/>
    <w:rPr>
      <w:rFonts w:eastAsia="Times New Roman" w:cs="Times New Roman"/>
      <w:b/>
      <w:bCs/>
      <w:caps/>
      <w:kern w:val="28"/>
      <w:sz w:val="28"/>
      <w:szCs w:val="32"/>
      <w:lang w:val="en-GB" w:eastAsia="ko-KR"/>
    </w:rPr>
  </w:style>
  <w:style w:type="paragraph" w:styleId="Header">
    <w:name w:val="header"/>
    <w:basedOn w:val="Normal"/>
    <w:link w:val="HeaderChar"/>
    <w:uiPriority w:val="99"/>
    <w:unhideWhenUsed/>
    <w:rsid w:val="00F61B4F"/>
    <w:pPr>
      <w:tabs>
        <w:tab w:val="center" w:pos="4680"/>
        <w:tab w:val="right" w:pos="9360"/>
      </w:tabs>
      <w:spacing w:before="0" w:after="0" w:line="240" w:lineRule="auto"/>
    </w:pPr>
  </w:style>
  <w:style w:type="character" w:customStyle="1" w:styleId="HeaderChar">
    <w:name w:val="Header Char"/>
    <w:link w:val="Header"/>
    <w:uiPriority w:val="99"/>
    <w:rsid w:val="00F61B4F"/>
    <w:rPr>
      <w:rFonts w:ascii="Arial" w:hAnsi="Arial"/>
    </w:rPr>
  </w:style>
  <w:style w:type="paragraph" w:styleId="Footer">
    <w:name w:val="footer"/>
    <w:basedOn w:val="Normal"/>
    <w:link w:val="FooterChar"/>
    <w:uiPriority w:val="99"/>
    <w:unhideWhenUsed/>
    <w:rsid w:val="00F61B4F"/>
    <w:pPr>
      <w:tabs>
        <w:tab w:val="center" w:pos="4680"/>
        <w:tab w:val="right" w:pos="9360"/>
      </w:tabs>
      <w:spacing w:before="0" w:after="0" w:line="240" w:lineRule="auto"/>
    </w:pPr>
  </w:style>
  <w:style w:type="character" w:customStyle="1" w:styleId="FooterChar">
    <w:name w:val="Footer Char"/>
    <w:link w:val="Footer"/>
    <w:uiPriority w:val="99"/>
    <w:rsid w:val="00F61B4F"/>
    <w:rPr>
      <w:rFonts w:ascii="Arial" w:hAnsi="Arial"/>
    </w:rPr>
  </w:style>
  <w:style w:type="character" w:styleId="Hyperlink">
    <w:name w:val="Hyperlink"/>
    <w:uiPriority w:val="99"/>
    <w:unhideWhenUsed/>
    <w:rsid w:val="00F61B4F"/>
    <w:rPr>
      <w:color w:val="0000FF"/>
      <w:u w:val="single"/>
    </w:rPr>
  </w:style>
  <w:style w:type="paragraph" w:styleId="TOCHeading">
    <w:name w:val="TOC Heading"/>
    <w:basedOn w:val="Heading1"/>
    <w:next w:val="Normal"/>
    <w:uiPriority w:val="39"/>
    <w:unhideWhenUsed/>
    <w:qFormat/>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uiPriority w:val="39"/>
    <w:unhideWhenUsed/>
    <w:rsid w:val="009C1F90"/>
    <w:pPr>
      <w:spacing w:before="60" w:after="60"/>
      <w:ind w:left="567"/>
    </w:pPr>
    <w:rPr>
      <w:caps/>
      <w:u w:val="none"/>
    </w:rPr>
  </w:style>
  <w:style w:type="paragraph" w:styleId="TOC4">
    <w:name w:val="toc 4"/>
    <w:basedOn w:val="Normal"/>
    <w:next w:val="Normal"/>
    <w:autoRedefine/>
    <w:uiPriority w:val="39"/>
    <w:unhideWhenUsed/>
    <w:rsid w:val="00A27F6D"/>
    <w:pPr>
      <w:spacing w:before="0" w:after="0" w:line="240" w:lineRule="auto"/>
      <w:ind w:left="720"/>
      <w:jc w:val="left"/>
    </w:pPr>
    <w:rPr>
      <w:rFonts w:ascii="Cambria" w:eastAsia="MS Mincho" w:hAnsi="Cambria"/>
      <w:sz w:val="24"/>
      <w:szCs w:val="24"/>
    </w:rPr>
  </w:style>
  <w:style w:type="paragraph" w:styleId="TOC5">
    <w:name w:val="toc 5"/>
    <w:basedOn w:val="Normal"/>
    <w:next w:val="Normal"/>
    <w:autoRedefine/>
    <w:uiPriority w:val="39"/>
    <w:unhideWhenUsed/>
    <w:rsid w:val="00A27F6D"/>
    <w:pPr>
      <w:spacing w:before="0" w:after="0" w:line="240" w:lineRule="auto"/>
      <w:ind w:left="960"/>
      <w:jc w:val="left"/>
    </w:pPr>
    <w:rPr>
      <w:rFonts w:ascii="Cambria" w:eastAsia="MS Mincho" w:hAnsi="Cambria"/>
      <w:sz w:val="24"/>
      <w:szCs w:val="24"/>
    </w:rPr>
  </w:style>
  <w:style w:type="paragraph" w:styleId="TOC6">
    <w:name w:val="toc 6"/>
    <w:basedOn w:val="Normal"/>
    <w:next w:val="Normal"/>
    <w:autoRedefine/>
    <w:uiPriority w:val="39"/>
    <w:unhideWhenUsed/>
    <w:rsid w:val="00A27F6D"/>
    <w:pPr>
      <w:spacing w:before="0" w:after="0" w:line="240" w:lineRule="auto"/>
      <w:ind w:left="1200"/>
      <w:jc w:val="left"/>
    </w:pPr>
    <w:rPr>
      <w:rFonts w:ascii="Cambria" w:eastAsia="MS Mincho" w:hAnsi="Cambria"/>
      <w:sz w:val="24"/>
      <w:szCs w:val="24"/>
    </w:rPr>
  </w:style>
  <w:style w:type="paragraph" w:styleId="TOC7">
    <w:name w:val="toc 7"/>
    <w:basedOn w:val="Normal"/>
    <w:next w:val="Normal"/>
    <w:autoRedefine/>
    <w:uiPriority w:val="39"/>
    <w:unhideWhenUsed/>
    <w:rsid w:val="00A27F6D"/>
    <w:pPr>
      <w:spacing w:before="0" w:after="0" w:line="240" w:lineRule="auto"/>
      <w:ind w:left="1440"/>
      <w:jc w:val="left"/>
    </w:pPr>
    <w:rPr>
      <w:rFonts w:ascii="Cambria" w:eastAsia="MS Mincho" w:hAnsi="Cambria"/>
      <w:sz w:val="24"/>
      <w:szCs w:val="24"/>
    </w:rPr>
  </w:style>
  <w:style w:type="paragraph" w:styleId="TOC8">
    <w:name w:val="toc 8"/>
    <w:basedOn w:val="Normal"/>
    <w:next w:val="Normal"/>
    <w:autoRedefine/>
    <w:uiPriority w:val="39"/>
    <w:unhideWhenUsed/>
    <w:rsid w:val="00A27F6D"/>
    <w:pPr>
      <w:spacing w:before="0" w:after="0" w:line="240" w:lineRule="auto"/>
      <w:ind w:left="1680"/>
      <w:jc w:val="left"/>
    </w:pPr>
    <w:rPr>
      <w:rFonts w:ascii="Cambria" w:eastAsia="MS Mincho" w:hAnsi="Cambria"/>
      <w:sz w:val="24"/>
      <w:szCs w:val="24"/>
    </w:rPr>
  </w:style>
  <w:style w:type="paragraph" w:styleId="TOC9">
    <w:name w:val="toc 9"/>
    <w:basedOn w:val="Normal"/>
    <w:next w:val="Normal"/>
    <w:autoRedefine/>
    <w:uiPriority w:val="39"/>
    <w:unhideWhenUsed/>
    <w:rsid w:val="00A27F6D"/>
    <w:pPr>
      <w:spacing w:before="0" w:after="0" w:line="240" w:lineRule="auto"/>
      <w:ind w:left="1920"/>
      <w:jc w:val="left"/>
    </w:pPr>
    <w:rPr>
      <w:rFonts w:ascii="Cambria" w:eastAsia="MS Mincho" w:hAnsi="Cambria"/>
      <w:sz w:val="24"/>
      <w:szCs w:val="24"/>
    </w:rPr>
  </w:style>
  <w:style w:type="character" w:styleId="PageNumber">
    <w:name w:val="page number"/>
    <w:uiPriority w:val="99"/>
    <w:semiHidden/>
    <w:unhideWhenUsed/>
    <w:rsid w:val="00A27F6D"/>
  </w:style>
  <w:style w:type="paragraph" w:styleId="FootnoteText">
    <w:name w:val="footnote text"/>
    <w:basedOn w:val="Normal"/>
    <w:link w:val="FootnoteTextChar"/>
    <w:uiPriority w:val="99"/>
    <w:semiHidden/>
    <w:unhideWhenUsed/>
    <w:rsid w:val="00FA048B"/>
  </w:style>
  <w:style w:type="character" w:customStyle="1" w:styleId="FootnoteTextChar">
    <w:name w:val="Footnote Text Char"/>
    <w:link w:val="FootnoteText"/>
    <w:uiPriority w:val="99"/>
    <w:semiHidden/>
    <w:rsid w:val="00FA048B"/>
    <w:rPr>
      <w:rFonts w:ascii="Arial" w:hAnsi="Arial"/>
      <w:lang w:val="en-US" w:eastAsia="en-US"/>
    </w:rPr>
  </w:style>
  <w:style w:type="character" w:styleId="FootnoteReference">
    <w:name w:val="footnote reference"/>
    <w:uiPriority w:val="99"/>
    <w:semiHidden/>
    <w:unhideWhenUsed/>
    <w:rsid w:val="00FA048B"/>
    <w:rPr>
      <w:vertAlign w:val="superscript"/>
    </w:rPr>
  </w:style>
  <w:style w:type="paragraph" w:styleId="ListParagraph">
    <w:name w:val="List Paragraph"/>
    <w:basedOn w:val="Normal"/>
    <w:uiPriority w:val="1"/>
    <w:qFormat/>
    <w:rsid w:val="00974D05"/>
    <w:pPr>
      <w:ind w:left="720"/>
      <w:contextualSpacing/>
    </w:pPr>
  </w:style>
  <w:style w:type="paragraph" w:styleId="BodyText">
    <w:name w:val="Body Text"/>
    <w:basedOn w:val="Normal"/>
    <w:link w:val="BodyTextChar"/>
    <w:uiPriority w:val="1"/>
    <w:qFormat/>
    <w:rsid w:val="00FF2F15"/>
    <w:pPr>
      <w:widowControl w:val="0"/>
      <w:autoSpaceDE w:val="0"/>
      <w:autoSpaceDN w:val="0"/>
      <w:spacing w:before="0" w:after="0" w:line="240" w:lineRule="auto"/>
    </w:pPr>
    <w:rPr>
      <w:rFonts w:eastAsia="Times New Roman"/>
      <w:szCs w:val="28"/>
    </w:rPr>
  </w:style>
  <w:style w:type="character" w:customStyle="1" w:styleId="BodyTextChar">
    <w:name w:val="Body Text Char"/>
    <w:basedOn w:val="DefaultParagraphFont"/>
    <w:link w:val="BodyText"/>
    <w:uiPriority w:val="1"/>
    <w:rsid w:val="00FF2F15"/>
    <w:rPr>
      <w:rFonts w:ascii="Arial" w:eastAsia="Times New Roman" w:hAnsi="Arial"/>
      <w:szCs w:val="28"/>
      <w:lang w:val="en-US" w:eastAsia="en-US"/>
    </w:rPr>
  </w:style>
  <w:style w:type="character" w:customStyle="1" w:styleId="Heading4Char">
    <w:name w:val="Heading 4 Char"/>
    <w:basedOn w:val="DefaultParagraphFont"/>
    <w:link w:val="Heading4"/>
    <w:uiPriority w:val="9"/>
    <w:semiHidden/>
    <w:rsid w:val="0014521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semiHidden/>
    <w:rsid w:val="00145215"/>
    <w:rPr>
      <w:rFonts w:asciiTheme="majorHAnsi" w:eastAsiaTheme="majorEastAsia" w:hAnsiTheme="majorHAnsi" w:cstheme="majorBidi"/>
      <w:color w:val="2E74B5" w:themeColor="accent1" w:themeShade="BF"/>
      <w:lang w:val="en-US" w:eastAsia="en-US"/>
    </w:rPr>
  </w:style>
  <w:style w:type="paragraph" w:styleId="BalloonText">
    <w:name w:val="Balloon Text"/>
    <w:basedOn w:val="Normal"/>
    <w:link w:val="BalloonTextChar"/>
    <w:uiPriority w:val="99"/>
    <w:semiHidden/>
    <w:unhideWhenUsed/>
    <w:rsid w:val="0015514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142"/>
    <w:rPr>
      <w:rFonts w:ascii="Segoe UI" w:hAnsi="Segoe UI" w:cs="Segoe UI"/>
      <w:sz w:val="18"/>
      <w:szCs w:val="18"/>
      <w:lang w:val="en-US" w:eastAsia="en-US"/>
    </w:rPr>
  </w:style>
  <w:style w:type="paragraph" w:styleId="Bibliography">
    <w:name w:val="Bibliography"/>
    <w:basedOn w:val="Normal"/>
    <w:next w:val="Normal"/>
    <w:uiPriority w:val="37"/>
    <w:semiHidden/>
    <w:unhideWhenUsed/>
    <w:rsid w:val="00155142"/>
  </w:style>
  <w:style w:type="paragraph" w:styleId="BlockText">
    <w:name w:val="Block Text"/>
    <w:basedOn w:val="Normal"/>
    <w:uiPriority w:val="99"/>
    <w:semiHidden/>
    <w:unhideWhenUsed/>
    <w:rsid w:val="0015514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155142"/>
    <w:pPr>
      <w:spacing w:line="480" w:lineRule="auto"/>
    </w:pPr>
  </w:style>
  <w:style w:type="character" w:customStyle="1" w:styleId="BodyText2Char">
    <w:name w:val="Body Text 2 Char"/>
    <w:basedOn w:val="DefaultParagraphFont"/>
    <w:link w:val="BodyText2"/>
    <w:uiPriority w:val="99"/>
    <w:semiHidden/>
    <w:rsid w:val="00155142"/>
    <w:rPr>
      <w:rFonts w:ascii="Arial" w:hAnsi="Arial"/>
      <w:lang w:val="en-US" w:eastAsia="en-US"/>
    </w:rPr>
  </w:style>
  <w:style w:type="paragraph" w:styleId="BodyText3">
    <w:name w:val="Body Text 3"/>
    <w:basedOn w:val="Normal"/>
    <w:link w:val="BodyText3Char"/>
    <w:uiPriority w:val="99"/>
    <w:semiHidden/>
    <w:unhideWhenUsed/>
    <w:rsid w:val="00155142"/>
    <w:rPr>
      <w:sz w:val="16"/>
      <w:szCs w:val="16"/>
    </w:rPr>
  </w:style>
  <w:style w:type="character" w:customStyle="1" w:styleId="BodyText3Char">
    <w:name w:val="Body Text 3 Char"/>
    <w:basedOn w:val="DefaultParagraphFont"/>
    <w:link w:val="BodyText3"/>
    <w:uiPriority w:val="99"/>
    <w:semiHidden/>
    <w:rsid w:val="00155142"/>
    <w:rPr>
      <w:rFonts w:ascii="Arial" w:hAnsi="Arial"/>
      <w:sz w:val="16"/>
      <w:szCs w:val="16"/>
      <w:lang w:val="en-US" w:eastAsia="en-US"/>
    </w:rPr>
  </w:style>
  <w:style w:type="paragraph" w:styleId="BodyTextFirstIndent">
    <w:name w:val="Body Text First Indent"/>
    <w:basedOn w:val="BodyText"/>
    <w:link w:val="BodyTextFirstIndentChar"/>
    <w:uiPriority w:val="99"/>
    <w:semiHidden/>
    <w:unhideWhenUsed/>
    <w:rsid w:val="00155142"/>
    <w:pPr>
      <w:widowControl/>
      <w:autoSpaceDE/>
      <w:autoSpaceDN/>
      <w:spacing w:before="240" w:after="120" w:line="276" w:lineRule="auto"/>
      <w:ind w:firstLine="360"/>
    </w:pPr>
    <w:rPr>
      <w:rFonts w:eastAsia="Calibri"/>
      <w:szCs w:val="20"/>
    </w:rPr>
  </w:style>
  <w:style w:type="character" w:customStyle="1" w:styleId="BodyTextFirstIndentChar">
    <w:name w:val="Body Text First Indent Char"/>
    <w:basedOn w:val="BodyTextChar"/>
    <w:link w:val="BodyTextFirstIndent"/>
    <w:uiPriority w:val="99"/>
    <w:semiHidden/>
    <w:rsid w:val="00155142"/>
    <w:rPr>
      <w:rFonts w:ascii="Arial" w:eastAsia="Times New Roman" w:hAnsi="Arial"/>
      <w:sz w:val="28"/>
      <w:szCs w:val="28"/>
      <w:lang w:val="en-US" w:eastAsia="en-US"/>
    </w:rPr>
  </w:style>
  <w:style w:type="paragraph" w:styleId="BodyTextIndent">
    <w:name w:val="Body Text Indent"/>
    <w:basedOn w:val="Normal"/>
    <w:link w:val="BodyTextIndentChar"/>
    <w:uiPriority w:val="99"/>
    <w:semiHidden/>
    <w:unhideWhenUsed/>
    <w:rsid w:val="00155142"/>
    <w:pPr>
      <w:ind w:left="360"/>
    </w:pPr>
  </w:style>
  <w:style w:type="character" w:customStyle="1" w:styleId="BodyTextIndentChar">
    <w:name w:val="Body Text Indent Char"/>
    <w:basedOn w:val="DefaultParagraphFont"/>
    <w:link w:val="BodyTextIndent"/>
    <w:uiPriority w:val="99"/>
    <w:semiHidden/>
    <w:rsid w:val="00155142"/>
    <w:rPr>
      <w:rFonts w:ascii="Arial" w:hAnsi="Arial"/>
      <w:lang w:val="en-US" w:eastAsia="en-US"/>
    </w:rPr>
  </w:style>
  <w:style w:type="paragraph" w:styleId="BodyTextFirstIndent2">
    <w:name w:val="Body Text First Indent 2"/>
    <w:basedOn w:val="BodyTextIndent"/>
    <w:link w:val="BodyTextFirstIndent2Char"/>
    <w:uiPriority w:val="99"/>
    <w:semiHidden/>
    <w:unhideWhenUsed/>
    <w:rsid w:val="00155142"/>
    <w:pPr>
      <w:ind w:firstLine="360"/>
    </w:pPr>
  </w:style>
  <w:style w:type="character" w:customStyle="1" w:styleId="BodyTextFirstIndent2Char">
    <w:name w:val="Body Text First Indent 2 Char"/>
    <w:basedOn w:val="BodyTextIndentChar"/>
    <w:link w:val="BodyTextFirstIndent2"/>
    <w:uiPriority w:val="99"/>
    <w:semiHidden/>
    <w:rsid w:val="00155142"/>
    <w:rPr>
      <w:rFonts w:ascii="Arial" w:hAnsi="Arial"/>
      <w:lang w:val="en-US" w:eastAsia="en-US"/>
    </w:rPr>
  </w:style>
  <w:style w:type="paragraph" w:styleId="BodyTextIndent2">
    <w:name w:val="Body Text Indent 2"/>
    <w:basedOn w:val="Normal"/>
    <w:link w:val="BodyTextIndent2Char"/>
    <w:uiPriority w:val="99"/>
    <w:semiHidden/>
    <w:unhideWhenUsed/>
    <w:rsid w:val="00155142"/>
    <w:pPr>
      <w:spacing w:line="480" w:lineRule="auto"/>
      <w:ind w:left="360"/>
    </w:pPr>
  </w:style>
  <w:style w:type="character" w:customStyle="1" w:styleId="BodyTextIndent2Char">
    <w:name w:val="Body Text Indent 2 Char"/>
    <w:basedOn w:val="DefaultParagraphFont"/>
    <w:link w:val="BodyTextIndent2"/>
    <w:uiPriority w:val="99"/>
    <w:semiHidden/>
    <w:rsid w:val="00155142"/>
    <w:rPr>
      <w:rFonts w:ascii="Arial" w:hAnsi="Arial"/>
      <w:lang w:val="en-US" w:eastAsia="en-US"/>
    </w:rPr>
  </w:style>
  <w:style w:type="paragraph" w:styleId="BodyTextIndent3">
    <w:name w:val="Body Text Indent 3"/>
    <w:basedOn w:val="Normal"/>
    <w:link w:val="BodyTextIndent3Char"/>
    <w:uiPriority w:val="99"/>
    <w:semiHidden/>
    <w:unhideWhenUsed/>
    <w:rsid w:val="00155142"/>
    <w:pPr>
      <w:ind w:left="360"/>
    </w:pPr>
    <w:rPr>
      <w:sz w:val="16"/>
      <w:szCs w:val="16"/>
    </w:rPr>
  </w:style>
  <w:style w:type="character" w:customStyle="1" w:styleId="BodyTextIndent3Char">
    <w:name w:val="Body Text Indent 3 Char"/>
    <w:basedOn w:val="DefaultParagraphFont"/>
    <w:link w:val="BodyTextIndent3"/>
    <w:uiPriority w:val="99"/>
    <w:semiHidden/>
    <w:rsid w:val="00155142"/>
    <w:rPr>
      <w:rFonts w:ascii="Arial" w:hAnsi="Arial"/>
      <w:sz w:val="16"/>
      <w:szCs w:val="16"/>
      <w:lang w:val="en-US" w:eastAsia="en-US"/>
    </w:rPr>
  </w:style>
  <w:style w:type="paragraph" w:styleId="Caption">
    <w:name w:val="caption"/>
    <w:basedOn w:val="Normal"/>
    <w:next w:val="Normal"/>
    <w:uiPriority w:val="35"/>
    <w:semiHidden/>
    <w:unhideWhenUsed/>
    <w:qFormat/>
    <w:rsid w:val="00155142"/>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55142"/>
    <w:pPr>
      <w:spacing w:before="0" w:after="0" w:line="240" w:lineRule="auto"/>
      <w:ind w:left="4320"/>
    </w:pPr>
  </w:style>
  <w:style w:type="character" w:customStyle="1" w:styleId="ClosingChar">
    <w:name w:val="Closing Char"/>
    <w:basedOn w:val="DefaultParagraphFont"/>
    <w:link w:val="Closing"/>
    <w:uiPriority w:val="99"/>
    <w:semiHidden/>
    <w:rsid w:val="00155142"/>
    <w:rPr>
      <w:rFonts w:ascii="Arial" w:hAnsi="Arial"/>
      <w:lang w:val="en-US" w:eastAsia="en-US"/>
    </w:rPr>
  </w:style>
  <w:style w:type="paragraph" w:styleId="CommentText">
    <w:name w:val="annotation text"/>
    <w:basedOn w:val="Normal"/>
    <w:link w:val="CommentTextChar"/>
    <w:uiPriority w:val="99"/>
    <w:semiHidden/>
    <w:unhideWhenUsed/>
    <w:rsid w:val="00155142"/>
    <w:pPr>
      <w:spacing w:line="240" w:lineRule="auto"/>
    </w:pPr>
  </w:style>
  <w:style w:type="character" w:customStyle="1" w:styleId="CommentTextChar">
    <w:name w:val="Comment Text Char"/>
    <w:basedOn w:val="DefaultParagraphFont"/>
    <w:link w:val="CommentText"/>
    <w:uiPriority w:val="99"/>
    <w:semiHidden/>
    <w:rsid w:val="00155142"/>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55142"/>
    <w:rPr>
      <w:b/>
      <w:bCs/>
    </w:rPr>
  </w:style>
  <w:style w:type="character" w:customStyle="1" w:styleId="CommentSubjectChar">
    <w:name w:val="Comment Subject Char"/>
    <w:basedOn w:val="CommentTextChar"/>
    <w:link w:val="CommentSubject"/>
    <w:uiPriority w:val="99"/>
    <w:semiHidden/>
    <w:rsid w:val="00155142"/>
    <w:rPr>
      <w:rFonts w:ascii="Arial" w:hAnsi="Arial"/>
      <w:b/>
      <w:bCs/>
      <w:lang w:val="en-US" w:eastAsia="en-US"/>
    </w:rPr>
  </w:style>
  <w:style w:type="paragraph" w:styleId="Date">
    <w:name w:val="Date"/>
    <w:basedOn w:val="Normal"/>
    <w:next w:val="Normal"/>
    <w:link w:val="DateChar"/>
    <w:uiPriority w:val="99"/>
    <w:semiHidden/>
    <w:unhideWhenUsed/>
    <w:rsid w:val="00155142"/>
  </w:style>
  <w:style w:type="character" w:customStyle="1" w:styleId="DateChar">
    <w:name w:val="Date Char"/>
    <w:basedOn w:val="DefaultParagraphFont"/>
    <w:link w:val="Date"/>
    <w:uiPriority w:val="99"/>
    <w:semiHidden/>
    <w:rsid w:val="00155142"/>
    <w:rPr>
      <w:rFonts w:ascii="Arial" w:hAnsi="Arial"/>
      <w:lang w:val="en-US" w:eastAsia="en-US"/>
    </w:rPr>
  </w:style>
  <w:style w:type="paragraph" w:styleId="DocumentMap">
    <w:name w:val="Document Map"/>
    <w:basedOn w:val="Normal"/>
    <w:link w:val="DocumentMapChar"/>
    <w:uiPriority w:val="99"/>
    <w:semiHidden/>
    <w:unhideWhenUsed/>
    <w:rsid w:val="0015514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55142"/>
    <w:rPr>
      <w:rFonts w:ascii="Segoe UI" w:hAnsi="Segoe UI" w:cs="Segoe UI"/>
      <w:sz w:val="16"/>
      <w:szCs w:val="16"/>
      <w:lang w:val="en-US" w:eastAsia="en-US"/>
    </w:rPr>
  </w:style>
  <w:style w:type="paragraph" w:styleId="E-mailSignature">
    <w:name w:val="E-mail Signature"/>
    <w:basedOn w:val="Normal"/>
    <w:link w:val="E-mailSignatureChar"/>
    <w:uiPriority w:val="99"/>
    <w:semiHidden/>
    <w:unhideWhenUsed/>
    <w:rsid w:val="00155142"/>
    <w:pPr>
      <w:spacing w:before="0" w:after="0" w:line="240" w:lineRule="auto"/>
    </w:pPr>
  </w:style>
  <w:style w:type="character" w:customStyle="1" w:styleId="E-mailSignatureChar">
    <w:name w:val="E-mail Signature Char"/>
    <w:basedOn w:val="DefaultParagraphFont"/>
    <w:link w:val="E-mailSignature"/>
    <w:uiPriority w:val="99"/>
    <w:semiHidden/>
    <w:rsid w:val="00155142"/>
    <w:rPr>
      <w:rFonts w:ascii="Arial" w:hAnsi="Arial"/>
      <w:lang w:val="en-US" w:eastAsia="en-US"/>
    </w:rPr>
  </w:style>
  <w:style w:type="paragraph" w:styleId="EndnoteText">
    <w:name w:val="endnote text"/>
    <w:basedOn w:val="Normal"/>
    <w:link w:val="EndnoteTextChar"/>
    <w:uiPriority w:val="99"/>
    <w:semiHidden/>
    <w:unhideWhenUsed/>
    <w:rsid w:val="00155142"/>
    <w:pPr>
      <w:spacing w:before="0" w:after="0" w:line="240" w:lineRule="auto"/>
    </w:pPr>
  </w:style>
  <w:style w:type="character" w:customStyle="1" w:styleId="EndnoteTextChar">
    <w:name w:val="Endnote Text Char"/>
    <w:basedOn w:val="DefaultParagraphFont"/>
    <w:link w:val="EndnoteText"/>
    <w:uiPriority w:val="99"/>
    <w:semiHidden/>
    <w:rsid w:val="00155142"/>
    <w:rPr>
      <w:rFonts w:ascii="Arial" w:hAnsi="Arial"/>
      <w:lang w:val="en-US" w:eastAsia="en-US"/>
    </w:rPr>
  </w:style>
  <w:style w:type="paragraph" w:styleId="EnvelopeAddress">
    <w:name w:val="envelope address"/>
    <w:basedOn w:val="Normal"/>
    <w:uiPriority w:val="99"/>
    <w:semiHidden/>
    <w:unhideWhenUsed/>
    <w:rsid w:val="00155142"/>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55142"/>
    <w:pPr>
      <w:spacing w:before="0" w:after="0" w:line="240" w:lineRule="auto"/>
    </w:pPr>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155142"/>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155142"/>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155142"/>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155142"/>
    <w:rPr>
      <w:rFonts w:asciiTheme="majorHAnsi" w:eastAsiaTheme="majorEastAsia" w:hAnsiTheme="majorHAnsi" w:cstheme="majorBidi"/>
      <w:i/>
      <w:iCs/>
      <w:color w:val="272727" w:themeColor="text1" w:themeTint="D8"/>
      <w:sz w:val="21"/>
      <w:szCs w:val="21"/>
      <w:lang w:val="en-US" w:eastAsia="en-US"/>
    </w:rPr>
  </w:style>
  <w:style w:type="paragraph" w:styleId="HTMLAddress">
    <w:name w:val="HTML Address"/>
    <w:basedOn w:val="Normal"/>
    <w:link w:val="HTMLAddressChar"/>
    <w:uiPriority w:val="99"/>
    <w:semiHidden/>
    <w:unhideWhenUsed/>
    <w:rsid w:val="00155142"/>
    <w:pPr>
      <w:spacing w:before="0" w:after="0" w:line="240" w:lineRule="auto"/>
    </w:pPr>
    <w:rPr>
      <w:i/>
      <w:iCs/>
    </w:rPr>
  </w:style>
  <w:style w:type="character" w:customStyle="1" w:styleId="HTMLAddressChar">
    <w:name w:val="HTML Address Char"/>
    <w:basedOn w:val="DefaultParagraphFont"/>
    <w:link w:val="HTMLAddress"/>
    <w:uiPriority w:val="99"/>
    <w:semiHidden/>
    <w:rsid w:val="00155142"/>
    <w:rPr>
      <w:rFonts w:ascii="Arial" w:hAnsi="Arial"/>
      <w:i/>
      <w:iCs/>
      <w:lang w:val="en-US" w:eastAsia="en-US"/>
    </w:rPr>
  </w:style>
  <w:style w:type="paragraph" w:styleId="HTMLPreformatted">
    <w:name w:val="HTML Preformatted"/>
    <w:basedOn w:val="Normal"/>
    <w:link w:val="HTMLPreformattedChar"/>
    <w:uiPriority w:val="99"/>
    <w:semiHidden/>
    <w:unhideWhenUsed/>
    <w:rsid w:val="00155142"/>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155142"/>
    <w:rPr>
      <w:rFonts w:ascii="Consolas" w:hAnsi="Consolas"/>
      <w:lang w:val="en-US" w:eastAsia="en-US"/>
    </w:rPr>
  </w:style>
  <w:style w:type="paragraph" w:styleId="Index1">
    <w:name w:val="index 1"/>
    <w:basedOn w:val="Normal"/>
    <w:next w:val="Normal"/>
    <w:autoRedefine/>
    <w:uiPriority w:val="99"/>
    <w:semiHidden/>
    <w:unhideWhenUsed/>
    <w:rsid w:val="00155142"/>
    <w:pPr>
      <w:spacing w:before="0" w:after="0" w:line="240" w:lineRule="auto"/>
      <w:ind w:left="200" w:hanging="200"/>
    </w:pPr>
  </w:style>
  <w:style w:type="paragraph" w:styleId="Index2">
    <w:name w:val="index 2"/>
    <w:basedOn w:val="Normal"/>
    <w:next w:val="Normal"/>
    <w:autoRedefine/>
    <w:uiPriority w:val="99"/>
    <w:semiHidden/>
    <w:unhideWhenUsed/>
    <w:rsid w:val="00155142"/>
    <w:pPr>
      <w:spacing w:before="0" w:after="0" w:line="240" w:lineRule="auto"/>
      <w:ind w:left="400" w:hanging="200"/>
    </w:pPr>
  </w:style>
  <w:style w:type="paragraph" w:styleId="Index3">
    <w:name w:val="index 3"/>
    <w:basedOn w:val="Normal"/>
    <w:next w:val="Normal"/>
    <w:autoRedefine/>
    <w:uiPriority w:val="99"/>
    <w:semiHidden/>
    <w:unhideWhenUsed/>
    <w:rsid w:val="00155142"/>
    <w:pPr>
      <w:spacing w:before="0" w:after="0" w:line="240" w:lineRule="auto"/>
      <w:ind w:left="600" w:hanging="200"/>
    </w:pPr>
  </w:style>
  <w:style w:type="paragraph" w:styleId="Index4">
    <w:name w:val="index 4"/>
    <w:basedOn w:val="Normal"/>
    <w:next w:val="Normal"/>
    <w:autoRedefine/>
    <w:uiPriority w:val="99"/>
    <w:semiHidden/>
    <w:unhideWhenUsed/>
    <w:rsid w:val="00155142"/>
    <w:pPr>
      <w:spacing w:before="0" w:after="0" w:line="240" w:lineRule="auto"/>
      <w:ind w:left="800" w:hanging="200"/>
    </w:pPr>
  </w:style>
  <w:style w:type="paragraph" w:styleId="Index5">
    <w:name w:val="index 5"/>
    <w:basedOn w:val="Normal"/>
    <w:next w:val="Normal"/>
    <w:autoRedefine/>
    <w:uiPriority w:val="99"/>
    <w:semiHidden/>
    <w:unhideWhenUsed/>
    <w:rsid w:val="00155142"/>
    <w:pPr>
      <w:spacing w:before="0" w:after="0" w:line="240" w:lineRule="auto"/>
      <w:ind w:left="1000" w:hanging="200"/>
    </w:pPr>
  </w:style>
  <w:style w:type="paragraph" w:styleId="Index6">
    <w:name w:val="index 6"/>
    <w:basedOn w:val="Normal"/>
    <w:next w:val="Normal"/>
    <w:autoRedefine/>
    <w:uiPriority w:val="99"/>
    <w:semiHidden/>
    <w:unhideWhenUsed/>
    <w:rsid w:val="00155142"/>
    <w:pPr>
      <w:spacing w:before="0" w:after="0" w:line="240" w:lineRule="auto"/>
      <w:ind w:left="1200" w:hanging="200"/>
    </w:pPr>
  </w:style>
  <w:style w:type="paragraph" w:styleId="Index7">
    <w:name w:val="index 7"/>
    <w:basedOn w:val="Normal"/>
    <w:next w:val="Normal"/>
    <w:autoRedefine/>
    <w:uiPriority w:val="99"/>
    <w:semiHidden/>
    <w:unhideWhenUsed/>
    <w:rsid w:val="00155142"/>
    <w:pPr>
      <w:spacing w:before="0" w:after="0" w:line="240" w:lineRule="auto"/>
      <w:ind w:left="1400" w:hanging="200"/>
    </w:pPr>
  </w:style>
  <w:style w:type="paragraph" w:styleId="Index8">
    <w:name w:val="index 8"/>
    <w:basedOn w:val="Normal"/>
    <w:next w:val="Normal"/>
    <w:autoRedefine/>
    <w:uiPriority w:val="99"/>
    <w:semiHidden/>
    <w:unhideWhenUsed/>
    <w:rsid w:val="00155142"/>
    <w:pPr>
      <w:spacing w:before="0" w:after="0" w:line="240" w:lineRule="auto"/>
      <w:ind w:left="1600" w:hanging="200"/>
    </w:pPr>
  </w:style>
  <w:style w:type="paragraph" w:styleId="Index9">
    <w:name w:val="index 9"/>
    <w:basedOn w:val="Normal"/>
    <w:next w:val="Normal"/>
    <w:autoRedefine/>
    <w:uiPriority w:val="99"/>
    <w:semiHidden/>
    <w:unhideWhenUsed/>
    <w:rsid w:val="00155142"/>
    <w:pPr>
      <w:spacing w:before="0" w:after="0" w:line="240" w:lineRule="auto"/>
      <w:ind w:left="1800" w:hanging="200"/>
    </w:pPr>
  </w:style>
  <w:style w:type="paragraph" w:styleId="IndexHeading">
    <w:name w:val="index heading"/>
    <w:basedOn w:val="Normal"/>
    <w:next w:val="Index1"/>
    <w:uiPriority w:val="99"/>
    <w:semiHidden/>
    <w:unhideWhenUsed/>
    <w:rsid w:val="0015514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551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55142"/>
    <w:rPr>
      <w:rFonts w:ascii="Arial" w:hAnsi="Arial"/>
      <w:i/>
      <w:iCs/>
      <w:color w:val="5B9BD5" w:themeColor="accent1"/>
      <w:lang w:val="en-US" w:eastAsia="en-US"/>
    </w:rPr>
  </w:style>
  <w:style w:type="paragraph" w:styleId="List">
    <w:name w:val="List"/>
    <w:basedOn w:val="Normal"/>
    <w:uiPriority w:val="99"/>
    <w:semiHidden/>
    <w:unhideWhenUsed/>
    <w:rsid w:val="00155142"/>
    <w:pPr>
      <w:ind w:left="360" w:hanging="360"/>
      <w:contextualSpacing/>
    </w:pPr>
  </w:style>
  <w:style w:type="paragraph" w:styleId="List2">
    <w:name w:val="List 2"/>
    <w:basedOn w:val="Normal"/>
    <w:uiPriority w:val="99"/>
    <w:semiHidden/>
    <w:unhideWhenUsed/>
    <w:rsid w:val="00155142"/>
    <w:pPr>
      <w:ind w:left="720" w:hanging="360"/>
      <w:contextualSpacing/>
    </w:pPr>
  </w:style>
  <w:style w:type="paragraph" w:styleId="List3">
    <w:name w:val="List 3"/>
    <w:basedOn w:val="Normal"/>
    <w:uiPriority w:val="99"/>
    <w:semiHidden/>
    <w:unhideWhenUsed/>
    <w:rsid w:val="00155142"/>
    <w:pPr>
      <w:ind w:left="1080" w:hanging="360"/>
      <w:contextualSpacing/>
    </w:pPr>
  </w:style>
  <w:style w:type="paragraph" w:styleId="List4">
    <w:name w:val="List 4"/>
    <w:basedOn w:val="Normal"/>
    <w:uiPriority w:val="99"/>
    <w:semiHidden/>
    <w:unhideWhenUsed/>
    <w:rsid w:val="00155142"/>
    <w:pPr>
      <w:ind w:left="1440" w:hanging="360"/>
      <w:contextualSpacing/>
    </w:pPr>
  </w:style>
  <w:style w:type="paragraph" w:styleId="List5">
    <w:name w:val="List 5"/>
    <w:basedOn w:val="Normal"/>
    <w:uiPriority w:val="99"/>
    <w:semiHidden/>
    <w:unhideWhenUsed/>
    <w:rsid w:val="00155142"/>
    <w:pPr>
      <w:ind w:left="1800" w:hanging="360"/>
      <w:contextualSpacing/>
    </w:pPr>
  </w:style>
  <w:style w:type="paragraph" w:styleId="ListBullet">
    <w:name w:val="List Bullet"/>
    <w:basedOn w:val="Normal"/>
    <w:uiPriority w:val="99"/>
    <w:semiHidden/>
    <w:unhideWhenUsed/>
    <w:rsid w:val="00155142"/>
    <w:pPr>
      <w:numPr>
        <w:numId w:val="3"/>
      </w:numPr>
      <w:contextualSpacing/>
    </w:pPr>
  </w:style>
  <w:style w:type="paragraph" w:styleId="ListBullet2">
    <w:name w:val="List Bullet 2"/>
    <w:basedOn w:val="Normal"/>
    <w:uiPriority w:val="99"/>
    <w:semiHidden/>
    <w:unhideWhenUsed/>
    <w:rsid w:val="00155142"/>
    <w:pPr>
      <w:numPr>
        <w:numId w:val="4"/>
      </w:numPr>
      <w:contextualSpacing/>
    </w:pPr>
  </w:style>
  <w:style w:type="paragraph" w:styleId="ListBullet3">
    <w:name w:val="List Bullet 3"/>
    <w:basedOn w:val="Normal"/>
    <w:uiPriority w:val="99"/>
    <w:semiHidden/>
    <w:unhideWhenUsed/>
    <w:rsid w:val="00155142"/>
    <w:pPr>
      <w:numPr>
        <w:numId w:val="5"/>
      </w:numPr>
      <w:contextualSpacing/>
    </w:pPr>
  </w:style>
  <w:style w:type="paragraph" w:styleId="ListBullet4">
    <w:name w:val="List Bullet 4"/>
    <w:basedOn w:val="Normal"/>
    <w:uiPriority w:val="99"/>
    <w:semiHidden/>
    <w:unhideWhenUsed/>
    <w:rsid w:val="00155142"/>
    <w:pPr>
      <w:numPr>
        <w:numId w:val="6"/>
      </w:numPr>
      <w:contextualSpacing/>
    </w:pPr>
  </w:style>
  <w:style w:type="paragraph" w:styleId="ListBullet5">
    <w:name w:val="List Bullet 5"/>
    <w:basedOn w:val="Normal"/>
    <w:uiPriority w:val="99"/>
    <w:semiHidden/>
    <w:unhideWhenUsed/>
    <w:rsid w:val="00155142"/>
    <w:pPr>
      <w:numPr>
        <w:numId w:val="7"/>
      </w:numPr>
      <w:contextualSpacing/>
    </w:pPr>
  </w:style>
  <w:style w:type="paragraph" w:styleId="ListContinue">
    <w:name w:val="List Continue"/>
    <w:basedOn w:val="Normal"/>
    <w:uiPriority w:val="99"/>
    <w:semiHidden/>
    <w:unhideWhenUsed/>
    <w:rsid w:val="00155142"/>
    <w:pPr>
      <w:ind w:left="360"/>
      <w:contextualSpacing/>
    </w:pPr>
  </w:style>
  <w:style w:type="paragraph" w:styleId="ListContinue2">
    <w:name w:val="List Continue 2"/>
    <w:basedOn w:val="Normal"/>
    <w:uiPriority w:val="99"/>
    <w:semiHidden/>
    <w:unhideWhenUsed/>
    <w:rsid w:val="00155142"/>
    <w:pPr>
      <w:ind w:left="720"/>
      <w:contextualSpacing/>
    </w:pPr>
  </w:style>
  <w:style w:type="paragraph" w:styleId="ListContinue3">
    <w:name w:val="List Continue 3"/>
    <w:basedOn w:val="Normal"/>
    <w:uiPriority w:val="99"/>
    <w:semiHidden/>
    <w:unhideWhenUsed/>
    <w:rsid w:val="00155142"/>
    <w:pPr>
      <w:ind w:left="1080"/>
      <w:contextualSpacing/>
    </w:pPr>
  </w:style>
  <w:style w:type="paragraph" w:styleId="ListContinue4">
    <w:name w:val="List Continue 4"/>
    <w:basedOn w:val="Normal"/>
    <w:uiPriority w:val="99"/>
    <w:semiHidden/>
    <w:unhideWhenUsed/>
    <w:rsid w:val="00155142"/>
    <w:pPr>
      <w:ind w:left="1440"/>
      <w:contextualSpacing/>
    </w:pPr>
  </w:style>
  <w:style w:type="paragraph" w:styleId="ListContinue5">
    <w:name w:val="List Continue 5"/>
    <w:basedOn w:val="Normal"/>
    <w:uiPriority w:val="99"/>
    <w:semiHidden/>
    <w:unhideWhenUsed/>
    <w:rsid w:val="00155142"/>
    <w:pPr>
      <w:ind w:left="1800"/>
      <w:contextualSpacing/>
    </w:pPr>
  </w:style>
  <w:style w:type="paragraph" w:styleId="ListNumber">
    <w:name w:val="List Number"/>
    <w:basedOn w:val="Normal"/>
    <w:uiPriority w:val="99"/>
    <w:semiHidden/>
    <w:unhideWhenUsed/>
    <w:rsid w:val="00155142"/>
    <w:pPr>
      <w:numPr>
        <w:numId w:val="8"/>
      </w:numPr>
      <w:contextualSpacing/>
    </w:pPr>
  </w:style>
  <w:style w:type="paragraph" w:styleId="ListNumber2">
    <w:name w:val="List Number 2"/>
    <w:basedOn w:val="Normal"/>
    <w:uiPriority w:val="99"/>
    <w:semiHidden/>
    <w:unhideWhenUsed/>
    <w:rsid w:val="00155142"/>
    <w:pPr>
      <w:numPr>
        <w:numId w:val="9"/>
      </w:numPr>
      <w:contextualSpacing/>
    </w:pPr>
  </w:style>
  <w:style w:type="paragraph" w:styleId="ListNumber3">
    <w:name w:val="List Number 3"/>
    <w:basedOn w:val="Normal"/>
    <w:uiPriority w:val="99"/>
    <w:semiHidden/>
    <w:unhideWhenUsed/>
    <w:rsid w:val="00155142"/>
    <w:pPr>
      <w:numPr>
        <w:numId w:val="10"/>
      </w:numPr>
      <w:contextualSpacing/>
    </w:pPr>
  </w:style>
  <w:style w:type="paragraph" w:styleId="ListNumber4">
    <w:name w:val="List Number 4"/>
    <w:basedOn w:val="Normal"/>
    <w:uiPriority w:val="99"/>
    <w:semiHidden/>
    <w:unhideWhenUsed/>
    <w:rsid w:val="00155142"/>
    <w:pPr>
      <w:numPr>
        <w:numId w:val="11"/>
      </w:numPr>
      <w:contextualSpacing/>
    </w:pPr>
  </w:style>
  <w:style w:type="paragraph" w:styleId="ListNumber5">
    <w:name w:val="List Number 5"/>
    <w:basedOn w:val="Normal"/>
    <w:uiPriority w:val="99"/>
    <w:semiHidden/>
    <w:unhideWhenUsed/>
    <w:rsid w:val="00155142"/>
    <w:pPr>
      <w:numPr>
        <w:numId w:val="12"/>
      </w:numPr>
      <w:contextualSpacing/>
    </w:pPr>
  </w:style>
  <w:style w:type="paragraph" w:styleId="MacroText">
    <w:name w:val="macro"/>
    <w:link w:val="MacroTextChar"/>
    <w:uiPriority w:val="99"/>
    <w:semiHidden/>
    <w:unhideWhenUsed/>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val="en-US" w:eastAsia="en-US"/>
    </w:rPr>
  </w:style>
  <w:style w:type="character" w:customStyle="1" w:styleId="MacroTextChar">
    <w:name w:val="Macro Text Char"/>
    <w:basedOn w:val="DefaultParagraphFont"/>
    <w:link w:val="MacroText"/>
    <w:uiPriority w:val="99"/>
    <w:semiHidden/>
    <w:rsid w:val="00155142"/>
    <w:rPr>
      <w:rFonts w:ascii="Consolas" w:hAnsi="Consolas"/>
      <w:lang w:val="en-US" w:eastAsia="en-US"/>
    </w:rPr>
  </w:style>
  <w:style w:type="paragraph" w:styleId="MessageHeader">
    <w:name w:val="Message Header"/>
    <w:basedOn w:val="Normal"/>
    <w:link w:val="MessageHeaderChar"/>
    <w:uiPriority w:val="99"/>
    <w:semiHidden/>
    <w:unhideWhenUsed/>
    <w:rsid w:val="0015514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55142"/>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155142"/>
    <w:pPr>
      <w:jc w:val="both"/>
    </w:pPr>
    <w:rPr>
      <w:rFonts w:ascii="Arial" w:hAnsi="Arial"/>
      <w:lang w:val="en-US" w:eastAsia="en-US"/>
    </w:rPr>
  </w:style>
  <w:style w:type="paragraph" w:styleId="NormalWeb">
    <w:name w:val="Normal (Web)"/>
    <w:basedOn w:val="Normal"/>
    <w:uiPriority w:val="99"/>
    <w:semiHidden/>
    <w:unhideWhenUsed/>
    <w:rsid w:val="00155142"/>
    <w:rPr>
      <w:rFonts w:ascii="Times New Roman" w:hAnsi="Times New Roman"/>
      <w:sz w:val="24"/>
      <w:szCs w:val="24"/>
    </w:rPr>
  </w:style>
  <w:style w:type="paragraph" w:styleId="NormalIndent">
    <w:name w:val="Normal Indent"/>
    <w:basedOn w:val="Normal"/>
    <w:uiPriority w:val="99"/>
    <w:semiHidden/>
    <w:unhideWhenUsed/>
    <w:rsid w:val="00155142"/>
    <w:pPr>
      <w:ind w:left="720"/>
    </w:pPr>
  </w:style>
  <w:style w:type="paragraph" w:styleId="NoteHeading">
    <w:name w:val="Note Heading"/>
    <w:basedOn w:val="Normal"/>
    <w:next w:val="Normal"/>
    <w:link w:val="NoteHeadingChar"/>
    <w:uiPriority w:val="99"/>
    <w:semiHidden/>
    <w:unhideWhenUsed/>
    <w:rsid w:val="00155142"/>
    <w:pPr>
      <w:spacing w:before="0" w:after="0" w:line="240" w:lineRule="auto"/>
    </w:pPr>
  </w:style>
  <w:style w:type="character" w:customStyle="1" w:styleId="NoteHeadingChar">
    <w:name w:val="Note Heading Char"/>
    <w:basedOn w:val="DefaultParagraphFont"/>
    <w:link w:val="NoteHeading"/>
    <w:uiPriority w:val="99"/>
    <w:semiHidden/>
    <w:rsid w:val="00155142"/>
    <w:rPr>
      <w:rFonts w:ascii="Arial" w:hAnsi="Arial"/>
      <w:lang w:val="en-US" w:eastAsia="en-US"/>
    </w:rPr>
  </w:style>
  <w:style w:type="paragraph" w:styleId="PlainText">
    <w:name w:val="Plain Text"/>
    <w:basedOn w:val="Normal"/>
    <w:link w:val="PlainTextChar"/>
    <w:uiPriority w:val="99"/>
    <w:semiHidden/>
    <w:unhideWhenUsed/>
    <w:rsid w:val="00155142"/>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55142"/>
    <w:rPr>
      <w:rFonts w:ascii="Consolas" w:hAnsi="Consolas"/>
      <w:sz w:val="21"/>
      <w:szCs w:val="21"/>
      <w:lang w:val="en-US" w:eastAsia="en-US"/>
    </w:rPr>
  </w:style>
  <w:style w:type="paragraph" w:styleId="Quote">
    <w:name w:val="Quote"/>
    <w:basedOn w:val="Normal"/>
    <w:next w:val="Normal"/>
    <w:link w:val="QuoteChar"/>
    <w:uiPriority w:val="29"/>
    <w:qFormat/>
    <w:rsid w:val="001551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55142"/>
    <w:rPr>
      <w:rFonts w:ascii="Arial" w:hAnsi="Arial"/>
      <w:i/>
      <w:iCs/>
      <w:color w:val="404040" w:themeColor="text1" w:themeTint="BF"/>
      <w:lang w:val="en-US" w:eastAsia="en-US"/>
    </w:rPr>
  </w:style>
  <w:style w:type="paragraph" w:styleId="Salutation">
    <w:name w:val="Salutation"/>
    <w:basedOn w:val="Normal"/>
    <w:next w:val="Normal"/>
    <w:link w:val="SalutationChar"/>
    <w:uiPriority w:val="99"/>
    <w:semiHidden/>
    <w:unhideWhenUsed/>
    <w:rsid w:val="00155142"/>
  </w:style>
  <w:style w:type="character" w:customStyle="1" w:styleId="SalutationChar">
    <w:name w:val="Salutation Char"/>
    <w:basedOn w:val="DefaultParagraphFont"/>
    <w:link w:val="Salutation"/>
    <w:uiPriority w:val="99"/>
    <w:semiHidden/>
    <w:rsid w:val="00155142"/>
    <w:rPr>
      <w:rFonts w:ascii="Arial" w:hAnsi="Arial"/>
      <w:lang w:val="en-US" w:eastAsia="en-US"/>
    </w:rPr>
  </w:style>
  <w:style w:type="paragraph" w:styleId="Signature">
    <w:name w:val="Signature"/>
    <w:basedOn w:val="Normal"/>
    <w:link w:val="SignatureChar"/>
    <w:uiPriority w:val="99"/>
    <w:semiHidden/>
    <w:unhideWhenUsed/>
    <w:rsid w:val="00155142"/>
    <w:pPr>
      <w:spacing w:before="0" w:after="0" w:line="240" w:lineRule="auto"/>
      <w:ind w:left="4320"/>
    </w:pPr>
  </w:style>
  <w:style w:type="character" w:customStyle="1" w:styleId="SignatureChar">
    <w:name w:val="Signature Char"/>
    <w:basedOn w:val="DefaultParagraphFont"/>
    <w:link w:val="Signature"/>
    <w:uiPriority w:val="99"/>
    <w:semiHidden/>
    <w:rsid w:val="00155142"/>
    <w:rPr>
      <w:rFonts w:ascii="Arial" w:hAnsi="Arial"/>
      <w:lang w:val="en-US" w:eastAsia="en-US"/>
    </w:rPr>
  </w:style>
  <w:style w:type="paragraph" w:styleId="TableofAuthorities">
    <w:name w:val="table of authorities"/>
    <w:basedOn w:val="Normal"/>
    <w:next w:val="Normal"/>
    <w:uiPriority w:val="99"/>
    <w:semiHidden/>
    <w:unhideWhenUsed/>
    <w:rsid w:val="00155142"/>
    <w:pPr>
      <w:spacing w:after="0"/>
      <w:ind w:left="200" w:hanging="200"/>
    </w:pPr>
  </w:style>
  <w:style w:type="paragraph" w:styleId="TableofFigures">
    <w:name w:val="table of figures"/>
    <w:basedOn w:val="Normal"/>
    <w:next w:val="Normal"/>
    <w:uiPriority w:val="99"/>
    <w:semiHidden/>
    <w:unhideWhenUsed/>
    <w:rsid w:val="00155142"/>
    <w:pPr>
      <w:spacing w:after="0"/>
    </w:pPr>
  </w:style>
  <w:style w:type="paragraph" w:styleId="TOAHeading">
    <w:name w:val="toa heading"/>
    <w:basedOn w:val="Normal"/>
    <w:next w:val="Normal"/>
    <w:uiPriority w:val="99"/>
    <w:semiHidden/>
    <w:unhideWhenUsed/>
    <w:rsid w:val="00155142"/>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84183">
      <w:bodyDiv w:val="1"/>
      <w:marLeft w:val="0"/>
      <w:marRight w:val="0"/>
      <w:marTop w:val="0"/>
      <w:marBottom w:val="0"/>
      <w:divBdr>
        <w:top w:val="none" w:sz="0" w:space="0" w:color="auto"/>
        <w:left w:val="none" w:sz="0" w:space="0" w:color="auto"/>
        <w:bottom w:val="none" w:sz="0" w:space="0" w:color="auto"/>
        <w:right w:val="none" w:sz="0" w:space="0" w:color="auto"/>
      </w:divBdr>
    </w:div>
    <w:div w:id="2053067628">
      <w:bodyDiv w:val="1"/>
      <w:marLeft w:val="0"/>
      <w:marRight w:val="0"/>
      <w:marTop w:val="0"/>
      <w:marBottom w:val="0"/>
      <w:divBdr>
        <w:top w:val="none" w:sz="0" w:space="0" w:color="auto"/>
        <w:left w:val="none" w:sz="0" w:space="0" w:color="auto"/>
        <w:bottom w:val="none" w:sz="0" w:space="0" w:color="auto"/>
        <w:right w:val="none" w:sz="0" w:space="0" w:color="auto"/>
      </w:divBdr>
    </w:div>
    <w:div w:id="2139177995">
      <w:bodyDiv w:val="1"/>
      <w:marLeft w:val="0"/>
      <w:marRight w:val="0"/>
      <w:marTop w:val="0"/>
      <w:marBottom w:val="0"/>
      <w:divBdr>
        <w:top w:val="none" w:sz="0" w:space="0" w:color="auto"/>
        <w:left w:val="none" w:sz="0" w:space="0" w:color="auto"/>
        <w:bottom w:val="none" w:sz="0" w:space="0" w:color="auto"/>
        <w:right w:val="none" w:sz="0" w:space="0" w:color="auto"/>
      </w:divBdr>
      <w:divsChild>
        <w:div w:id="46250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87ADC-D9F3-40B7-BB43-DCD923740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3308</Words>
  <Characters>18856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22120</CharactersWithSpaces>
  <SharedDoc>false</SharedDoc>
  <HLinks>
    <vt:vector size="222" baseType="variant">
      <vt:variant>
        <vt:i4>1245244</vt:i4>
      </vt:variant>
      <vt:variant>
        <vt:i4>206</vt:i4>
      </vt:variant>
      <vt:variant>
        <vt:i4>0</vt:i4>
      </vt:variant>
      <vt:variant>
        <vt:i4>5</vt:i4>
      </vt:variant>
      <vt:variant>
        <vt:lpwstr/>
      </vt:variant>
      <vt:variant>
        <vt:lpwstr>_Toc473030836</vt:lpwstr>
      </vt:variant>
      <vt:variant>
        <vt:i4>1245244</vt:i4>
      </vt:variant>
      <vt:variant>
        <vt:i4>200</vt:i4>
      </vt:variant>
      <vt:variant>
        <vt:i4>0</vt:i4>
      </vt:variant>
      <vt:variant>
        <vt:i4>5</vt:i4>
      </vt:variant>
      <vt:variant>
        <vt:lpwstr/>
      </vt:variant>
      <vt:variant>
        <vt:lpwstr>_Toc473030835</vt:lpwstr>
      </vt:variant>
      <vt:variant>
        <vt:i4>1245244</vt:i4>
      </vt:variant>
      <vt:variant>
        <vt:i4>194</vt:i4>
      </vt:variant>
      <vt:variant>
        <vt:i4>0</vt:i4>
      </vt:variant>
      <vt:variant>
        <vt:i4>5</vt:i4>
      </vt:variant>
      <vt:variant>
        <vt:lpwstr/>
      </vt:variant>
      <vt:variant>
        <vt:lpwstr>_Toc473030834</vt:lpwstr>
      </vt:variant>
      <vt:variant>
        <vt:i4>1245244</vt:i4>
      </vt:variant>
      <vt:variant>
        <vt:i4>188</vt:i4>
      </vt:variant>
      <vt:variant>
        <vt:i4>0</vt:i4>
      </vt:variant>
      <vt:variant>
        <vt:i4>5</vt:i4>
      </vt:variant>
      <vt:variant>
        <vt:lpwstr/>
      </vt:variant>
      <vt:variant>
        <vt:lpwstr>_Toc473030833</vt:lpwstr>
      </vt:variant>
      <vt:variant>
        <vt:i4>1245244</vt:i4>
      </vt:variant>
      <vt:variant>
        <vt:i4>182</vt:i4>
      </vt:variant>
      <vt:variant>
        <vt:i4>0</vt:i4>
      </vt:variant>
      <vt:variant>
        <vt:i4>5</vt:i4>
      </vt:variant>
      <vt:variant>
        <vt:lpwstr/>
      </vt:variant>
      <vt:variant>
        <vt:lpwstr>_Toc473030832</vt:lpwstr>
      </vt:variant>
      <vt:variant>
        <vt:i4>1245244</vt:i4>
      </vt:variant>
      <vt:variant>
        <vt:i4>176</vt:i4>
      </vt:variant>
      <vt:variant>
        <vt:i4>0</vt:i4>
      </vt:variant>
      <vt:variant>
        <vt:i4>5</vt:i4>
      </vt:variant>
      <vt:variant>
        <vt:lpwstr/>
      </vt:variant>
      <vt:variant>
        <vt:lpwstr>_Toc473030831</vt:lpwstr>
      </vt:variant>
      <vt:variant>
        <vt:i4>1245244</vt:i4>
      </vt:variant>
      <vt:variant>
        <vt:i4>170</vt:i4>
      </vt:variant>
      <vt:variant>
        <vt:i4>0</vt:i4>
      </vt:variant>
      <vt:variant>
        <vt:i4>5</vt:i4>
      </vt:variant>
      <vt:variant>
        <vt:lpwstr/>
      </vt:variant>
      <vt:variant>
        <vt:lpwstr>_Toc473030830</vt:lpwstr>
      </vt:variant>
      <vt:variant>
        <vt:i4>1179708</vt:i4>
      </vt:variant>
      <vt:variant>
        <vt:i4>164</vt:i4>
      </vt:variant>
      <vt:variant>
        <vt:i4>0</vt:i4>
      </vt:variant>
      <vt:variant>
        <vt:i4>5</vt:i4>
      </vt:variant>
      <vt:variant>
        <vt:lpwstr/>
      </vt:variant>
      <vt:variant>
        <vt:lpwstr>_Toc473030829</vt:lpwstr>
      </vt:variant>
      <vt:variant>
        <vt:i4>1179708</vt:i4>
      </vt:variant>
      <vt:variant>
        <vt:i4>158</vt:i4>
      </vt:variant>
      <vt:variant>
        <vt:i4>0</vt:i4>
      </vt:variant>
      <vt:variant>
        <vt:i4>5</vt:i4>
      </vt:variant>
      <vt:variant>
        <vt:lpwstr/>
      </vt:variant>
      <vt:variant>
        <vt:lpwstr>_Toc473030828</vt:lpwstr>
      </vt:variant>
      <vt:variant>
        <vt:i4>1179708</vt:i4>
      </vt:variant>
      <vt:variant>
        <vt:i4>152</vt:i4>
      </vt:variant>
      <vt:variant>
        <vt:i4>0</vt:i4>
      </vt:variant>
      <vt:variant>
        <vt:i4>5</vt:i4>
      </vt:variant>
      <vt:variant>
        <vt:lpwstr/>
      </vt:variant>
      <vt:variant>
        <vt:lpwstr>_Toc473030827</vt:lpwstr>
      </vt:variant>
      <vt:variant>
        <vt:i4>1179708</vt:i4>
      </vt:variant>
      <vt:variant>
        <vt:i4>146</vt:i4>
      </vt:variant>
      <vt:variant>
        <vt:i4>0</vt:i4>
      </vt:variant>
      <vt:variant>
        <vt:i4>5</vt:i4>
      </vt:variant>
      <vt:variant>
        <vt:lpwstr/>
      </vt:variant>
      <vt:variant>
        <vt:lpwstr>_Toc473030826</vt:lpwstr>
      </vt:variant>
      <vt:variant>
        <vt:i4>1179708</vt:i4>
      </vt:variant>
      <vt:variant>
        <vt:i4>140</vt:i4>
      </vt:variant>
      <vt:variant>
        <vt:i4>0</vt:i4>
      </vt:variant>
      <vt:variant>
        <vt:i4>5</vt:i4>
      </vt:variant>
      <vt:variant>
        <vt:lpwstr/>
      </vt:variant>
      <vt:variant>
        <vt:lpwstr>_Toc473030825</vt:lpwstr>
      </vt:variant>
      <vt:variant>
        <vt:i4>1179708</vt:i4>
      </vt:variant>
      <vt:variant>
        <vt:i4>134</vt:i4>
      </vt:variant>
      <vt:variant>
        <vt:i4>0</vt:i4>
      </vt:variant>
      <vt:variant>
        <vt:i4>5</vt:i4>
      </vt:variant>
      <vt:variant>
        <vt:lpwstr/>
      </vt:variant>
      <vt:variant>
        <vt:lpwstr>_Toc473030824</vt:lpwstr>
      </vt:variant>
      <vt:variant>
        <vt:i4>1179708</vt:i4>
      </vt:variant>
      <vt:variant>
        <vt:i4>128</vt:i4>
      </vt:variant>
      <vt:variant>
        <vt:i4>0</vt:i4>
      </vt:variant>
      <vt:variant>
        <vt:i4>5</vt:i4>
      </vt:variant>
      <vt:variant>
        <vt:lpwstr/>
      </vt:variant>
      <vt:variant>
        <vt:lpwstr>_Toc473030823</vt:lpwstr>
      </vt:variant>
      <vt:variant>
        <vt:i4>1179708</vt:i4>
      </vt:variant>
      <vt:variant>
        <vt:i4>122</vt:i4>
      </vt:variant>
      <vt:variant>
        <vt:i4>0</vt:i4>
      </vt:variant>
      <vt:variant>
        <vt:i4>5</vt:i4>
      </vt:variant>
      <vt:variant>
        <vt:lpwstr/>
      </vt:variant>
      <vt:variant>
        <vt:lpwstr>_Toc473030822</vt:lpwstr>
      </vt:variant>
      <vt:variant>
        <vt:i4>1179708</vt:i4>
      </vt:variant>
      <vt:variant>
        <vt:i4>116</vt:i4>
      </vt:variant>
      <vt:variant>
        <vt:i4>0</vt:i4>
      </vt:variant>
      <vt:variant>
        <vt:i4>5</vt:i4>
      </vt:variant>
      <vt:variant>
        <vt:lpwstr/>
      </vt:variant>
      <vt:variant>
        <vt:lpwstr>_Toc473030821</vt:lpwstr>
      </vt:variant>
      <vt:variant>
        <vt:i4>1179708</vt:i4>
      </vt:variant>
      <vt:variant>
        <vt:i4>110</vt:i4>
      </vt:variant>
      <vt:variant>
        <vt:i4>0</vt:i4>
      </vt:variant>
      <vt:variant>
        <vt:i4>5</vt:i4>
      </vt:variant>
      <vt:variant>
        <vt:lpwstr/>
      </vt:variant>
      <vt:variant>
        <vt:lpwstr>_Toc473030820</vt:lpwstr>
      </vt:variant>
      <vt:variant>
        <vt:i4>1114172</vt:i4>
      </vt:variant>
      <vt:variant>
        <vt:i4>104</vt:i4>
      </vt:variant>
      <vt:variant>
        <vt:i4>0</vt:i4>
      </vt:variant>
      <vt:variant>
        <vt:i4>5</vt:i4>
      </vt:variant>
      <vt:variant>
        <vt:lpwstr/>
      </vt:variant>
      <vt:variant>
        <vt:lpwstr>_Toc473030819</vt:lpwstr>
      </vt:variant>
      <vt:variant>
        <vt:i4>1114172</vt:i4>
      </vt:variant>
      <vt:variant>
        <vt:i4>98</vt:i4>
      </vt:variant>
      <vt:variant>
        <vt:i4>0</vt:i4>
      </vt:variant>
      <vt:variant>
        <vt:i4>5</vt:i4>
      </vt:variant>
      <vt:variant>
        <vt:lpwstr/>
      </vt:variant>
      <vt:variant>
        <vt:lpwstr>_Toc473030818</vt:lpwstr>
      </vt:variant>
      <vt:variant>
        <vt:i4>1114172</vt:i4>
      </vt:variant>
      <vt:variant>
        <vt:i4>92</vt:i4>
      </vt:variant>
      <vt:variant>
        <vt:i4>0</vt:i4>
      </vt:variant>
      <vt:variant>
        <vt:i4>5</vt:i4>
      </vt:variant>
      <vt:variant>
        <vt:lpwstr/>
      </vt:variant>
      <vt:variant>
        <vt:lpwstr>_Toc473030817</vt:lpwstr>
      </vt:variant>
      <vt:variant>
        <vt:i4>1114172</vt:i4>
      </vt:variant>
      <vt:variant>
        <vt:i4>86</vt:i4>
      </vt:variant>
      <vt:variant>
        <vt:i4>0</vt:i4>
      </vt:variant>
      <vt:variant>
        <vt:i4>5</vt:i4>
      </vt:variant>
      <vt:variant>
        <vt:lpwstr/>
      </vt:variant>
      <vt:variant>
        <vt:lpwstr>_Toc473030816</vt:lpwstr>
      </vt:variant>
      <vt:variant>
        <vt:i4>1114172</vt:i4>
      </vt:variant>
      <vt:variant>
        <vt:i4>80</vt:i4>
      </vt:variant>
      <vt:variant>
        <vt:i4>0</vt:i4>
      </vt:variant>
      <vt:variant>
        <vt:i4>5</vt:i4>
      </vt:variant>
      <vt:variant>
        <vt:lpwstr/>
      </vt:variant>
      <vt:variant>
        <vt:lpwstr>_Toc473030815</vt:lpwstr>
      </vt:variant>
      <vt:variant>
        <vt:i4>1114172</vt:i4>
      </vt:variant>
      <vt:variant>
        <vt:i4>74</vt:i4>
      </vt:variant>
      <vt:variant>
        <vt:i4>0</vt:i4>
      </vt:variant>
      <vt:variant>
        <vt:i4>5</vt:i4>
      </vt:variant>
      <vt:variant>
        <vt:lpwstr/>
      </vt:variant>
      <vt:variant>
        <vt:lpwstr>_Toc473030814</vt:lpwstr>
      </vt:variant>
      <vt:variant>
        <vt:i4>1114172</vt:i4>
      </vt:variant>
      <vt:variant>
        <vt:i4>68</vt:i4>
      </vt:variant>
      <vt:variant>
        <vt:i4>0</vt:i4>
      </vt:variant>
      <vt:variant>
        <vt:i4>5</vt:i4>
      </vt:variant>
      <vt:variant>
        <vt:lpwstr/>
      </vt:variant>
      <vt:variant>
        <vt:lpwstr>_Toc473030813</vt:lpwstr>
      </vt:variant>
      <vt:variant>
        <vt:i4>1114172</vt:i4>
      </vt:variant>
      <vt:variant>
        <vt:i4>62</vt:i4>
      </vt:variant>
      <vt:variant>
        <vt:i4>0</vt:i4>
      </vt:variant>
      <vt:variant>
        <vt:i4>5</vt:i4>
      </vt:variant>
      <vt:variant>
        <vt:lpwstr/>
      </vt:variant>
      <vt:variant>
        <vt:lpwstr>_Toc473030812</vt:lpwstr>
      </vt:variant>
      <vt:variant>
        <vt:i4>1114172</vt:i4>
      </vt:variant>
      <vt:variant>
        <vt:i4>56</vt:i4>
      </vt:variant>
      <vt:variant>
        <vt:i4>0</vt:i4>
      </vt:variant>
      <vt:variant>
        <vt:i4>5</vt:i4>
      </vt:variant>
      <vt:variant>
        <vt:lpwstr/>
      </vt:variant>
      <vt:variant>
        <vt:lpwstr>_Toc473030811</vt:lpwstr>
      </vt:variant>
      <vt:variant>
        <vt:i4>1114172</vt:i4>
      </vt:variant>
      <vt:variant>
        <vt:i4>50</vt:i4>
      </vt:variant>
      <vt:variant>
        <vt:i4>0</vt:i4>
      </vt:variant>
      <vt:variant>
        <vt:i4>5</vt:i4>
      </vt:variant>
      <vt:variant>
        <vt:lpwstr/>
      </vt:variant>
      <vt:variant>
        <vt:lpwstr>_Toc473030810</vt:lpwstr>
      </vt:variant>
      <vt:variant>
        <vt:i4>1048636</vt:i4>
      </vt:variant>
      <vt:variant>
        <vt:i4>44</vt:i4>
      </vt:variant>
      <vt:variant>
        <vt:i4>0</vt:i4>
      </vt:variant>
      <vt:variant>
        <vt:i4>5</vt:i4>
      </vt:variant>
      <vt:variant>
        <vt:lpwstr/>
      </vt:variant>
      <vt:variant>
        <vt:lpwstr>_Toc473030809</vt:lpwstr>
      </vt:variant>
      <vt:variant>
        <vt:i4>1048636</vt:i4>
      </vt:variant>
      <vt:variant>
        <vt:i4>38</vt:i4>
      </vt:variant>
      <vt:variant>
        <vt:i4>0</vt:i4>
      </vt:variant>
      <vt:variant>
        <vt:i4>5</vt:i4>
      </vt:variant>
      <vt:variant>
        <vt:lpwstr/>
      </vt:variant>
      <vt:variant>
        <vt:lpwstr>_Toc473030808</vt:lpwstr>
      </vt:variant>
      <vt:variant>
        <vt:i4>1048636</vt:i4>
      </vt:variant>
      <vt:variant>
        <vt:i4>32</vt:i4>
      </vt:variant>
      <vt:variant>
        <vt:i4>0</vt:i4>
      </vt:variant>
      <vt:variant>
        <vt:i4>5</vt:i4>
      </vt:variant>
      <vt:variant>
        <vt:lpwstr/>
      </vt:variant>
      <vt:variant>
        <vt:lpwstr>_Toc473030807</vt:lpwstr>
      </vt:variant>
      <vt:variant>
        <vt:i4>1048636</vt:i4>
      </vt:variant>
      <vt:variant>
        <vt:i4>26</vt:i4>
      </vt:variant>
      <vt:variant>
        <vt:i4>0</vt:i4>
      </vt:variant>
      <vt:variant>
        <vt:i4>5</vt:i4>
      </vt:variant>
      <vt:variant>
        <vt:lpwstr/>
      </vt:variant>
      <vt:variant>
        <vt:lpwstr>_Toc473030806</vt:lpwstr>
      </vt:variant>
      <vt:variant>
        <vt:i4>1048636</vt:i4>
      </vt:variant>
      <vt:variant>
        <vt:i4>20</vt:i4>
      </vt:variant>
      <vt:variant>
        <vt:i4>0</vt:i4>
      </vt:variant>
      <vt:variant>
        <vt:i4>5</vt:i4>
      </vt:variant>
      <vt:variant>
        <vt:lpwstr/>
      </vt:variant>
      <vt:variant>
        <vt:lpwstr>_Toc473030805</vt:lpwstr>
      </vt:variant>
      <vt:variant>
        <vt:i4>1048636</vt:i4>
      </vt:variant>
      <vt:variant>
        <vt:i4>14</vt:i4>
      </vt:variant>
      <vt:variant>
        <vt:i4>0</vt:i4>
      </vt:variant>
      <vt:variant>
        <vt:i4>5</vt:i4>
      </vt:variant>
      <vt:variant>
        <vt:lpwstr/>
      </vt:variant>
      <vt:variant>
        <vt:lpwstr>_Toc473030804</vt:lpwstr>
      </vt:variant>
      <vt:variant>
        <vt:i4>1048636</vt:i4>
      </vt:variant>
      <vt:variant>
        <vt:i4>8</vt:i4>
      </vt:variant>
      <vt:variant>
        <vt:i4>0</vt:i4>
      </vt:variant>
      <vt:variant>
        <vt:i4>5</vt:i4>
      </vt:variant>
      <vt:variant>
        <vt:lpwstr/>
      </vt:variant>
      <vt:variant>
        <vt:lpwstr>_Toc473030803</vt:lpwstr>
      </vt:variant>
      <vt:variant>
        <vt:i4>1048636</vt:i4>
      </vt:variant>
      <vt:variant>
        <vt:i4>2</vt:i4>
      </vt:variant>
      <vt:variant>
        <vt:i4>0</vt:i4>
      </vt:variant>
      <vt:variant>
        <vt:i4>5</vt:i4>
      </vt:variant>
      <vt:variant>
        <vt:lpwstr/>
      </vt:variant>
      <vt:variant>
        <vt:lpwstr>_Toc473030802</vt:lpwstr>
      </vt:variant>
      <vt:variant>
        <vt:i4>7667809</vt:i4>
      </vt:variant>
      <vt:variant>
        <vt:i4>9</vt:i4>
      </vt:variant>
      <vt:variant>
        <vt:i4>0</vt:i4>
      </vt:variant>
      <vt:variant>
        <vt:i4>5</vt:i4>
      </vt:variant>
      <vt:variant>
        <vt:lpwstr>http://www.cil.nus.edu.sg/</vt:lpwstr>
      </vt:variant>
      <vt:variant>
        <vt:lpwstr/>
      </vt:variant>
      <vt:variant>
        <vt:i4>7667809</vt:i4>
      </vt:variant>
      <vt:variant>
        <vt:i4>0</vt:i4>
      </vt:variant>
      <vt:variant>
        <vt:i4>0</vt:i4>
      </vt:variant>
      <vt:variant>
        <vt:i4>5</vt:i4>
      </vt:variant>
      <vt:variant>
        <vt:lpwstr>http://www.cil.nus.edu.sg/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Sng</dc:creator>
  <cp:keywords/>
  <dc:description/>
  <cp:lastModifiedBy>Li Shi-En, Lisa</cp:lastModifiedBy>
  <cp:revision>2</cp:revision>
  <cp:lastPrinted>2019-01-29T09:08:00Z</cp:lastPrinted>
  <dcterms:created xsi:type="dcterms:W3CDTF">2026-04-01T13:33:00Z</dcterms:created>
  <dcterms:modified xsi:type="dcterms:W3CDTF">2026-04-27T15:37:00Z</dcterms:modified>
</cp:coreProperties>
</file>